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34" w:name="X0b33a5285d2d1b659549bc56d7fe36abed5f5d5"/>
    <w:p>
      <w:pPr>
        <w:pStyle w:val="Title"/>
      </w:pPr>
      <w:r>
        <w:t xml:space="preserve">Your title: concession and modelling question</w:t>
      </w:r>
    </w:p>
    <w:p>
      <w:pPr>
        <w:pStyle w:val="FirstParagraph"/>
      </w:pPr>
      <w:r>
        <w:rPr>
          <w:bCs/>
          <w:b/>
        </w:rPr>
        <w:t xml:space="preserve">Group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&lt;N&gt;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&lt;First Last&gt;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&lt;First Last&gt;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&lt;First Last&gt;</w:t>
      </w:r>
      <w:r>
        <w:br/>
      </w:r>
      <w:r>
        <w:t xml:space="preserve">Applied Groundwater Modelling ·</w:t>
      </w:r>
      <w:r>
        <w:t xml:space="preserve"> </w:t>
      </w:r>
      <w:r>
        <w:rPr>
          <w:rStyle w:val="VerbatimChar"/>
        </w:rPr>
        <w:t xml:space="preserve">&lt;date&gt;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rPr>
          <w:bCs/>
          <w:b/>
        </w:rPr>
        <w:t xml:space="preserve">Group report template — Applied Groundwater Modelling.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REPORT_BRIEF.md</w:t>
      </w:r>
      <w:r>
        <w:t xml:space="preserve"> </w:t>
      </w:r>
      <w:r>
        <w:t xml:space="preserve">first: it says what each section is FOR and how it is judged.</w:t>
      </w:r>
      <w:r>
        <w:t xml:space="preserve"> </w:t>
      </w:r>
      <w:r>
        <w:t xml:space="preserve">This file is only the skeleton.</w:t>
      </w:r>
    </w:p>
    <w:p>
      <w:pPr>
        <w:pStyle w:val="BlockText"/>
      </w:pPr>
      <w:r>
        <w:rPr>
          <w:bCs/>
          <w:b/>
        </w:rPr>
        <w:t xml:space="preserve">Same skeleton in three formats — pick one, they are equivalent:</w:t>
      </w:r>
      <w:r>
        <w:t xml:space="preserve"> </w:t>
      </w:r>
      <w:r>
        <w:rPr>
          <w:rStyle w:val="VerbatimChar"/>
        </w:rPr>
        <w:t xml:space="preserve">report_template.md</w:t>
      </w:r>
      <w:r>
        <w:t xml:space="preserve"> </w:t>
      </w:r>
      <w:r>
        <w:t xml:space="preserve">(JupyterHub, VS Code, any editor) ·</w:t>
      </w:r>
      <w:r>
        <w:t xml:space="preserve"> </w:t>
      </w:r>
      <w:r>
        <w:rPr>
          <w:rStyle w:val="VerbatimChar"/>
        </w:rPr>
        <w:t xml:space="preserve">report_template.tex</w:t>
      </w:r>
      <w:r>
        <w:t xml:space="preserve"> </w:t>
      </w:r>
      <w:r>
        <w:t xml:space="preserve">(LaTeX / Overleaf) ·</w:t>
      </w:r>
      <w:r>
        <w:t xml:space="preserve"> </w:t>
      </w:r>
      <w:r>
        <w:rPr>
          <w:rStyle w:val="VerbatimChar"/>
        </w:rPr>
        <w:t xml:space="preserve">report_template.docx</w:t>
      </w:r>
      <w:r>
        <w:t xml:space="preserve"> </w:t>
      </w:r>
      <w:r>
        <w:t xml:space="preserve">(Microsoft Word).</w:t>
      </w:r>
    </w:p>
    <w:p>
      <w:pPr>
        <w:pStyle w:val="BlockText"/>
      </w:pPr>
      <w:r>
        <w:rPr>
          <w:bCs/>
          <w:b/>
        </w:rPr>
        <w:t xml:space="preserve">How to use.</w:t>
      </w:r>
      <w:r>
        <w:t xml:space="preserve"> </w:t>
      </w:r>
      <w:r>
        <w:t xml:space="preserve">Copy your chosen file into your group folder as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Delete each GUIDANCE block as you fill that section in — they are</w:t>
      </w:r>
      <w:r>
        <w:t xml:space="preserve"> </w:t>
      </w:r>
      <w:r>
        <w:t xml:space="preserve">instructions, not content. Then export to</w:t>
      </w:r>
      <w:r>
        <w:t xml:space="preserve"> </w:t>
      </w:r>
      <w:r>
        <w:rPr>
          <w:rStyle w:val="VerbatimChar"/>
          <w:bCs/>
          <w:b/>
        </w:rPr>
        <w:t xml:space="preserve">report.pdf</w:t>
      </w:r>
      <w:r>
        <w:t xml:space="preserve"> </w:t>
      </w:r>
      <w:r>
        <w:t xml:space="preserve">in your group folder root:</w:t>
      </w:r>
      <w:r>
        <w:t xml:space="preserve"> </w:t>
      </w:r>
      <w:r>
        <w:t xml:space="preserve">print to PDF from Word, hit Recompile in Overleaf, or from Markdown run</w:t>
      </w:r>
      <w:r>
        <w:t xml:space="preserve"> </w:t>
      </w:r>
      <w:r>
        <w:rPr>
          <w:rStyle w:val="VerbatimChar"/>
        </w:rPr>
        <w:t xml:space="preserve">pandoc report.md -o report.pdf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this works on the course JupyterHub</w:t>
      </w:r>
      <w:r>
        <w:t xml:space="preserve">, which has</w:t>
      </w:r>
      <w:r>
        <w:t xml:space="preserve"> </w:t>
      </w:r>
      <w:r>
        <w:t xml:space="preserve">pandoc and LaTeX installed. On your own laptop it needs a LaTeX engine; if you get</w:t>
      </w:r>
      <w:r>
        <w:t xml:space="preserve"> </w:t>
      </w:r>
      <w:r>
        <w:rPr>
          <w:rStyle w:val="VerbatimChar"/>
        </w:rPr>
        <w:t xml:space="preserve">pdflatex not found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pandoc report.md -o report.docx</w:t>
      </w:r>
      <w:r>
        <w:t xml:space="preserve"> </w:t>
      </w:r>
      <w:r>
        <w:t xml:space="preserve">instead and print to PDF</w:t>
      </w:r>
      <w:r>
        <w:t xml:space="preserve"> </w:t>
      </w:r>
      <w:r>
        <w:t xml:space="preserve">from Word.</w:t>
      </w:r>
    </w:p>
    <w:p>
      <w:pPr>
        <w:pStyle w:val="BlockText"/>
      </w:pPr>
      <w:r>
        <w:rPr>
          <w:bCs/>
          <w:b/>
        </w:rPr>
        <w:t xml:space="preserve">Layout.</w:t>
      </w:r>
      <w:r>
        <w:t xml:space="preserve"> </w:t>
      </w:r>
      <w:r>
        <w:t xml:space="preserve">You may adjust fonts, spacing and figure placement to suit your report.</w:t>
      </w:r>
      <w:r>
        <w:t xml:space="preserve"> </w:t>
      </w:r>
      <w:r>
        <w:t xml:space="preserve">Keep the required sections, readable text and the page limits. The supplied layout</w:t>
      </w:r>
      <w:r>
        <w:t xml:space="preserve"> </w:t>
      </w:r>
      <w:r>
        <w:t xml:space="preserve">is a starting point, not an assessment criterion.</w:t>
      </w:r>
    </w:p>
    <w:p>
      <w:pPr>
        <w:pStyle w:val="BlockText"/>
      </w:pPr>
      <w:r>
        <w:rPr>
          <w:bCs/>
          <w:b/>
        </w:rPr>
        <w:t xml:space="preserve">Limits.</w:t>
      </w:r>
      <w:r>
        <w:t xml:space="preserve"> </w:t>
      </w:r>
      <w:r>
        <w:t xml:space="preserve">10 pages max, excluding this title block, references and appendix.</w:t>
      </w:r>
      <w:r>
        <w:t xml:space="preserve"> </w:t>
      </w:r>
      <w:r>
        <w:t xml:space="preserve">Appendix capped at 5 pages. The per-section budgets below add to about 8, which leaves</w:t>
      </w:r>
      <w:r>
        <w:t xml:space="preserve"> </w:t>
      </w:r>
      <w:r>
        <w:t xml:space="preserve">you room — they are guides, not rules.</w:t>
      </w:r>
    </w:p>
    <w:bookmarkStart w:id="20" w:name="problem-and-modelling-question"/>
    <w:p>
      <w:pPr>
        <w:pStyle w:val="Heading1"/>
      </w:pPr>
      <w:r>
        <w:t xml:space="preserve">1. Problem and modelling question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~0.5 page. One paragraph.</w:t>
      </w:r>
      <w:r>
        <w:t xml:space="preserve"> </w:t>
      </w:r>
      <w:r>
        <w:t xml:space="preserve">Your concession, its setting, and the question your scenario actually asks.</w:t>
      </w:r>
      <w:r>
        <w:t xml:space="preserve"> </w:t>
      </w:r>
      <w:r>
        <w:t xml:space="preserve">Be specific.</w:t>
      </w:r>
      <w:r>
        <w:t xml:space="preserve"> </w:t>
      </w:r>
      <w:r>
        <w:t xml:space="preserve">“</w:t>
      </w:r>
      <w:r>
        <w:t xml:space="preserve">Does the assigned recharge reduction change river leakage enough to</w:t>
      </w:r>
      <w:r>
        <w:t xml:space="preserve"> </w:t>
      </w:r>
      <w:r>
        <w:t xml:space="preserve">matter for the concession’s yield</w:t>
      </w:r>
      <w:r>
        <w:t xml:space="preserve">”</w:t>
      </w:r>
      <w:r>
        <w:t xml:space="preserve"> </w:t>
      </w:r>
      <w:r>
        <w:t xml:space="preserve">is a question.</w:t>
      </w:r>
      <w:r>
        <w:t xml:space="preserve"> </w:t>
      </w:r>
      <w:r>
        <w:t xml:space="preserve">“</w:t>
      </w:r>
      <w:r>
        <w:t xml:space="preserve">We study the Limmat aquifer</w:t>
      </w:r>
      <w:r>
        <w:t xml:space="preserve">”</w:t>
      </w:r>
      <w:r>
        <w:t xml:space="preserve"> </w:t>
      </w:r>
      <w:r>
        <w:t xml:space="preserve">is not.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0"/>
    <w:bookmarkStart w:id="22" w:name="conceptual-model-and-assumptions"/>
    <w:p>
      <w:pPr>
        <w:pStyle w:val="Heading1"/>
      </w:pPr>
      <w:r>
        <w:t xml:space="preserve">2. Conceptual model and assumptions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~1.5 pages.</w:t>
      </w:r>
      <w:r>
        <w:t xml:space="preserve"> </w:t>
      </w:r>
      <w:r>
        <w:t xml:space="preserve">The aquifer as YOU are modelling it: boundaries and what they represent, the stresses,</w:t>
      </w:r>
      <w:r>
        <w:t xml:space="preserve"> </w:t>
      </w:r>
      <w:r>
        <w:t xml:space="preserve">your scenario’s physical story (the type -&gt; story mapping in flow section 3), and the</w:t>
      </w:r>
      <w:r>
        <w:t xml:space="preserve"> </w:t>
      </w:r>
      <w:r>
        <w:t xml:space="preserve">transport setup — spill, doublet, the locked physics (alpha_L = 10 m, alpha_T = 1 m,</w:t>
      </w:r>
      <w:r>
        <w:t xml:space="preserve"> </w:t>
      </w:r>
      <w:r>
        <w:t xml:space="preserve">n_e = 0.20) and your group’s pinned reactions.</w:t>
      </w:r>
      <w:r>
        <w:t xml:space="preserve"> </w:t>
      </w:r>
      <w:r>
        <w:t xml:space="preserve">State the assumptions YOU are making, not the ones the software makes, and name the</w:t>
      </w:r>
      <w:r>
        <w:t xml:space="preserve"> </w:t>
      </w:r>
      <w:r>
        <w:t xml:space="preserve">CONSEQUENCE of each — steady state, one shared regional model, local refinement, a</w:t>
      </w:r>
      <w:r>
        <w:t xml:space="preserve"> </w:t>
      </w:r>
      <w:r>
        <w:t xml:space="preserve">clean-water doublet with a separate zero-water contaminant source.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Start w:id="21" w:name="assumptions-and-their-consequences"/>
    <w:p>
      <w:pPr>
        <w:pStyle w:val="Heading2"/>
      </w:pPr>
      <w:r>
        <w:t xml:space="preserve">2.1 Assumptions and their consequences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Assumption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Why it is reasonable here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What it costs us</w:t>
            </w:r>
          </w:p>
        </w:tc>
      </w:tr>
      <w:tr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&lt;e.g. steady state&gt;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&lt;...&gt;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&lt;...&gt;</w:t>
            </w:r>
          </w:p>
        </w:tc>
        <w:trPr>
          <w:cantSplit/>
        </w:trPr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&lt;...&gt;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&lt;...&gt;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&lt;...&gt;</w:t>
            </w:r>
          </w:p>
        </w:tc>
        <w:trPr>
          <w:cantSplit/>
        </w:trPr>
      </w:tr>
    </w:tbl>
    <w:bookmarkEnd w:id="21"/>
    <w:bookmarkEnd w:id="22"/>
    <w:bookmarkStart w:id="23" w:name="method"/>
    <w:p>
      <w:pPr>
        <w:pStyle w:val="Heading1"/>
      </w:pPr>
      <w:r>
        <w:t xml:space="preserve">3. Method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~1 page.</w:t>
      </w:r>
      <w:r>
        <w:t xml:space="preserve"> </w:t>
      </w:r>
      <w:r>
        <w:t xml:space="preserve">Enough that a competent reader could repeat it: the four flow states and what each</w:t>
      </w:r>
      <w:r>
        <w:t xml:space="preserve"> </w:t>
      </w:r>
      <w:r>
        <w:t xml:space="preserve">isolates, how your scenario forcing is applied, the transport build, and which</w:t>
      </w:r>
      <w:r>
        <w:t xml:space="preserve"> </w:t>
      </w:r>
      <w:r>
        <w:t xml:space="preserve">quantities came from which export. Point to the notebooks; do not reproduce their code.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3"/>
    <w:bookmarkStart w:id="28" w:name="results"/>
    <w:p>
      <w:pPr>
        <w:pStyle w:val="Heading1"/>
      </w:pPr>
      <w:r>
        <w:t xml:space="preserve">4. Results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~3 pages. THE STRUCTURE MATTERS: organise by FINDING, not by card.</w:t>
      </w:r>
      <w:r>
        <w:t xml:space="preserve"> </w:t>
      </w:r>
      <w:r>
        <w:t xml:space="preserve">The full record of each card and its extension is already in the scratch notebooks and</w:t>
      </w:r>
      <w:r>
        <w:t xml:space="preserve"> </w:t>
      </w:r>
      <w:r>
        <w:t xml:space="preserve">in tables/ — do not re-narrate it here. What belongs here is the INTEGRATED result:</w:t>
      </w:r>
      <w:r>
        <w:t xml:space="preserve"> </w:t>
      </w:r>
      <w:r>
        <w:t xml:space="preserve">what the flow response, the scenario forcing, the water balance and the transport</w:t>
      </w:r>
      <w:r>
        <w:t xml:space="preserve"> </w:t>
      </w:r>
      <w:r>
        <w:t xml:space="preserve">verdict say TOGETHER about your concession.</w:t>
      </w:r>
      <w:r>
        <w:t xml:space="preserve"> </w:t>
      </w:r>
      <w:r>
        <w:t xml:space="preserve">Every member’s work must be visible in the integrated results. A finding usually</w:t>
      </w:r>
      <w:r>
        <w:t xml:space="preserve"> </w:t>
      </w:r>
      <w:r>
        <w:t xml:space="preserve">draws on more than one card: say whose analysis established it in the text or</w:t>
      </w:r>
      <w:r>
        <w:t xml:space="preserve"> </w:t>
      </w:r>
      <w:r>
        <w:t xml:space="preserve">caption, rather than giving each member a subsection.</w:t>
      </w:r>
      <w:r>
        <w:t xml:space="preserve"> </w:t>
      </w:r>
      <w:r>
        <w:t xml:space="preserve">Every figure and table: caption, units, and the file under figures/ or tables/ it came</w:t>
      </w:r>
      <w:r>
        <w:t xml:space="preserve"> </w:t>
      </w:r>
      <w:r>
        <w:t xml:space="preserve">from. Every computed number must be traceable to the frozen bundle.</w:t>
      </w:r>
      <w:r>
        <w:t xml:space="preserve"> </w:t>
      </w:r>
      <w:r>
        <w:t xml:space="preserve">Two traps to handle explicitly:</w:t>
      </w:r>
      <w:r>
        <w:t xml:space="preserve"> </w:t>
      </w:r>
      <w:r>
        <w:t xml:space="preserve">- head change has two conventions: abs() (counts the injection mound) vs drawdown</w:t>
      </w:r>
      <w:r>
        <w:t xml:space="preserve"> </w:t>
      </w:r>
      <w:r>
        <w:t xml:space="preserve">(base - compare, positive where head falls). Say which you are quoting.</w:t>
      </w:r>
      <w:r>
        <w:t xml:space="preserve"> </w:t>
      </w:r>
      <w:r>
        <w:t xml:space="preserve">- an advective travel time is not a concentration peak. Do not reconcile them by</w:t>
      </w:r>
      <w:r>
        <w:t xml:space="preserve"> </w:t>
      </w:r>
      <w:r>
        <w:t xml:space="preserve">arithmetic.</w:t>
      </w:r>
      <w:r>
        <w:t xml:space="preserve"> </w:t>
      </w:r>
      <w:r>
        <w:t xml:space="preserve">Suggested finding-shaped headings — rename them to YOUR findings:</w:t>
      </w:r>
    </w:p>
    <w:p>
      <w:pPr>
        <w:pStyle w:val="BlockText"/>
      </w:pPr>
      <w:r>
        <w:rPr>
          <w:bCs/>
          <w:b/>
        </w:rPr>
        <w:t xml:space="preserve">Figure and table pattern — copy the shapes below.</w:t>
      </w:r>
      <w:r>
        <w:t xml:space="preserve"> </w:t>
      </w:r>
      <w:r>
        <w:t xml:space="preserve">Every caption carries the units</w:t>
      </w:r>
      <w:r>
        <w:t xml:space="preserve"> </w:t>
      </w:r>
      <w:r>
        <w:t xml:space="preserve">and the file the figure came from, which is what the brief asks of every one of them.</w:t>
      </w:r>
      <w:r>
        <w:t xml:space="preserve"> </w:t>
      </w:r>
      <w:r>
        <w:t xml:space="preserve">(The paths are examples; yours appear only once you have run your cards.)</w:t>
      </w:r>
    </w:p>
    <w:p>
      <w:pPr>
        <w:pStyle w:val="SourceCode"/>
      </w:pPr>
      <w:r>
        <w:rPr>
          <w:rStyle w:val="VerbatimChar"/>
        </w:rPr>
        <w:t xml:space="preserve">![Drawdown (base -&gt; wells), m. Source: figures/cardA_drawdown_map.png](figures/cardA_drawdown_map.png)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Metric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Value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Unit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&lt;...&gt;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tables/cardA_drawdown_summary.csv</w:t>
            </w:r>
          </w:p>
        </w:tc>
        <w:trPr>
          <w:cantSplit/>
        </w:trPr>
      </w:tr>
    </w:tbl>
    <w:bookmarkStart w:id="24" w:name="what-the-doublet-does-to-the-flow-field"/>
    <w:p>
      <w:pPr>
        <w:pStyle w:val="Heading2"/>
      </w:pPr>
      <w:r>
        <w:t xml:space="preserve">4.1</w:t>
      </w:r>
      <w:r>
        <w:t xml:space="preserve"> </w:t>
      </w:r>
      <w:r>
        <w:t xml:space="preserve">&lt;What the doublet does to the flow field&gt;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4"/>
    <w:bookmarkStart w:id="25" w:name="X21fadac3bd54a724d286133375965f7e964e302"/>
    <w:p>
      <w:pPr>
        <w:pStyle w:val="Heading2"/>
      </w:pPr>
      <w:r>
        <w:t xml:space="preserve">4.2</w:t>
      </w:r>
      <w:r>
        <w:t xml:space="preserve"> </w:t>
      </w:r>
      <w:r>
        <w:t xml:space="preserve">&lt;What your scenario forcing adds, and where it dominates&gt;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5"/>
    <w:bookmarkStart w:id="26" w:name="what-the-water-balance-says"/>
    <w:p>
      <w:pPr>
        <w:pStyle w:val="Heading2"/>
      </w:pPr>
      <w:r>
        <w:t xml:space="preserve">4.3</w:t>
      </w:r>
      <w:r>
        <w:t xml:space="preserve"> </w:t>
      </w:r>
      <w:r>
        <w:t xml:space="preserve">&lt;What the water balance says&gt;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6"/>
    <w:bookmarkStart w:id="27" w:name="the-transport-verdict"/>
    <w:p>
      <w:pPr>
        <w:pStyle w:val="Heading2"/>
      </w:pPr>
      <w:r>
        <w:t xml:space="preserve">4.4</w:t>
      </w:r>
      <w:r>
        <w:t xml:space="preserve"> </w:t>
      </w:r>
      <w:r>
        <w:t xml:space="preserve">&lt;The transport verdict&gt;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7"/>
    <w:bookmarkEnd w:id="28"/>
    <w:bookmarkStart w:id="30" w:name="X57a8af10a5f95d2fba8de300b3bb98e06c6a461"/>
    <w:p>
      <w:pPr>
        <w:pStyle w:val="Heading1"/>
      </w:pPr>
      <w:r>
        <w:t xml:space="preserve">5. Uncertainty and the limits of your claims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~1.5 pages. This section separates reports at this level. Required content:</w:t>
      </w:r>
      <w:r>
        <w:t xml:space="preserve"> </w:t>
      </w:r>
      <w:r>
        <w:t xml:space="preserve">- the mesh envelope on your transport peak (two defensible meshes move it by roughly</w:t>
      </w:r>
      <w:r>
        <w:t xml:space="preserve"> </w:t>
      </w:r>
      <w:r>
        <w:t xml:space="preserve">+/-20 %), and its consequence — WHETHER OR NOT it flips your verdict;</w:t>
      </w:r>
      <w:r>
        <w:t xml:space="preserve"> </w:t>
      </w:r>
      <w:r>
        <w:t xml:space="preserve">- a signal / artefact / instability judgment on your main flow result, with the</w:t>
      </w:r>
      <w:r>
        <w:t xml:space="preserve"> </w:t>
      </w:r>
      <w:r>
        <w:t xml:space="preserve">evidence that discriminates — or a correct finding that your evidence CANNOT</w:t>
      </w:r>
      <w:r>
        <w:t xml:space="preserve"> </w:t>
      </w:r>
      <w:r>
        <w:t xml:space="preserve">discriminate, and what would;</w:t>
      </w:r>
      <w:r>
        <w:t xml:space="preserve"> </w:t>
      </w:r>
      <w:r>
        <w:t xml:space="preserve">- at least one limitation you found and quantified yourselves;</w:t>
      </w:r>
      <w:r>
        <w:t xml:space="preserve"> </w:t>
      </w:r>
      <w:r>
        <w:t xml:space="preserve">- your card extensions’ defensibility answers, synthesised rather than listed.</w:t>
      </w:r>
      <w:r>
        <w:t xml:space="preserve"> </w:t>
      </w:r>
      <w:r>
        <w:t xml:space="preserve">A limitation you found and measured is worth more than a paragraph of generic caveats.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Start w:id="29" w:name="what-this-model-cannot-tell-you"/>
    <w:p>
      <w:pPr>
        <w:pStyle w:val="Heading2"/>
      </w:pPr>
      <w:r>
        <w:t xml:space="preserve">5.1 What this model cannot tell you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State these explicitly. The model resolves transport ALONG the flow axis but not</w:t>
      </w:r>
      <w:r>
        <w:t xml:space="preserve"> </w:t>
      </w:r>
      <w:r>
        <w:t xml:space="preserve">across it, so:</w:t>
      </w:r>
      <w:r>
        <w:t xml:space="preserve"> </w:t>
      </w:r>
      <w:r>
        <w:t xml:space="preserve">CLAIMABLE — arrival time, first threshold exceedance, receptor peak concentration</w:t>
      </w:r>
      <w:r>
        <w:t xml:space="preserve"> </w:t>
      </w:r>
      <w:r>
        <w:t xml:space="preserve">NOT CLAIMABLE — contaminated-area maps, lateral threshold-contour width, exact plume</w:t>
      </w:r>
      <w:r>
        <w:t xml:space="preserve"> </w:t>
      </w:r>
      <w:r>
        <w:t xml:space="preserve">footprint. These are numerical artefacts at any feasible grid.</w:t>
      </w:r>
      <w:r>
        <w:t xml:space="preserve"> </w:t>
      </w:r>
      <w:r>
        <w:t xml:space="preserve">Then check nothing elsewhere in your report quietly breaks this.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29"/>
    <w:bookmarkEnd w:id="30"/>
    <w:bookmarkStart w:id="31" w:name="conclusion-and-practical-recommendation"/>
    <w:p>
      <w:pPr>
        <w:pStyle w:val="Heading1"/>
      </w:pPr>
      <w:r>
        <w:t xml:space="preserve">6. Conclusion and practical recommendation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~0.5 page.</w:t>
      </w:r>
      <w:r>
        <w:t xml:space="preserve"> </w:t>
      </w:r>
      <w:r>
        <w:t xml:space="preserve">What the result means for the actual problem — the concession, the receptor, the</w:t>
      </w:r>
      <w:r>
        <w:t xml:space="preserve"> </w:t>
      </w:r>
      <w:r>
        <w:t xml:space="preserve">compliance question. ONE recommendation, and the condition under which you would</w:t>
      </w:r>
      <w:r>
        <w:t xml:space="preserve"> </w:t>
      </w:r>
      <w:r>
        <w:t xml:space="preserve">withdraw it.</w:t>
      </w:r>
      <w:r>
        <w:t xml:space="preserve"> </w:t>
      </w:r>
      <w:r>
        <w:t xml:space="preserve">A no-reach or below-threshold result is not a weaker result.</w:t>
      </w:r>
      <w:r>
        <w:t xml:space="preserve"> </w:t>
      </w:r>
      <w:r>
        <w:t xml:space="preserve">“</w:t>
      </w:r>
      <w:r>
        <w:t xml:space="preserve">It does not reach the</w:t>
      </w:r>
      <w:r>
        <w:t xml:space="preserve"> </w:t>
      </w:r>
      <w:r>
        <w:t xml:space="preserve">well, and here is the mechanism</w:t>
      </w:r>
      <w:r>
        <w:t xml:space="preserve">”</w:t>
      </w:r>
      <w:r>
        <w:t xml:space="preserve"> </w:t>
      </w:r>
      <w:r>
        <w:t xml:space="preserve">is a strong conclusion when the evidence supports it.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31"/>
    <w:bookmarkStart w:id="32" w:name="contribution-statement"/>
    <w:p>
      <w:pPr>
        <w:pStyle w:val="Heading1"/>
      </w:pPr>
      <w:r>
        <w:t xml:space="preserve">7. Contribution statement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Must be consistent with</w:t>
      </w:r>
      <w:r>
        <w:t xml:space="preserve"> </w:t>
      </w:r>
      <w:r>
        <w:rPr>
          <w:rStyle w:val="VerbatimChar"/>
        </w:rPr>
        <w:t xml:space="preserve">SUBMISSION_README.md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 </w:t>
      </w:r>
      <w:r>
        <w:t xml:space="preserve">fields in the</w:t>
      </w:r>
      <w:r>
        <w:t xml:space="preserve"> </w:t>
      </w:r>
      <w:r>
        <w:t xml:space="preserve">scratch notebooks. That file lists one row per</w:t>
      </w:r>
      <w:r>
        <w:t xml:space="preserve"> </w:t>
      </w:r>
      <w:r>
        <w:rPr>
          <w:iCs/>
          <w:i/>
        </w:rPr>
        <w:t xml:space="preserve">card</w:t>
      </w:r>
      <w:r>
        <w:t xml:space="preserve">, this one per</w:t>
      </w:r>
      <w:r>
        <w:t xml:space="preserve"> </w:t>
      </w:r>
      <w:r>
        <w:rPr>
          <w:iCs/>
          <w:i/>
        </w:rPr>
        <w:t xml:space="preserve">member</w:t>
      </w:r>
      <w:r>
        <w:t xml:space="preserve"> </w:t>
      </w:r>
      <w:r>
        <w:t xml:space="preserve">— different</w:t>
      </w:r>
      <w:r>
        <w:t xml:space="preserve"> </w:t>
      </w:r>
      <w:r>
        <w:t xml:space="preserve">shapes, same people. In a two-member group one member has three cards; mark the short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(short)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Member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Cards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&lt;name&gt;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&lt;X, Y&gt;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&lt;one sentence&gt;</w:t>
            </w:r>
          </w:p>
        </w:tc>
        <w:trPr>
          <w:cantSplit/>
        </w:trPr>
      </w:tr>
      <w:tr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&lt;name&gt;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&lt;X, Y&gt;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&lt;one sentence&gt;</w:t>
            </w:r>
          </w:p>
        </w:tc>
        <w:trPr>
          <w:cantSplit/>
        </w:trPr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&lt;name&gt;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&lt;X, Y&gt;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&lt;one sentence&gt;</w:t>
            </w:r>
          </w:p>
        </w:tc>
        <w:trPr>
          <w:cantSplit/>
        </w:trPr>
      </w:tr>
    </w:tbl>
    <w:p>
      <w:pPr>
        <w:pStyle w:val="BodyText"/>
      </w:pPr>
      <w:r>
        <w:rPr>
          <w:bCs/>
          <w:b/>
        </w:rPr>
        <w:t xml:space="preserve">Steward roles:</w:t>
      </w:r>
      <w:r>
        <w:t xml:space="preserve"> </w:t>
      </w:r>
      <w:r>
        <w:t xml:space="preserve">flow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· transport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· export</w:t>
      </w:r>
      <w:r>
        <w:t xml:space="preserve"> </w:t>
      </w:r>
      <w:r>
        <w:rPr>
          <w:rStyle w:val="VerbatimChar"/>
        </w:rPr>
        <w:t xml:space="preserve">&lt;name&gt;</w:t>
      </w:r>
    </w:p>
    <w:bookmarkEnd w:id="32"/>
    <w:bookmarkStart w:id="3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33"/>
    <w:bookmarkEnd w:id="34"/>
    <w:bookmarkStart w:id="37" w:name="appendix"/>
    <w:p>
      <w:pPr>
        <w:pStyle w:val="Heading1"/>
        <w:pageBreakBefore/>
      </w:pPr>
      <w:r>
        <w:t xml:space="preserve">Appendix</w:t>
      </w:r>
    </w:p>
    <w:p>
      <w:pPr>
        <w:pStyle w:val="BlockText"/>
      </w:pPr>
      <w:r>
        <w:rPr>
          <w:bCs/>
          <w:b/>
        </w:rPr>
        <w:t xml:space="preserve">GUIDANCE — delete this block.</w:t>
      </w:r>
      <w:r>
        <w:t xml:space="preserve"> </w:t>
      </w:r>
      <w:r>
        <w:t xml:space="preserve">Not counted in the 10 pages. Capped at 5 pages.</w:t>
      </w:r>
    </w:p>
    <w:bookmarkStart w:id="35" w:name="a.-figure-and-table-index"/>
    <w:p>
      <w:pPr>
        <w:pStyle w:val="Heading1"/>
      </w:pPr>
      <w:r>
        <w:t xml:space="preserve">A. Figure and table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Report item</w:t>
            </w:r>
          </w:p>
        </w:tc>
        <w:tc>
          <w:tcPr>
            <w:shd w:fill="EDEDED"/>
          </w:tcPr>
          <w:p>
            <w:pPr>
              <w:pStyle w:val="Compact"/>
              <w:jc w:val="left"/>
              <w:keepNext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  <w:keepNext/>
            </w:pPr>
            <w:r>
              <w:t xml:space="preserve">Figure 1</w:t>
            </w:r>
          </w:p>
        </w:tc>
        <w:tc>
          <w:tcPr/>
          <w:p>
            <w:pPr>
              <w:pStyle w:val="Compact"/>
              <w:jc w:val="left"/>
              <w:keepNext/>
            </w:pPr>
            <w:r>
              <w:rPr>
                <w:rStyle w:val="VerbatimChar"/>
              </w:rPr>
              <w:t xml:space="preserve">figures/&lt;...&gt;</w:t>
            </w:r>
          </w:p>
        </w:tc>
        <w:trPr>
          <w:cantSplit/>
        </w:trPr>
      </w:tr>
      <w:tr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tables/&lt;...&gt;</w:t>
            </w:r>
          </w:p>
        </w:tc>
        <w:trPr>
          <w:cantSplit/>
        </w:trPr>
      </w:tr>
    </w:tbl>
    <w:bookmarkEnd w:id="35"/>
    <w:bookmarkStart w:id="36" w:name="X0585afa711488b73644bf3eb0145c93e45a4801"/>
    <w:p>
      <w:pPr>
        <w:pStyle w:val="Heading1"/>
      </w:pPr>
      <w:r>
        <w:t xml:space="preserve">B.</w:t>
      </w:r>
      <w:r>
        <w:t xml:space="preserve"> </w:t>
      </w:r>
      <w:r>
        <w:t xml:space="preserve">&lt;Derivations or intermediate numbers you want on record&gt;</w:t>
      </w:r>
    </w:p>
    <w:p>
      <w:pPr>
        <w:pStyle w:val="FirstParagraph"/>
      </w:pPr>
      <w:r>
        <w:rPr>
          <w:rStyle w:val="VerbatimChar"/>
        </w:rPr>
        <w:t xml:space="preserve">&lt;...&gt;</w:t>
      </w:r>
    </w:p>
    <w:bookmarkEnd w:id="36"/>
    <w:bookmarkEnd w:id="37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/>
      <w:sz w:val="22"/>
      <w:szCs w:val="22"/>
      <w:color w:val="000000"/>
    </w:rPr>
    <w:pPr>
      <w:spacing w:after="120" w:line="264" w:lineRule="auto"/>
    </w:pPr>
  </w:style>
  <w:style w:styleId="BodyText" w:type="paragraph">
    <w:name w:val="Body Text"/>
    <w:basedOn w:val="Normal"/>
    <w:link w:val="BodyTextChar"/>
    <w:pPr>
      <w:spacing w:after="120" w:before="180" w:line="264" w:lineRule="auto"/>
    </w:pPr>
    <w:qFormat/>
    <w:rPr>
      <w:rFonts w:ascii="Calibri" w:hAnsi="Calibri" w:cs="Calibri"/>
      <w:sz w:val="22"/>
      <w:szCs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/>
      <w:sz w:val="22"/>
      <w:szCs w:val="22"/>
      <w:color w:val="000000"/>
    </w:rPr>
    <w:pPr>
      <w:spacing w:after="120" w:line="264" w:lineRule="auto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64" w:lineRule="auto"/>
      <w:jc w:val="center"/>
    </w:pPr>
    <w:rPr>
      <w:rFonts w:asciiTheme="majorHAnsi" w:cstheme="majorBidi" w:eastAsiaTheme="majorEastAsia" w:hAnsiTheme="majorHAnsi" w:ascii="Calibri" w:hAnsi="Calibri" w:cs="Calibri"/>
      <w:b/>
      <w:bCs/>
      <w:color w:val="000000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264" w:lineRule="auto"/>
      <w:outlineLvl w:val="0"/>
    </w:pPr>
    <w:rPr>
      <w:rFonts w:asciiTheme="majorHAnsi" w:cstheme="majorBidi" w:eastAsiaTheme="majorEastAsia" w:hAnsiTheme="majorHAnsi" w:ascii="Calibri" w:hAnsi="Calibri" w:cs="Calibr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64" w:lineRule="auto"/>
      <w:outlineLvl w:val="1"/>
    </w:pPr>
    <w:rPr>
      <w:rFonts w:asciiTheme="majorHAnsi" w:cstheme="majorBidi" w:eastAsiaTheme="majorEastAsia" w:hAnsiTheme="majorHAnsi" w:ascii="Calibri" w:hAnsi="Calibri" w:cs="Calibri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64" w:lineRule="auto"/>
      <w:outlineLvl w:val="2"/>
    </w:pPr>
    <w:rPr>
      <w:rFonts w:asciiTheme="majorHAnsi" w:cstheme="majorBidi" w:eastAsiaTheme="majorEastAsia" w:hAnsiTheme="majorHAnsi" w:ascii="Calibri" w:hAnsi="Calibri" w:cs="Calibr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64" w:lineRule="auto"/>
      <w:ind w:firstLine="0" w:left="0" w:right="0"/>
      <w:keepLines/>
    </w:pPr>
    <w:rPr>
      <w:rFonts w:ascii="Calibri" w:hAnsi="Calibri" w:cs="Calibri"/>
      <w:sz w:val="20"/>
      <w:szCs w:val="20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 w:cs="Calibri"/>
      <w:sz w:val="20"/>
      <w:szCs w:val="20"/>
      <w:color w:val="000000"/>
    </w:rPr>
    <w:pPr>
      <w:spacing w:after="120" w:line="264" w:lineRule="auto"/>
    </w:p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2026-10-31T11:04:09Z</dcterms:created>
  <dcterms:modified xsi:type="dcterms:W3CDTF">2026-10-31T11:04:09Z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