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01D2" w14:textId="77777777" w:rsidR="00CF418E" w:rsidRDefault="00CF418E">
      <w:pPr>
        <w:pStyle w:val="1"/>
        <w:jc w:val="center"/>
        <w:rPr>
          <w:rFonts w:ascii="Times New Roman" w:hAnsi="Times New Roman"/>
        </w:rPr>
      </w:pPr>
    </w:p>
    <w:p w14:paraId="6F4271B1" w14:textId="77777777" w:rsidR="00CF418E" w:rsidRDefault="00000000">
      <w:pPr>
        <w:pStyle w:val="1"/>
        <w:jc w:val="center"/>
        <w:rPr>
          <w:rFonts w:ascii="Times New Roman" w:hAnsi="Times New Roman"/>
        </w:rPr>
      </w:pPr>
      <w:r>
        <w:rPr>
          <w:rFonts w:ascii="Times New Roman" w:hAnsi="Times New Roman" w:hint="eastAsia"/>
        </w:rPr>
        <w:t xml:space="preserve">  </w:t>
      </w:r>
      <w:r>
        <w:rPr>
          <w:rFonts w:ascii="Times New Roman" w:hAnsi="Times New Roman" w:hint="eastAsia"/>
        </w:rPr>
        <w:t>企业技术开发项目立项报告</w:t>
      </w:r>
    </w:p>
    <w:p w14:paraId="322DCE71" w14:textId="77777777" w:rsidR="00CF418E" w:rsidRDefault="00CF418E">
      <w:pPr>
        <w:spacing w:line="480" w:lineRule="auto"/>
        <w:jc w:val="center"/>
        <w:rPr>
          <w:rFonts w:ascii="Times New Roman" w:hAnsi="Times New Roman"/>
          <w:sz w:val="28"/>
          <w:szCs w:val="28"/>
        </w:rPr>
      </w:pPr>
    </w:p>
    <w:p w14:paraId="6EDE820C" w14:textId="77777777" w:rsidR="00CF418E" w:rsidRDefault="00CF418E">
      <w:pPr>
        <w:spacing w:line="480" w:lineRule="auto"/>
        <w:jc w:val="center"/>
        <w:rPr>
          <w:rFonts w:ascii="Times New Roman" w:hAnsi="Times New Roman"/>
          <w:sz w:val="28"/>
          <w:szCs w:val="28"/>
        </w:rPr>
      </w:pPr>
    </w:p>
    <w:p w14:paraId="1AF4FBA8"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项目名称：</w:t>
      </w:r>
      <w:r>
        <w:rPr>
          <w:rFonts w:ascii="Times New Roman" w:hAnsi="Times New Roman" w:hint="eastAsia"/>
          <w:sz w:val="28"/>
          <w:szCs w:val="28"/>
          <w:u w:val="thick"/>
        </w:rPr>
        <w:t xml:space="preserve">              </w:t>
      </w:r>
      <w:r>
        <w:rPr>
          <w:rFonts w:ascii="Times New Roman" w:hAnsi="Times New Roman" w:hint="eastAsia"/>
          <w:sz w:val="28"/>
          <w:szCs w:val="28"/>
          <w:u w:val="thick"/>
        </w:rPr>
        <w:t>抗静电水性环氧树脂涂料的制备与应用研发</w:t>
      </w:r>
      <w:r>
        <w:rPr>
          <w:rFonts w:ascii="Times New Roman" w:hAnsi="Times New Roman" w:hint="eastAsia"/>
          <w:sz w:val="28"/>
          <w:szCs w:val="28"/>
          <w:u w:val="thick"/>
        </w:rPr>
        <w:t xml:space="preserve">   </w:t>
      </w:r>
      <w:r>
        <w:rPr>
          <w:rFonts w:ascii="Times New Roman" w:hAnsi="Times New Roman"/>
          <w:sz w:val="28"/>
          <w:szCs w:val="28"/>
          <w:u w:val="thick"/>
        </w:rPr>
        <w:t xml:space="preserve">      </w:t>
      </w:r>
      <w:r>
        <w:rPr>
          <w:rFonts w:ascii="Times New Roman" w:hAnsi="Times New Roman" w:hint="eastAsia"/>
          <w:sz w:val="28"/>
          <w:szCs w:val="28"/>
          <w:u w:val="thick"/>
        </w:rPr>
        <w:t xml:space="preserve">         </w:t>
      </w:r>
    </w:p>
    <w:p w14:paraId="1909E7AF"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企业名称：</w:t>
      </w:r>
      <w:r>
        <w:rPr>
          <w:rFonts w:ascii="Times New Roman" w:hAnsi="Times New Roman" w:hint="eastAsia"/>
          <w:sz w:val="28"/>
          <w:szCs w:val="28"/>
          <w:u w:val="thick"/>
        </w:rPr>
        <w:t xml:space="preserve">            </w:t>
      </w:r>
      <w:r>
        <w:rPr>
          <w:rFonts w:ascii="Times New Roman" w:hAnsi="Times New Roman" w:hint="eastAsia"/>
          <w:sz w:val="28"/>
          <w:szCs w:val="28"/>
          <w:u w:val="thick"/>
        </w:rPr>
        <w:t>上海舜斯新材料科技有限公司</w:t>
      </w:r>
      <w:r>
        <w:rPr>
          <w:rFonts w:ascii="Times New Roman" w:hAnsi="Times New Roman" w:hint="eastAsia"/>
          <w:sz w:val="28"/>
          <w:szCs w:val="28"/>
          <w:u w:val="thick"/>
        </w:rPr>
        <w:t xml:space="preserve">             </w:t>
      </w:r>
    </w:p>
    <w:p w14:paraId="57A34B60" w14:textId="04A10719" w:rsidR="00CF418E" w:rsidRDefault="00000000">
      <w:pPr>
        <w:spacing w:line="720" w:lineRule="auto"/>
        <w:rPr>
          <w:rFonts w:ascii="Times New Roman" w:hAnsi="Times New Roman"/>
          <w:sz w:val="28"/>
          <w:szCs w:val="28"/>
        </w:rPr>
      </w:pPr>
      <w:r>
        <w:rPr>
          <w:rFonts w:ascii="Times New Roman" w:hAnsi="Times New Roman" w:hint="eastAsia"/>
          <w:sz w:val="28"/>
          <w:szCs w:val="28"/>
        </w:rPr>
        <w:t>企业法人：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558057ED"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项目负责人：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71C69769"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项目起止时间：</w:t>
      </w:r>
      <w:r>
        <w:rPr>
          <w:rFonts w:ascii="Times New Roman" w:hAnsi="Times New Roman" w:hint="eastAsia"/>
          <w:sz w:val="28"/>
          <w:szCs w:val="28"/>
          <w:u w:val="thick"/>
        </w:rPr>
        <w:t xml:space="preserve">        2024</w:t>
      </w:r>
      <w:r>
        <w:rPr>
          <w:rFonts w:ascii="Times New Roman" w:hAnsi="Times New Roman" w:hint="eastAsia"/>
          <w:sz w:val="28"/>
          <w:szCs w:val="28"/>
          <w:u w:val="thick"/>
        </w:rPr>
        <w:t>年</w:t>
      </w:r>
      <w:r>
        <w:rPr>
          <w:rFonts w:ascii="Times New Roman" w:hAnsi="Times New Roman" w:hint="eastAsia"/>
          <w:sz w:val="28"/>
          <w:szCs w:val="28"/>
          <w:u w:val="thick"/>
        </w:rPr>
        <w:t>01</w:t>
      </w:r>
      <w:r>
        <w:rPr>
          <w:rFonts w:ascii="Times New Roman" w:hAnsi="Times New Roman" w:hint="eastAsia"/>
          <w:sz w:val="28"/>
          <w:szCs w:val="28"/>
          <w:u w:val="thick"/>
        </w:rPr>
        <w:t>月至</w:t>
      </w:r>
      <w:r>
        <w:rPr>
          <w:rFonts w:ascii="Times New Roman" w:hAnsi="Times New Roman" w:hint="eastAsia"/>
          <w:sz w:val="28"/>
          <w:szCs w:val="28"/>
          <w:u w:val="thick"/>
        </w:rPr>
        <w:t>2024</w:t>
      </w:r>
      <w:r>
        <w:rPr>
          <w:rFonts w:ascii="Times New Roman" w:hAnsi="Times New Roman" w:hint="eastAsia"/>
          <w:sz w:val="28"/>
          <w:szCs w:val="28"/>
          <w:u w:val="thick"/>
        </w:rPr>
        <w:t>年</w:t>
      </w:r>
      <w:r>
        <w:rPr>
          <w:rFonts w:ascii="Times New Roman" w:hAnsi="Times New Roman" w:hint="eastAsia"/>
          <w:sz w:val="28"/>
          <w:szCs w:val="28"/>
          <w:u w:val="thick"/>
        </w:rPr>
        <w:t>12</w:t>
      </w:r>
      <w:r>
        <w:rPr>
          <w:rFonts w:ascii="Times New Roman" w:hAnsi="Times New Roman" w:hint="eastAsia"/>
          <w:sz w:val="28"/>
          <w:szCs w:val="28"/>
          <w:u w:val="thick"/>
        </w:rPr>
        <w:t>月</w:t>
      </w:r>
      <w:r>
        <w:rPr>
          <w:rFonts w:ascii="Times New Roman" w:hAnsi="Times New Roman" w:hint="eastAsia"/>
          <w:sz w:val="28"/>
          <w:szCs w:val="28"/>
          <w:u w:val="thick"/>
        </w:rPr>
        <w:t xml:space="preserve">            </w:t>
      </w:r>
    </w:p>
    <w:p w14:paraId="7274529E" w14:textId="77777777" w:rsidR="00CF418E" w:rsidRDefault="00CF418E">
      <w:pPr>
        <w:spacing w:line="480" w:lineRule="auto"/>
        <w:jc w:val="center"/>
        <w:rPr>
          <w:rFonts w:ascii="Times New Roman" w:hAnsi="Times New Roman"/>
          <w:sz w:val="28"/>
          <w:szCs w:val="28"/>
        </w:rPr>
      </w:pPr>
    </w:p>
    <w:p w14:paraId="5BC5B69C" w14:textId="77777777" w:rsidR="00CF418E" w:rsidRDefault="00CF418E">
      <w:pPr>
        <w:spacing w:line="480" w:lineRule="auto"/>
        <w:jc w:val="center"/>
        <w:rPr>
          <w:rFonts w:ascii="Times New Roman" w:hAnsi="Times New Roman"/>
          <w:sz w:val="28"/>
          <w:szCs w:val="28"/>
        </w:rPr>
      </w:pPr>
    </w:p>
    <w:p w14:paraId="1A8FF320" w14:textId="77777777" w:rsidR="00CF418E" w:rsidRDefault="00CF418E">
      <w:pPr>
        <w:spacing w:line="480" w:lineRule="auto"/>
        <w:jc w:val="center"/>
        <w:rPr>
          <w:rFonts w:ascii="Times New Roman" w:hAnsi="Times New Roman"/>
          <w:sz w:val="28"/>
          <w:szCs w:val="28"/>
        </w:rPr>
      </w:pPr>
    </w:p>
    <w:p w14:paraId="5AE33EE3" w14:textId="77777777" w:rsidR="00CF418E" w:rsidRDefault="00CF418E">
      <w:pPr>
        <w:spacing w:line="480" w:lineRule="auto"/>
        <w:jc w:val="center"/>
        <w:rPr>
          <w:rFonts w:ascii="Times New Roman" w:hAnsi="Times New Roman"/>
          <w:sz w:val="28"/>
          <w:szCs w:val="28"/>
        </w:rPr>
      </w:pPr>
    </w:p>
    <w:p w14:paraId="303D1064" w14:textId="77777777" w:rsidR="00CF418E" w:rsidRDefault="00CF418E">
      <w:pPr>
        <w:spacing w:line="480" w:lineRule="auto"/>
        <w:jc w:val="center"/>
        <w:rPr>
          <w:rFonts w:ascii="Times New Roman" w:hAnsi="Times New Roman"/>
          <w:sz w:val="28"/>
          <w:szCs w:val="28"/>
        </w:rPr>
      </w:pPr>
    </w:p>
    <w:p w14:paraId="197A4FD1" w14:textId="77777777" w:rsidR="00CF418E" w:rsidRDefault="00000000">
      <w:pPr>
        <w:spacing w:line="480" w:lineRule="auto"/>
        <w:jc w:val="center"/>
        <w:rPr>
          <w:rFonts w:ascii="Times New Roman" w:hAnsi="Times New Roman"/>
          <w:sz w:val="28"/>
          <w:szCs w:val="28"/>
        </w:rPr>
      </w:pPr>
      <w:r>
        <w:rPr>
          <w:rFonts w:ascii="Times New Roman" w:hAnsi="Times New Roman" w:hint="eastAsia"/>
          <w:sz w:val="28"/>
          <w:szCs w:val="28"/>
        </w:rPr>
        <w:t>编制日期</w:t>
      </w:r>
      <w:r>
        <w:rPr>
          <w:rFonts w:ascii="Times New Roman" w:hAnsi="Times New Roman" w:hint="eastAsia"/>
          <w:sz w:val="28"/>
          <w:szCs w:val="28"/>
        </w:rPr>
        <w:t>:2024</w:t>
      </w:r>
      <w:r>
        <w:rPr>
          <w:rFonts w:ascii="Times New Roman" w:hAnsi="Times New Roman" w:hint="eastAsia"/>
          <w:sz w:val="28"/>
          <w:szCs w:val="28"/>
        </w:rPr>
        <w:t>年</w:t>
      </w:r>
      <w:r>
        <w:rPr>
          <w:rFonts w:ascii="Times New Roman" w:hAnsi="Times New Roman" w:hint="eastAsia"/>
          <w:sz w:val="28"/>
          <w:szCs w:val="28"/>
        </w:rPr>
        <w:t>01</w:t>
      </w:r>
      <w:r>
        <w:rPr>
          <w:rFonts w:ascii="Times New Roman" w:hAnsi="Times New Roman" w:hint="eastAsia"/>
          <w:sz w:val="28"/>
          <w:szCs w:val="28"/>
        </w:rPr>
        <w:t>月</w:t>
      </w:r>
      <w:r>
        <w:rPr>
          <w:rFonts w:ascii="Times New Roman" w:hAnsi="Times New Roman" w:hint="eastAsia"/>
          <w:sz w:val="28"/>
          <w:szCs w:val="28"/>
        </w:rPr>
        <w:t>04</w:t>
      </w:r>
      <w:r>
        <w:rPr>
          <w:rFonts w:ascii="Times New Roman" w:hAnsi="Times New Roman" w:hint="eastAsia"/>
          <w:sz w:val="28"/>
          <w:szCs w:val="28"/>
        </w:rPr>
        <w:t>日</w:t>
      </w:r>
    </w:p>
    <w:p w14:paraId="39423BEE" w14:textId="77777777" w:rsidR="00CF418E" w:rsidRDefault="00CF418E">
      <w:pPr>
        <w:rPr>
          <w:rFonts w:ascii="Times New Roman" w:hAnsi="Times New Roman"/>
        </w:rPr>
      </w:pPr>
    </w:p>
    <w:p w14:paraId="43788887" w14:textId="77777777" w:rsidR="00CF418E" w:rsidRDefault="00CF418E">
      <w:pPr>
        <w:spacing w:line="360" w:lineRule="auto"/>
        <w:rPr>
          <w:rStyle w:val="a7"/>
          <w:rFonts w:ascii="Times New Roman" w:hAnsi="Times New Roman"/>
          <w:sz w:val="22"/>
          <w:szCs w:val="22"/>
        </w:rPr>
      </w:pPr>
    </w:p>
    <w:p w14:paraId="09DA5EAE" w14:textId="77777777" w:rsidR="00CF418E" w:rsidRDefault="00CF418E">
      <w:pPr>
        <w:spacing w:line="360" w:lineRule="auto"/>
        <w:rPr>
          <w:rStyle w:val="a7"/>
          <w:rFonts w:ascii="Times New Roman" w:hAnsi="Times New Roman"/>
          <w:sz w:val="22"/>
          <w:szCs w:val="22"/>
        </w:rPr>
      </w:pPr>
    </w:p>
    <w:p w14:paraId="70A75C54" w14:textId="77777777" w:rsidR="00112485" w:rsidRPr="00112485" w:rsidRDefault="00112485">
      <w:pPr>
        <w:spacing w:line="360" w:lineRule="auto"/>
        <w:rPr>
          <w:rStyle w:val="a7"/>
          <w:rFonts w:ascii="Times New Roman" w:hAnsi="Times New Roman"/>
          <w:sz w:val="22"/>
          <w:szCs w:val="22"/>
        </w:rPr>
      </w:pPr>
    </w:p>
    <w:p w14:paraId="7D1B23EA"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lastRenderedPageBreak/>
        <w:t>一、项目背景</w:t>
      </w:r>
    </w:p>
    <w:p w14:paraId="29FEE9D8"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（一）国内背景</w:t>
      </w:r>
    </w:p>
    <w:p w14:paraId="79E72933" w14:textId="77777777" w:rsidR="00CF418E" w:rsidRDefault="00000000">
      <w:pPr>
        <w:spacing w:line="360" w:lineRule="auto"/>
        <w:ind w:firstLineChars="200" w:firstLine="440"/>
        <w:rPr>
          <w:rFonts w:ascii="Times New Roman" w:hAnsi="Times New Roman"/>
          <w:sz w:val="22"/>
          <w:szCs w:val="22"/>
        </w:rPr>
      </w:pPr>
      <w:r>
        <w:t>我国涂料行业正加速向环保化转型，水性环氧树脂涂料因低VOC排放、附着力强等优势需求持续增长，但当前市场上的抗静电水性环氧树脂涂料普遍存在抗静电性能长效性不足、涂料稳定性差、与不同基材适配性弱等问题，高端产品仍依赖进口，难以满足电子、建材、轨道交通等行业对环保型长效抗静电涂料的迫切需求。同时，下游行业对涂料的性能一致性、应用便捷性要求不断提升，传统制备工艺已无法适配高质量发展的需求。</w:t>
      </w:r>
    </w:p>
    <w:p w14:paraId="46325AC8"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国际背景</w:t>
      </w:r>
    </w:p>
    <w:p w14:paraId="326A8117" w14:textId="77777777" w:rsidR="00CF418E" w:rsidRDefault="00000000">
      <w:pPr>
        <w:spacing w:line="360" w:lineRule="auto"/>
        <w:ind w:firstLineChars="200" w:firstLine="440"/>
        <w:rPr>
          <w:rFonts w:ascii="Times New Roman" w:hAnsi="Times New Roman"/>
          <w:sz w:val="22"/>
          <w:szCs w:val="22"/>
        </w:rPr>
      </w:pPr>
      <w:r>
        <w:t>欧美企业在抗静电组分的分散技术上较为成熟，可实现抗静电性能与涂料成膜性的良好平衡，产品在高端市场占据主导地位；</w:t>
      </w:r>
    </w:p>
    <w:p w14:paraId="43A176D7" w14:textId="77777777" w:rsidR="00CF418E" w:rsidRDefault="00000000">
      <w:pPr>
        <w:numPr>
          <w:ilvl w:val="0"/>
          <w:numId w:val="2"/>
        </w:numPr>
        <w:spacing w:line="360" w:lineRule="auto"/>
        <w:rPr>
          <w:rFonts w:ascii="Times New Roman" w:hAnsi="Times New Roman" w:cs="Segoe UI"/>
          <w:sz w:val="22"/>
          <w:szCs w:val="22"/>
        </w:rPr>
      </w:pPr>
      <w:r>
        <w:t>日本企业通过优化抗静电助剂的分子结构，大幅提升了涂料抗静电性能的长效性，延长了产品使用寿命；</w:t>
      </w:r>
    </w:p>
    <w:p w14:paraId="543F25A5" w14:textId="77777777" w:rsidR="00CF418E" w:rsidRDefault="00000000">
      <w:pPr>
        <w:numPr>
          <w:ilvl w:val="0"/>
          <w:numId w:val="2"/>
        </w:numPr>
        <w:spacing w:line="360" w:lineRule="auto"/>
        <w:rPr>
          <w:rFonts w:ascii="Times New Roman" w:hAnsi="Times New Roman" w:cs="Segoe UI"/>
          <w:sz w:val="22"/>
          <w:szCs w:val="22"/>
        </w:rPr>
      </w:pPr>
      <w:r>
        <w:t>德国企业注重涂料与基材的界面改性，增强了涂料在复杂基材上的附着力与耐候性；</w:t>
      </w:r>
    </w:p>
    <w:p w14:paraId="2193FD3C" w14:textId="77777777" w:rsidR="00CF418E" w:rsidRDefault="00000000">
      <w:pPr>
        <w:numPr>
          <w:ilvl w:val="0"/>
          <w:numId w:val="2"/>
        </w:numPr>
        <w:spacing w:line="360" w:lineRule="auto"/>
        <w:rPr>
          <w:rFonts w:ascii="Times New Roman" w:hAnsi="Times New Roman" w:cs="Segoe UI"/>
          <w:sz w:val="22"/>
          <w:szCs w:val="22"/>
        </w:rPr>
      </w:pPr>
      <w:r>
        <w:t>国际头部企业已实现乳液制备过程的智能化管控，通过实时参数调整保障产品批次一致性。</w:t>
      </w:r>
    </w:p>
    <w:p w14:paraId="2AF434FA"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背景总结‌</w:t>
      </w:r>
    </w:p>
    <w:p w14:paraId="6D3024DA" w14:textId="77777777" w:rsidR="00CF418E" w:rsidRDefault="00000000">
      <w:pPr>
        <w:spacing w:line="360" w:lineRule="auto"/>
        <w:ind w:firstLineChars="200" w:firstLine="440"/>
        <w:rPr>
          <w:rFonts w:ascii="Times New Roman" w:hAnsi="Times New Roman"/>
          <w:sz w:val="22"/>
          <w:szCs w:val="22"/>
        </w:rPr>
      </w:pPr>
      <w:r>
        <w:t>随着国内环保政策趋严与下游行业升级，环保型长效抗静电水性环氧树脂涂料的市场需求持续攀升。本项目基于公司已有的两项核心技术基础：一项是通过创新的组分复合与制备工艺，实现抗静电性能与涂料稳定性的协同提升；另一项是通过智能化管控体系精准调控乳液合成全流程，保障产品批次一致性，针对行业现存的技术瓶颈开展研发，进一步优化涂料的抗静电长效性、稳定性与适配性，满足国内各行业对高端环保抗静电涂料的迫切需求。</w:t>
      </w:r>
    </w:p>
    <w:p w14:paraId="52DF5BB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二、项目目标</w:t>
      </w:r>
    </w:p>
    <w:p w14:paraId="3E39FD43" w14:textId="77777777" w:rsidR="00CF418E" w:rsidRDefault="00000000">
      <w:pPr>
        <w:spacing w:line="360" w:lineRule="auto"/>
        <w:ind w:leftChars="200" w:left="420"/>
        <w:rPr>
          <w:rFonts w:ascii="Times New Roman" w:hAnsi="Times New Roman" w:cs="Segoe UI"/>
          <w:sz w:val="22"/>
          <w:szCs w:val="22"/>
        </w:rPr>
      </w:pPr>
      <w:r>
        <w:t>本项目聚焦于抗静电水性环氧树脂涂料的制备与应用研发，重点突破抗静电组分优化、乳液制备精准管控及多场景应用适配等关键技术，实现以下技术目标：</w:t>
      </w:r>
    </w:p>
    <w:p w14:paraId="62AA956E"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优化抗静电组分的复合工艺，提升涂料抗静电性能的长效性，同时保障涂料的成膜质量与稳定性；</w:t>
      </w:r>
    </w:p>
    <w:p w14:paraId="0A4D70C2"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完善智能化制备管控体系，进一步提升乳液合成过程的参数精度，确保产品批次一致性；</w:t>
      </w:r>
    </w:p>
    <w:p w14:paraId="6A133708"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优化涂料配方与成膜工艺，增强涂料在金属、塑料、混凝土等多种基材上的附着力与耐候性；</w:t>
      </w:r>
    </w:p>
    <w:p w14:paraId="3008FD6C"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开发针对电子、建材等不同行业的定制化应用方案，拓展产品的适用场景与市场覆盖面。</w:t>
      </w:r>
    </w:p>
    <w:p w14:paraId="628293E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三、预期效益与挑战</w:t>
      </w:r>
    </w:p>
    <w:p w14:paraId="35B5C26D"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（一）预期效益</w:t>
      </w:r>
    </w:p>
    <w:p w14:paraId="1BB2EADF"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经济效益：提升涂料生产效率与产品合格率，降低单位产品生产成本，增强企业在高端环保涂料市场的竞争力，预计可拓展15%以上的市场份额；</w:t>
      </w:r>
    </w:p>
    <w:p w14:paraId="7CE49F99"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社会效益：推动国产环保型抗静电涂料的升级发展，减少VOC排放，降低对进口高端涂料的依赖，助力下游行业实现绿色生产；</w:t>
      </w:r>
    </w:p>
    <w:p w14:paraId="6279DCD3"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技术效益：完善抗静电水性环氧树脂涂料的核心制备技术体系，积累自主知识产权，提升国内环保涂料行业的整体技术水平。</w:t>
      </w:r>
    </w:p>
    <w:p w14:paraId="4AEBAFBB" w14:textId="77777777" w:rsidR="00CF418E" w:rsidRDefault="00000000">
      <w:pPr>
        <w:spacing w:line="360" w:lineRule="auto"/>
        <w:rPr>
          <w:rFonts w:ascii="Times New Roman" w:eastAsia="Segoe UI" w:hAnsi="Times New Roman" w:cs="Segoe UI"/>
          <w:sz w:val="22"/>
          <w:szCs w:val="22"/>
        </w:rPr>
      </w:pPr>
      <w:r>
        <w:rPr>
          <w:rFonts w:ascii="Times New Roman" w:eastAsia="Segoe UI" w:hAnsi="Times New Roman" w:cs="Segoe UI" w:hint="eastAsia"/>
          <w:sz w:val="22"/>
          <w:szCs w:val="22"/>
        </w:rPr>
        <w:lastRenderedPageBreak/>
        <w:t>（二）面临的挑战</w:t>
      </w:r>
    </w:p>
    <w:p w14:paraId="2FF6B0C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技术平衡难度：需兼顾抗静电性能长效性、涂料稳定性与成膜质量的多重要求，配方优化与工艺调控难度较大；</w:t>
      </w:r>
    </w:p>
    <w:p w14:paraId="5F27A9A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工艺管控要求高：智能化制备体系对生产设备的精度与数据采集能力提出更高要求，需适配现有生产流程进行调试优化；</w:t>
      </w:r>
    </w:p>
    <w:p w14:paraId="509518D6"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市场适配挑战：下游不同行业对涂料性能的需求差异较大，定制化配方与应用方案的开发需投入更多研发资源。</w:t>
      </w:r>
    </w:p>
    <w:p w14:paraId="4A533A81"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项目预算：根据初步估算，项目总预算为50万元（具体金额将结合研发内容、设备投入及人力成本进一步细化后公布）</w:t>
      </w:r>
    </w:p>
    <w:p w14:paraId="7B27B563" w14:textId="77777777" w:rsidR="00CF418E" w:rsidRDefault="00CF418E">
      <w:pPr>
        <w:spacing w:line="360" w:lineRule="auto"/>
        <w:jc w:val="right"/>
        <w:rPr>
          <w:rFonts w:ascii="Times New Roman" w:hAnsi="Times New Roman"/>
          <w:sz w:val="22"/>
          <w:szCs w:val="22"/>
        </w:rPr>
      </w:pPr>
    </w:p>
    <w:p w14:paraId="27DB0AD5" w14:textId="77777777" w:rsidR="00CF418E" w:rsidRDefault="00000000">
      <w:pPr>
        <w:spacing w:line="360" w:lineRule="auto"/>
        <w:jc w:val="right"/>
        <w:rPr>
          <w:rFonts w:ascii="Times New Roman" w:hAnsi="Times New Roman"/>
          <w:sz w:val="22"/>
          <w:szCs w:val="22"/>
        </w:rPr>
      </w:pPr>
      <w:r>
        <w:t>上海舜斯新材料科技有限公司</w:t>
      </w:r>
    </w:p>
    <w:p w14:paraId="350E2356" w14:textId="77777777" w:rsidR="00CF418E" w:rsidRDefault="00000000">
      <w:pPr>
        <w:spacing w:line="360" w:lineRule="auto"/>
        <w:jc w:val="right"/>
        <w:rPr>
          <w:rFonts w:ascii="Times New Roman" w:hAnsi="Times New Roman"/>
          <w:sz w:val="22"/>
          <w:szCs w:val="22"/>
        </w:rPr>
      </w:pPr>
      <w:r>
        <w:rPr>
          <w:rFonts w:ascii="Times New Roman" w:hAnsi="Times New Roman" w:hint="eastAsia"/>
          <w:sz w:val="22"/>
          <w:szCs w:val="22"/>
        </w:rPr>
        <w:t>2024</w:t>
      </w:r>
      <w:r>
        <w:rPr>
          <w:rFonts w:ascii="Times New Roman" w:hAnsi="Times New Roman" w:hint="eastAsia"/>
          <w:sz w:val="22"/>
          <w:szCs w:val="22"/>
        </w:rPr>
        <w:t>年</w:t>
      </w:r>
      <w:r>
        <w:rPr>
          <w:rFonts w:ascii="Times New Roman" w:hAnsi="Times New Roman" w:hint="eastAsia"/>
          <w:sz w:val="22"/>
          <w:szCs w:val="22"/>
        </w:rPr>
        <w:t>1</w:t>
      </w:r>
      <w:r>
        <w:rPr>
          <w:rFonts w:ascii="Times New Roman" w:hAnsi="Times New Roman" w:hint="eastAsia"/>
          <w:sz w:val="22"/>
          <w:szCs w:val="22"/>
        </w:rPr>
        <w:t>月</w:t>
      </w:r>
      <w:r>
        <w:rPr>
          <w:rFonts w:ascii="Times New Roman" w:hAnsi="Times New Roman" w:hint="eastAsia"/>
          <w:sz w:val="22"/>
          <w:szCs w:val="22"/>
        </w:rPr>
        <w:t>4</w:t>
      </w:r>
      <w:r>
        <w:rPr>
          <w:rFonts w:ascii="Times New Roman" w:hAnsi="Times New Roman" w:hint="eastAsia"/>
          <w:sz w:val="22"/>
          <w:szCs w:val="22"/>
        </w:rPr>
        <w:t>日</w:t>
      </w:r>
    </w:p>
    <w:p w14:paraId="0175CC04" w14:textId="77777777" w:rsidR="00CF418E" w:rsidRDefault="00000000">
      <w:pPr>
        <w:pStyle w:val="2"/>
        <w:jc w:val="center"/>
        <w:rPr>
          <w:rFonts w:ascii="Times New Roman" w:hAnsi="Times New Roman"/>
          <w:sz w:val="36"/>
          <w:szCs w:val="28"/>
        </w:rPr>
      </w:pPr>
      <w:r>
        <w:rPr>
          <w:rFonts w:ascii="Times New Roman" w:hAnsi="Times New Roman" w:hint="eastAsia"/>
          <w:sz w:val="22"/>
          <w:szCs w:val="22"/>
        </w:rPr>
        <w:br w:type="page"/>
      </w:r>
      <w:r>
        <w:rPr>
          <w:rFonts w:ascii="Times New Roman" w:hAnsi="Times New Roman" w:hint="eastAsia"/>
          <w:sz w:val="36"/>
          <w:szCs w:val="28"/>
        </w:rPr>
        <w:lastRenderedPageBreak/>
        <w:t>项目立项通知</w:t>
      </w:r>
    </w:p>
    <w:p w14:paraId="481C68BC" w14:textId="77777777" w:rsidR="00CF418E" w:rsidRDefault="00000000">
      <w:pPr>
        <w:spacing w:line="360" w:lineRule="auto"/>
        <w:rPr>
          <w:rFonts w:ascii="Times New Roman" w:hAnsi="Times New Roman"/>
          <w:sz w:val="22"/>
          <w:szCs w:val="28"/>
        </w:rPr>
      </w:pPr>
      <w:r>
        <w:rPr>
          <w:rFonts w:ascii="Times New Roman" w:hAnsi="Times New Roman" w:hint="eastAsia"/>
          <w:sz w:val="22"/>
          <w:szCs w:val="28"/>
        </w:rPr>
        <w:t>各部门：</w:t>
      </w:r>
    </w:p>
    <w:p w14:paraId="711B0869" w14:textId="77777777" w:rsidR="00CF418E" w:rsidRDefault="00000000">
      <w:pPr>
        <w:spacing w:line="360" w:lineRule="auto"/>
        <w:ind w:firstLineChars="200" w:firstLine="440"/>
        <w:rPr>
          <w:rFonts w:ascii="Times New Roman" w:hAnsi="Times New Roman"/>
          <w:sz w:val="22"/>
          <w:szCs w:val="28"/>
        </w:rPr>
      </w:pPr>
      <w:r>
        <w:t>随着电子、新能源等行业对涂料的抗静电性能及环保性要求日益提升，传统涂料在防静电持久性、水性化环保指标方面存在局限，难以适配高端应用场景。基于已掌握的两项核心技术——一项可制备出兼具长效抗静电性能与优异环保属性的涂料，工艺稳定可控；另一项能实现乳液制备全流程的精准管控，大幅提升生产效率与产品一致性，我司决定立项研发'抗静电水性环氧树脂涂料的制备与应用研发'项目。请项目负责人及团队成员严格按照项目计划执行，确保项目按时、按质、按量完成。同时，公司各相关部门应给予全力支持和配合，共同推动项目的顺利实施。</w:t>
      </w:r>
    </w:p>
    <w:p w14:paraId="530DD6CD" w14:textId="77777777" w:rsidR="00CF418E" w:rsidRDefault="00CF418E">
      <w:pPr>
        <w:spacing w:line="360" w:lineRule="auto"/>
        <w:ind w:firstLineChars="200" w:firstLine="440"/>
        <w:rPr>
          <w:rFonts w:ascii="Times New Roman" w:hAnsi="Times New Roman"/>
          <w:sz w:val="22"/>
          <w:szCs w:val="28"/>
        </w:rPr>
      </w:pPr>
    </w:p>
    <w:p w14:paraId="277DE75D"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一、项目信息</w:t>
      </w:r>
    </w:p>
    <w:p w14:paraId="5EEC3B10" w14:textId="77777777" w:rsidR="00CF418E" w:rsidRDefault="00000000">
      <w:pPr>
        <w:spacing w:line="360" w:lineRule="auto"/>
        <w:rPr>
          <w:rFonts w:ascii="Times New Roman" w:hAnsi="Times New Roman"/>
          <w:sz w:val="22"/>
          <w:szCs w:val="28"/>
        </w:rPr>
      </w:pPr>
      <w:r>
        <w:t>立项编号：</w:t>
      </w:r>
    </w:p>
    <w:p w14:paraId="0FE34056" w14:textId="77777777" w:rsidR="00CF418E" w:rsidRDefault="00000000">
      <w:pPr>
        <w:spacing w:line="360" w:lineRule="auto"/>
        <w:rPr>
          <w:rFonts w:ascii="Times New Roman" w:hAnsi="Times New Roman"/>
          <w:sz w:val="22"/>
          <w:szCs w:val="28"/>
        </w:rPr>
      </w:pPr>
      <w:r>
        <w:t>发文日期：2024年1月5日</w:t>
      </w:r>
    </w:p>
    <w:p w14:paraId="7EA293FA" w14:textId="77777777" w:rsidR="00CF418E" w:rsidRDefault="00000000">
      <w:pPr>
        <w:spacing w:line="360" w:lineRule="auto"/>
        <w:rPr>
          <w:rFonts w:ascii="Times New Roman" w:hAnsi="Times New Roman"/>
          <w:sz w:val="22"/>
          <w:szCs w:val="28"/>
        </w:rPr>
      </w:pPr>
      <w:r>
        <w:t>项目名称：抗静电水性环氧树脂涂料的制备与应用研发</w:t>
      </w:r>
    </w:p>
    <w:p w14:paraId="4A02BC50" w14:textId="77777777" w:rsidR="00CF418E" w:rsidRDefault="00000000">
      <w:pPr>
        <w:spacing w:line="360" w:lineRule="auto"/>
        <w:rPr>
          <w:rFonts w:ascii="Times New Roman" w:hAnsi="Times New Roman"/>
          <w:sz w:val="22"/>
          <w:szCs w:val="28"/>
        </w:rPr>
      </w:pPr>
      <w:r>
        <w:t>项目负责人：</w:t>
      </w:r>
    </w:p>
    <w:p w14:paraId="5D0E6906" w14:textId="77777777" w:rsidR="00CF418E" w:rsidRDefault="00000000">
      <w:pPr>
        <w:spacing w:line="360" w:lineRule="auto"/>
        <w:rPr>
          <w:rFonts w:ascii="Times New Roman" w:hAnsi="Times New Roman"/>
          <w:sz w:val="22"/>
          <w:szCs w:val="28"/>
        </w:rPr>
      </w:pPr>
      <w:r>
        <w:t>项目团队：</w:t>
      </w:r>
    </w:p>
    <w:p w14:paraId="7DAFC9ED" w14:textId="77777777" w:rsidR="00CF418E" w:rsidRDefault="00000000">
      <w:pPr>
        <w:spacing w:line="360" w:lineRule="auto"/>
        <w:rPr>
          <w:rFonts w:ascii="Times New Roman" w:hAnsi="Times New Roman"/>
          <w:sz w:val="22"/>
          <w:szCs w:val="28"/>
        </w:rPr>
      </w:pPr>
      <w:r>
        <w:t>项目周期：</w:t>
      </w:r>
    </w:p>
    <w:p w14:paraId="7C59B8C9" w14:textId="77777777" w:rsidR="00CF418E" w:rsidRDefault="00000000">
      <w:pPr>
        <w:spacing w:line="360" w:lineRule="auto"/>
        <w:rPr>
          <w:rFonts w:ascii="Times New Roman" w:hAnsi="Times New Roman"/>
          <w:color w:val="0000FF"/>
          <w:sz w:val="22"/>
          <w:szCs w:val="28"/>
        </w:rPr>
      </w:pPr>
      <w:r>
        <w:t>项目预算：根据初步估算，项目总预算为45万元（具体金额待细化后公布）</w:t>
      </w:r>
    </w:p>
    <w:p w14:paraId="3A15A71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二、工作要求</w:t>
      </w:r>
    </w:p>
    <w:p w14:paraId="066FE84F"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项目团队成员需严格按照项目进度安排开展工作，确保各阶段任务按时完成。</w:t>
      </w:r>
    </w:p>
    <w:p w14:paraId="4397C810"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项目负责人需定期向相关部门及领导汇报项目进展情况，及时协调解决项目中的问题。</w:t>
      </w:r>
    </w:p>
    <w:p w14:paraId="0E7AF61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相关部门需积极配合项目团队的工作，提供必要的支持和协助。</w:t>
      </w:r>
    </w:p>
    <w:p w14:paraId="1977285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请项目团队成员及相关部门认真阅读以上内容，并按照要求开展工作。让我们共同努力，确保项目的顺利实施和圆满成功！</w:t>
      </w:r>
    </w:p>
    <w:p w14:paraId="2DA9B8FA" w14:textId="77777777" w:rsidR="00CF418E" w:rsidRDefault="00CF418E">
      <w:pPr>
        <w:spacing w:line="360" w:lineRule="auto"/>
        <w:rPr>
          <w:rFonts w:ascii="Times New Roman" w:hAnsi="Times New Roman"/>
          <w:sz w:val="22"/>
          <w:szCs w:val="28"/>
        </w:rPr>
      </w:pPr>
    </w:p>
    <w:p w14:paraId="29CE758E" w14:textId="77777777" w:rsidR="00CF418E" w:rsidRDefault="00000000">
      <w:pPr>
        <w:spacing w:line="360" w:lineRule="auto"/>
        <w:jc w:val="right"/>
        <w:rPr>
          <w:rFonts w:ascii="Times New Roman" w:hAnsi="Times New Roman"/>
          <w:sz w:val="22"/>
          <w:szCs w:val="28"/>
        </w:rPr>
      </w:pPr>
      <w:r>
        <w:t>上海舜斯新材料科技有限公司</w:t>
      </w:r>
    </w:p>
    <w:p w14:paraId="47CC764E"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w:t>
      </w:r>
      <w:r>
        <w:rPr>
          <w:rFonts w:ascii="Times New Roman" w:hAnsi="Times New Roman" w:hint="eastAsia"/>
          <w:sz w:val="22"/>
          <w:szCs w:val="28"/>
        </w:rPr>
        <w:t>月</w:t>
      </w:r>
      <w:r>
        <w:rPr>
          <w:rFonts w:ascii="Times New Roman" w:hAnsi="Times New Roman" w:hint="eastAsia"/>
          <w:sz w:val="22"/>
          <w:szCs w:val="28"/>
        </w:rPr>
        <w:t>5</w:t>
      </w:r>
      <w:r>
        <w:rPr>
          <w:rFonts w:ascii="Times New Roman" w:hAnsi="Times New Roman" w:hint="eastAsia"/>
          <w:sz w:val="22"/>
          <w:szCs w:val="28"/>
        </w:rPr>
        <w:t>日</w:t>
      </w:r>
    </w:p>
    <w:p w14:paraId="35F14DD0" w14:textId="77777777" w:rsidR="00CF418E" w:rsidRDefault="00000000">
      <w:pPr>
        <w:pStyle w:val="2"/>
        <w:spacing w:line="360" w:lineRule="auto"/>
        <w:jc w:val="center"/>
        <w:rPr>
          <w:rFonts w:ascii="Times New Roman" w:hAnsi="Times New Roman"/>
          <w:sz w:val="36"/>
          <w:szCs w:val="28"/>
        </w:rPr>
      </w:pPr>
      <w:r>
        <w:rPr>
          <w:rFonts w:ascii="Times New Roman" w:hAnsi="Times New Roman" w:hint="eastAsia"/>
          <w:sz w:val="22"/>
          <w:szCs w:val="28"/>
        </w:rPr>
        <w:br w:type="page"/>
      </w:r>
      <w:r>
        <w:rPr>
          <w:rFonts w:ascii="Times New Roman" w:hAnsi="Times New Roman" w:hint="eastAsia"/>
          <w:sz w:val="36"/>
          <w:szCs w:val="28"/>
        </w:rPr>
        <w:lastRenderedPageBreak/>
        <w:t>项目验收报告</w:t>
      </w:r>
    </w:p>
    <w:p w14:paraId="77CDB362"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一、项目概况</w:t>
      </w:r>
    </w:p>
    <w:p w14:paraId="30204255" w14:textId="77777777" w:rsidR="00CF418E" w:rsidRDefault="00000000">
      <w:pPr>
        <w:spacing w:line="360" w:lineRule="auto"/>
        <w:ind w:firstLineChars="200" w:firstLine="440"/>
        <w:rPr>
          <w:rFonts w:ascii="Times New Roman" w:hAnsi="Times New Roman"/>
          <w:sz w:val="22"/>
          <w:szCs w:val="28"/>
        </w:rPr>
      </w:pPr>
      <w:r>
        <w:t>"抗静电水性环氧树脂涂料的制备与应用研发"项目围绕传统水性环氧树脂涂料抗静电性能不足、长效性差及制备过程参数管控难度大等行业痛点，开展配方优化、工艺开发及数字化管控系统的研发工作。项目形成了两项核心成果：一种抗静电环氧树脂涂料的制备方法（ZL201910985915.5），可通过特定组分复配与工艺控制，显著提升涂料的抗静电长效稳定性；水性环氧乳液制备管理系统（2024SR0196400），可实现乳液制备全流程参数的实时监测与精准调控，保障产品质量一致性。上述成果为抗静电水性环氧涂料的规模化稳定生产提供了关键技术支撑。</w:t>
      </w:r>
    </w:p>
    <w:p w14:paraId="0E875E47"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二、项目目标与完成情况</w:t>
      </w:r>
    </w:p>
    <w:p w14:paraId="1A11ADAA" w14:textId="77777777" w:rsidR="00CF418E" w:rsidRDefault="00000000">
      <w:pPr>
        <w:spacing w:line="360" w:lineRule="auto"/>
        <w:ind w:firstLineChars="200" w:firstLine="440"/>
        <w:rPr>
          <w:rFonts w:ascii="Times New Roman" w:hAnsi="Times New Roman"/>
          <w:sz w:val="22"/>
          <w:szCs w:val="28"/>
        </w:rPr>
      </w:pPr>
      <w:r>
        <w:t>本项目以开发具备长效抗静电性能的水性环氧树脂涂料，并建立精准可控的制备管控体系为核心目标，针对传统涂料抗静电性能衰减快、生产过程参数波动大等问题开展技术攻关。通过优化抗静电组分配方、改进制备工艺，提升涂料的抗静电长效性；通过开发数字化管控系统，实现制备过程的参数闭环调控。项目按照计划完成了配方研发、工艺验证及小批量试制，相关成果已应用于公司抗静电水性环氧涂料的生产流程中，有效提升了产品质量稳定性与生产管控效率，满足了项目预期目标。</w:t>
      </w:r>
    </w:p>
    <w:p w14:paraId="4C963F3E"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三、项目核心技术点与创新点</w:t>
      </w:r>
    </w:p>
    <w:p w14:paraId="1F7ED3A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1. </w:t>
      </w:r>
      <w:r>
        <w:rPr>
          <w:rFonts w:ascii="Times New Roman" w:hAnsi="Times New Roman"/>
          <w:b/>
          <w:bCs/>
          <w:sz w:val="22"/>
          <w:szCs w:val="28"/>
        </w:rPr>
        <w:t>核心技术点</w:t>
      </w:r>
    </w:p>
    <w:p w14:paraId="1A792355"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技术点1：抗静电组分协同复配技术：通过特定导电填料与水性环氧基体的适配复配，控制填料分散状态，提升涂料抗静电性能的长效性与稳定性，避免使用过程中性能快速衰减。</w:t>
      </w:r>
    </w:p>
    <w:p w14:paraId="6383B63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技术点2：制备过程数字化管控技术：采集乳液制备过程中的温度、搅拌速度、组分添加量等关键参数，通过系统算法实现实时调整，减少人工操作误差，保障批次间产品质量一致性。</w:t>
      </w:r>
    </w:p>
    <w:p w14:paraId="55F672F6"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技术点3：低温固化成膜优化技术：优化成膜助剂与固化剂体系，实现涂料在低温环境下的良好成膜，同时保留抗静电性能，拓展涂料在低温场景的应用范围。</w:t>
      </w:r>
    </w:p>
    <w:p w14:paraId="09B0D1A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技术点4：配方适配性调整技术：针对不同应用基材（如金属、塑料等）调整组分比例与成膜体系，提升涂料的附着强度与适配性，满足多样化场景需求。</w:t>
      </w:r>
    </w:p>
    <w:p w14:paraId="273F0E3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2. </w:t>
      </w:r>
      <w:r>
        <w:rPr>
          <w:rFonts w:ascii="Times New Roman" w:hAnsi="Times New Roman"/>
          <w:b/>
          <w:bCs/>
          <w:sz w:val="22"/>
          <w:szCs w:val="28"/>
        </w:rPr>
        <w:t>创新点</w:t>
      </w:r>
    </w:p>
    <w:p w14:paraId="2EC674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创新点1：抗静电组分的长效协同设计：通过导电填料的表面改性与环氧基体的界面适配，构建稳定的导电网络，解决传统涂料抗静电性能随时间衰减的问题，提升性能长效性。</w:t>
      </w:r>
    </w:p>
    <w:p w14:paraId="5D8F02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创新点2：乳液制备的全流程数字化管控：实现制备过程参数的实时监测、自动调控与数据追溯，构建闭环管控体系，降低生产过程的参数波动，保障产品质量稳定性。</w:t>
      </w:r>
    </w:p>
    <w:p w14:paraId="4389D122"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创新点3：低温成膜与抗静电性能的平衡机制：在优化成膜体系的同时，不破坏导电网络结构，实现低温良好成膜与优异抗静电性能的兼顾，拓展了涂料的应用场景。</w:t>
      </w:r>
    </w:p>
    <w:p w14:paraId="139C0CA5" w14:textId="77777777" w:rsidR="00CF418E" w:rsidRDefault="00000000">
      <w:pPr>
        <w:numPr>
          <w:ilvl w:val="0"/>
          <w:numId w:val="8"/>
        </w:numPr>
        <w:spacing w:line="360" w:lineRule="auto"/>
        <w:rPr>
          <w:rStyle w:val="a7"/>
          <w:rFonts w:ascii="Times New Roman" w:hAnsi="Times New Roman"/>
          <w:sz w:val="22"/>
          <w:szCs w:val="28"/>
        </w:rPr>
      </w:pPr>
      <w:r>
        <w:rPr>
          <w:rStyle w:val="a7"/>
          <w:rFonts w:ascii="Times New Roman" w:hAnsi="Times New Roman" w:hint="eastAsia"/>
          <w:sz w:val="22"/>
          <w:szCs w:val="28"/>
        </w:rPr>
        <w:t>项目经费统计</w:t>
      </w: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620"/>
        <w:gridCol w:w="2620"/>
      </w:tblGrid>
      <w:tr w:rsidR="00CF418E" w14:paraId="380A45AE" w14:textId="77777777">
        <w:trPr>
          <w:trHeight w:val="708"/>
          <w:jc w:val="center"/>
        </w:trPr>
        <w:tc>
          <w:tcPr>
            <w:tcW w:w="2620" w:type="dxa"/>
            <w:vMerge w:val="restart"/>
            <w:vAlign w:val="center"/>
          </w:tcPr>
          <w:p w14:paraId="137B167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经费统计</w:t>
            </w:r>
          </w:p>
        </w:tc>
        <w:tc>
          <w:tcPr>
            <w:tcW w:w="2620" w:type="dxa"/>
            <w:vAlign w:val="center"/>
          </w:tcPr>
          <w:p w14:paraId="7059DBED"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人员人工费用</w:t>
            </w:r>
          </w:p>
        </w:tc>
        <w:tc>
          <w:tcPr>
            <w:tcW w:w="2620" w:type="dxa"/>
            <w:vAlign w:val="center"/>
          </w:tcPr>
          <w:p w14:paraId="20D65A01"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CB5DE58" w14:textId="77777777">
        <w:trPr>
          <w:trHeight w:val="708"/>
          <w:jc w:val="center"/>
        </w:trPr>
        <w:tc>
          <w:tcPr>
            <w:tcW w:w="2620" w:type="dxa"/>
            <w:vMerge/>
            <w:vAlign w:val="center"/>
          </w:tcPr>
          <w:p w14:paraId="6DC873CB"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1E712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直接投入费用</w:t>
            </w:r>
          </w:p>
        </w:tc>
        <w:tc>
          <w:tcPr>
            <w:tcW w:w="2620" w:type="dxa"/>
            <w:vAlign w:val="center"/>
          </w:tcPr>
          <w:p w14:paraId="748740BE"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42296D16" w14:textId="77777777">
        <w:trPr>
          <w:trHeight w:val="708"/>
          <w:jc w:val="center"/>
        </w:trPr>
        <w:tc>
          <w:tcPr>
            <w:tcW w:w="2620" w:type="dxa"/>
            <w:vMerge/>
            <w:vAlign w:val="center"/>
          </w:tcPr>
          <w:p w14:paraId="7CA4706D"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5CB19E8F"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其他费用</w:t>
            </w:r>
          </w:p>
        </w:tc>
        <w:tc>
          <w:tcPr>
            <w:tcW w:w="2620" w:type="dxa"/>
            <w:vAlign w:val="center"/>
          </w:tcPr>
          <w:p w14:paraId="3C70CDF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22029A6" w14:textId="77777777">
        <w:trPr>
          <w:trHeight w:val="733"/>
          <w:jc w:val="center"/>
        </w:trPr>
        <w:tc>
          <w:tcPr>
            <w:tcW w:w="2620" w:type="dxa"/>
            <w:vMerge/>
            <w:vAlign w:val="center"/>
          </w:tcPr>
          <w:p w14:paraId="5A6BAAA1"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3D7A4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总计</w:t>
            </w:r>
          </w:p>
        </w:tc>
        <w:tc>
          <w:tcPr>
            <w:tcW w:w="2620" w:type="dxa"/>
            <w:vAlign w:val="center"/>
          </w:tcPr>
          <w:p w14:paraId="7E6F0133"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bl>
    <w:p w14:paraId="37CB14BA"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经统计，项目经费符合预算要求。</w:t>
      </w:r>
    </w:p>
    <w:p w14:paraId="703132E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五、项目验收情况</w:t>
      </w:r>
    </w:p>
    <w:p w14:paraId="1AB84B20"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（一）验收内容</w:t>
      </w:r>
    </w:p>
    <w:p w14:paraId="7C3C9456" w14:textId="77777777" w:rsidR="00CF418E" w:rsidRDefault="00000000">
      <w:pPr>
        <w:numPr>
          <w:ilvl w:val="0"/>
          <w:numId w:val="9"/>
        </w:numPr>
        <w:spacing w:line="360" w:lineRule="auto"/>
        <w:ind w:left="0" w:firstLineChars="200" w:firstLine="440"/>
        <w:rPr>
          <w:rFonts w:ascii="Times New Roman" w:hAnsi="Times New Roman"/>
          <w:sz w:val="22"/>
          <w:szCs w:val="28"/>
        </w:rPr>
      </w:pPr>
      <w:r>
        <w:t>验收内容1：成果文档验收：对项目研发报告、专利申请文件、软件著作权登记材料及相关技术文档进行审查，确认成果的完整性、规范性与知识产权的合规性。</w:t>
      </w:r>
    </w:p>
    <w:p w14:paraId="21F76509" w14:textId="77777777" w:rsidR="00CF418E" w:rsidRDefault="00000000">
      <w:pPr>
        <w:numPr>
          <w:ilvl w:val="0"/>
          <w:numId w:val="9"/>
        </w:numPr>
        <w:spacing w:line="360" w:lineRule="auto"/>
        <w:ind w:left="0" w:firstLineChars="200" w:firstLine="440"/>
        <w:rPr>
          <w:rFonts w:ascii="Times New Roman" w:hAnsi="Times New Roman"/>
          <w:sz w:val="22"/>
          <w:szCs w:val="28"/>
        </w:rPr>
      </w:pPr>
      <w:r>
        <w:t>验收内容2：性能指标验收：对涂料的表面电阻率、抗静电长效稳定性、成膜质量、附着强度等关键技术指标进行测试，验证其是否达到项目设定的预期要求。</w:t>
      </w:r>
    </w:p>
    <w:p w14:paraId="4BEF06A7" w14:textId="77777777" w:rsidR="00CF418E" w:rsidRDefault="00000000">
      <w:pPr>
        <w:numPr>
          <w:ilvl w:val="0"/>
          <w:numId w:val="9"/>
        </w:numPr>
        <w:spacing w:line="360" w:lineRule="auto"/>
        <w:ind w:left="0" w:firstLineChars="200" w:firstLine="440"/>
        <w:rPr>
          <w:rFonts w:ascii="Times New Roman" w:hAnsi="Times New Roman"/>
          <w:sz w:val="22"/>
          <w:szCs w:val="28"/>
        </w:rPr>
      </w:pPr>
      <w:r>
        <w:t>验收内容3：生产应用验收：通过小批量生产验证与实际应用测试，确认成果在提升产品质量、优化生产管控效率等方面的实际效果，验证其适配性与实用性。</w:t>
      </w:r>
    </w:p>
    <w:p w14:paraId="46672C73"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（二）验收结论</w:t>
      </w:r>
    </w:p>
    <w:p w14:paraId="08200682" w14:textId="77777777" w:rsidR="00CF418E" w:rsidRDefault="00000000">
      <w:pPr>
        <w:spacing w:line="360" w:lineRule="auto"/>
        <w:ind w:firstLineChars="200" w:firstLine="440"/>
        <w:rPr>
          <w:rFonts w:ascii="Times New Roman" w:hAnsi="Times New Roman"/>
          <w:sz w:val="22"/>
          <w:szCs w:val="28"/>
        </w:rPr>
      </w:pPr>
      <w:r>
        <w:t>经过全面测试与评估，项目已完成既定研发任务，相关成果达到预期技术指标，具备实际应用价值。项目顺利通过验收。</w:t>
      </w:r>
    </w:p>
    <w:p w14:paraId="6899B3E1" w14:textId="77777777" w:rsidR="00CF418E" w:rsidRDefault="00CF418E">
      <w:pPr>
        <w:spacing w:line="360" w:lineRule="auto"/>
        <w:ind w:firstLineChars="200" w:firstLine="440"/>
        <w:rPr>
          <w:rFonts w:ascii="Times New Roman" w:hAnsi="Times New Roman"/>
          <w:sz w:val="22"/>
          <w:szCs w:val="28"/>
        </w:rPr>
      </w:pPr>
    </w:p>
    <w:p w14:paraId="26E5E5A0" w14:textId="77777777" w:rsidR="00CF418E" w:rsidRDefault="00000000">
      <w:pPr>
        <w:spacing w:line="360" w:lineRule="auto"/>
        <w:jc w:val="right"/>
        <w:rPr>
          <w:rFonts w:ascii="Times New Roman" w:hAnsi="Times New Roman"/>
          <w:sz w:val="22"/>
          <w:szCs w:val="28"/>
        </w:rPr>
      </w:pPr>
      <w:r>
        <w:t>上海舜斯新材料科技有限公司</w:t>
      </w:r>
    </w:p>
    <w:p w14:paraId="28408643"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12</w:t>
      </w:r>
      <w:r>
        <w:rPr>
          <w:rFonts w:ascii="Times New Roman" w:hAnsi="Times New Roman" w:hint="eastAsia"/>
          <w:sz w:val="22"/>
          <w:szCs w:val="28"/>
        </w:rPr>
        <w:t>月</w:t>
      </w:r>
      <w:r>
        <w:rPr>
          <w:rFonts w:ascii="Times New Roman" w:hAnsi="Times New Roman" w:hint="eastAsia"/>
          <w:sz w:val="22"/>
          <w:szCs w:val="28"/>
        </w:rPr>
        <w:t>29</w:t>
      </w:r>
      <w:r>
        <w:rPr>
          <w:rFonts w:ascii="Times New Roman" w:hAnsi="Times New Roman" w:hint="eastAsia"/>
          <w:sz w:val="22"/>
          <w:szCs w:val="28"/>
        </w:rPr>
        <w:t>日</w:t>
      </w:r>
    </w:p>
    <w:sectPr w:rsidR="00CF418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3D1E" w14:textId="77777777" w:rsidR="007B0545" w:rsidRDefault="007B0545">
      <w:r>
        <w:separator/>
      </w:r>
    </w:p>
  </w:endnote>
  <w:endnote w:type="continuationSeparator" w:id="0">
    <w:p w14:paraId="01211B34" w14:textId="77777777" w:rsidR="007B0545" w:rsidRDefault="007B0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8859" w14:textId="77777777" w:rsidR="00AD254A" w:rsidRDefault="00AD254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8290" w14:textId="77777777" w:rsidR="00AD254A" w:rsidRDefault="00AD254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5FC7" w14:textId="77777777" w:rsidR="00AD254A" w:rsidRDefault="00AD254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E499" w14:textId="77777777" w:rsidR="007B0545" w:rsidRDefault="007B0545">
      <w:r>
        <w:separator/>
      </w:r>
    </w:p>
  </w:footnote>
  <w:footnote w:type="continuationSeparator" w:id="0">
    <w:p w14:paraId="32BC9785" w14:textId="77777777" w:rsidR="007B0545" w:rsidRDefault="007B0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308B" w14:textId="77777777" w:rsidR="00AD254A" w:rsidRDefault="00AD254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826C" w14:textId="5AF533C2" w:rsidR="00CF418E" w:rsidRDefault="00000000">
    <w:pPr>
      <w:pStyle w:val="a5"/>
      <w:widowControl/>
      <w:ind w:left="880" w:hangingChars="400" w:hanging="880"/>
    </w:pPr>
    <w:r>
      <w:t xml:space="preserve">上海舜斯新材料科技有限公司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630A" w14:textId="77777777" w:rsidR="00AD254A" w:rsidRDefault="00AD254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17BD62"/>
    <w:multiLevelType w:val="singleLevel"/>
    <w:tmpl w:val="9D17BD62"/>
    <w:lvl w:ilvl="0">
      <w:start w:val="1"/>
      <w:numFmt w:val="decimal"/>
      <w:lvlText w:val="(%1)"/>
      <w:lvlJc w:val="left"/>
      <w:pPr>
        <w:ind w:left="425" w:hanging="425"/>
      </w:pPr>
      <w:rPr>
        <w:rFonts w:hint="default"/>
      </w:rPr>
    </w:lvl>
  </w:abstractNum>
  <w:abstractNum w:abstractNumId="1" w15:restartNumberingAfterBreak="0">
    <w:nsid w:val="A31363C1"/>
    <w:multiLevelType w:val="singleLevel"/>
    <w:tmpl w:val="A31363C1"/>
    <w:lvl w:ilvl="0">
      <w:start w:val="1"/>
      <w:numFmt w:val="decimal"/>
      <w:lvlText w:val="(%1)"/>
      <w:lvlJc w:val="left"/>
      <w:pPr>
        <w:ind w:left="425" w:hanging="425"/>
      </w:pPr>
      <w:rPr>
        <w:rFonts w:hint="default"/>
      </w:rPr>
    </w:lvl>
  </w:abstractNum>
  <w:abstractNum w:abstractNumId="2" w15:restartNumberingAfterBreak="0">
    <w:nsid w:val="D9DBAEED"/>
    <w:multiLevelType w:val="singleLevel"/>
    <w:tmpl w:val="D9DBAEED"/>
    <w:lvl w:ilvl="0">
      <w:start w:val="4"/>
      <w:numFmt w:val="chineseCounting"/>
      <w:suff w:val="nothing"/>
      <w:lvlText w:val="%1、"/>
      <w:lvlJc w:val="left"/>
      <w:rPr>
        <w:rFonts w:hint="eastAsia"/>
      </w:rPr>
    </w:lvl>
  </w:abstractNum>
  <w:abstractNum w:abstractNumId="3" w15:restartNumberingAfterBreak="0">
    <w:nsid w:val="E8744EF6"/>
    <w:multiLevelType w:val="singleLevel"/>
    <w:tmpl w:val="E8744EF6"/>
    <w:lvl w:ilvl="0">
      <w:start w:val="1"/>
      <w:numFmt w:val="decimal"/>
      <w:lvlText w:val="(%1)"/>
      <w:lvlJc w:val="left"/>
      <w:pPr>
        <w:ind w:left="425" w:hanging="425"/>
      </w:pPr>
      <w:rPr>
        <w:rFonts w:hint="default"/>
      </w:rPr>
    </w:lvl>
  </w:abstractNum>
  <w:abstractNum w:abstractNumId="4" w15:restartNumberingAfterBreak="0">
    <w:nsid w:val="2A4678CC"/>
    <w:multiLevelType w:val="multilevel"/>
    <w:tmpl w:val="2A4678CC"/>
    <w:lvl w:ilvl="0">
      <w:start w:val="1"/>
      <w:numFmt w:val="decimal"/>
      <w:lvlText w:val="(%1)"/>
      <w:lvlJc w:val="left"/>
      <w:pPr>
        <w:ind w:left="880" w:hanging="44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36AE33EB"/>
    <w:multiLevelType w:val="singleLevel"/>
    <w:tmpl w:val="36AE33EB"/>
    <w:lvl w:ilvl="0">
      <w:start w:val="1"/>
      <w:numFmt w:val="decimal"/>
      <w:lvlText w:val="(%1)"/>
      <w:lvlJc w:val="left"/>
      <w:pPr>
        <w:ind w:left="425" w:hanging="425"/>
      </w:pPr>
      <w:rPr>
        <w:rFonts w:hint="default"/>
      </w:rPr>
    </w:lvl>
  </w:abstractNum>
  <w:abstractNum w:abstractNumId="6" w15:restartNumberingAfterBreak="0">
    <w:nsid w:val="5968BD4F"/>
    <w:multiLevelType w:val="singleLevel"/>
    <w:tmpl w:val="5968BD4F"/>
    <w:lvl w:ilvl="0">
      <w:start w:val="2"/>
      <w:numFmt w:val="chineseCounting"/>
      <w:suff w:val="nothing"/>
      <w:lvlText w:val="（%1）"/>
      <w:lvlJc w:val="left"/>
      <w:rPr>
        <w:rFonts w:hint="eastAsia"/>
      </w:rPr>
    </w:lvl>
  </w:abstractNum>
  <w:abstractNum w:abstractNumId="7" w15:restartNumberingAfterBreak="0">
    <w:nsid w:val="72CCA1C2"/>
    <w:multiLevelType w:val="singleLevel"/>
    <w:tmpl w:val="72CCA1C2"/>
    <w:lvl w:ilvl="0">
      <w:start w:val="1"/>
      <w:numFmt w:val="decimal"/>
      <w:lvlText w:val="(%1)"/>
      <w:lvlJc w:val="left"/>
      <w:pPr>
        <w:ind w:left="425" w:hanging="425"/>
      </w:pPr>
      <w:rPr>
        <w:rFonts w:hint="default"/>
      </w:rPr>
    </w:lvl>
  </w:abstractNum>
  <w:abstractNum w:abstractNumId="8" w15:restartNumberingAfterBreak="0">
    <w:nsid w:val="77A6CEAA"/>
    <w:multiLevelType w:val="singleLevel"/>
    <w:tmpl w:val="77A6CEAA"/>
    <w:lvl w:ilvl="0">
      <w:start w:val="1"/>
      <w:numFmt w:val="decimal"/>
      <w:lvlText w:val="(%1)"/>
      <w:lvlJc w:val="left"/>
      <w:pPr>
        <w:ind w:left="425" w:hanging="425"/>
      </w:pPr>
      <w:rPr>
        <w:rFonts w:hint="default"/>
      </w:rPr>
    </w:lvl>
  </w:abstractNum>
  <w:num w:numId="1" w16cid:durableId="582688521">
    <w:abstractNumId w:val="6"/>
  </w:num>
  <w:num w:numId="2" w16cid:durableId="192501617">
    <w:abstractNumId w:val="4"/>
  </w:num>
  <w:num w:numId="3" w16cid:durableId="199321827">
    <w:abstractNumId w:val="0"/>
  </w:num>
  <w:num w:numId="4" w16cid:durableId="2092659170">
    <w:abstractNumId w:val="5"/>
  </w:num>
  <w:num w:numId="5" w16cid:durableId="2041202070">
    <w:abstractNumId w:val="1"/>
  </w:num>
  <w:num w:numId="6" w16cid:durableId="2012099252">
    <w:abstractNumId w:val="8"/>
  </w:num>
  <w:num w:numId="7" w16cid:durableId="907954560">
    <w:abstractNumId w:val="3"/>
  </w:num>
  <w:num w:numId="8" w16cid:durableId="322202211">
    <w:abstractNumId w:val="2"/>
  </w:num>
  <w:num w:numId="9" w16cid:durableId="458035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JlMTc4NGIxMGQzZGM3ZTI0N2NkOWFkZjAxZDY0MjcifQ=="/>
  </w:docVars>
  <w:rsids>
    <w:rsidRoot w:val="0033114D"/>
    <w:rsid w:val="00112485"/>
    <w:rsid w:val="00286FD0"/>
    <w:rsid w:val="002C0477"/>
    <w:rsid w:val="0033114D"/>
    <w:rsid w:val="0036056B"/>
    <w:rsid w:val="0041788D"/>
    <w:rsid w:val="00425A1B"/>
    <w:rsid w:val="004B5217"/>
    <w:rsid w:val="005505BD"/>
    <w:rsid w:val="0055606C"/>
    <w:rsid w:val="005A299D"/>
    <w:rsid w:val="005C37D8"/>
    <w:rsid w:val="006038E5"/>
    <w:rsid w:val="00617ED8"/>
    <w:rsid w:val="0063755E"/>
    <w:rsid w:val="00753929"/>
    <w:rsid w:val="007B0545"/>
    <w:rsid w:val="007D16B8"/>
    <w:rsid w:val="008248FA"/>
    <w:rsid w:val="008875A8"/>
    <w:rsid w:val="00936276"/>
    <w:rsid w:val="00952088"/>
    <w:rsid w:val="009D476B"/>
    <w:rsid w:val="009E3E1B"/>
    <w:rsid w:val="00AD254A"/>
    <w:rsid w:val="00B71F36"/>
    <w:rsid w:val="00C21A53"/>
    <w:rsid w:val="00CF418E"/>
    <w:rsid w:val="00D07826"/>
    <w:rsid w:val="00D12CCD"/>
    <w:rsid w:val="00D24822"/>
    <w:rsid w:val="00D944D8"/>
    <w:rsid w:val="00DA49F5"/>
    <w:rsid w:val="00DD3395"/>
    <w:rsid w:val="00E1589E"/>
    <w:rsid w:val="00E41409"/>
    <w:rsid w:val="00E568F2"/>
    <w:rsid w:val="00ED4C7B"/>
    <w:rsid w:val="00F16D0A"/>
    <w:rsid w:val="00FB6327"/>
    <w:rsid w:val="00FE2B5A"/>
    <w:rsid w:val="01E0373D"/>
    <w:rsid w:val="02BA3F8E"/>
    <w:rsid w:val="032B6C3A"/>
    <w:rsid w:val="03F4702C"/>
    <w:rsid w:val="04293179"/>
    <w:rsid w:val="044B4292"/>
    <w:rsid w:val="046E222D"/>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5BF7042"/>
    <w:rsid w:val="25FC0296"/>
    <w:rsid w:val="26C2328E"/>
    <w:rsid w:val="27A26C1B"/>
    <w:rsid w:val="289E0ED0"/>
    <w:rsid w:val="296A5517"/>
    <w:rsid w:val="29F574D6"/>
    <w:rsid w:val="2A224043"/>
    <w:rsid w:val="2C9F16FD"/>
    <w:rsid w:val="2D7B07E4"/>
    <w:rsid w:val="2DD660DD"/>
    <w:rsid w:val="2E9D638E"/>
    <w:rsid w:val="2EA65243"/>
    <w:rsid w:val="2F104DB2"/>
    <w:rsid w:val="2FA21EAE"/>
    <w:rsid w:val="302F21E8"/>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CF462FB"/>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1299C"/>
  <w15:docId w15:val="{B8F88602-99FA-984A-A1F7-CC3552ED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paragraph" w:styleId="5">
    <w:name w:val="heading 5"/>
    <w:basedOn w:val="a"/>
    <w:next w:val="a"/>
    <w:semiHidden/>
    <w:unhideWhenUsed/>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pPr>
      <w:spacing w:before="100" w:beforeAutospacing="1" w:after="100" w:afterAutospacing="1"/>
      <w:jc w:val="left"/>
    </w:pPr>
    <w:rPr>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cyipxm5</dc:creator>
  <cp:lastModifiedBy>孙 文豪</cp:lastModifiedBy>
  <cp:revision>69</cp:revision>
  <dcterms:created xsi:type="dcterms:W3CDTF">2025-06-13T03:08:00Z</dcterms:created>
  <dcterms:modified xsi:type="dcterms:W3CDTF">2026-03-18T08:33:00Z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2135A1833A0F45C3AE0A7AEC0DA8DC9F_13</vt:lpwstr>
  </property>
  <property fmtid="{D5CDD505-2E9C-101B-9397-08002B2CF9AE}" pid="4" name="KSOTemplateDocerSaveRecord">
    <vt:lpwstr>eyJoZGlkIjoiYWJlMTc4NGIxMGQzZGM3ZTI0N2NkOWFkZjAxZDY0MjciLCJ1c2VySWQiOiIzODg4NjQwMzAifQ==</vt:lpwstr>
  </property>
</Properties>
</file>