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648" w:type="dxa"/>
        <w:tblInd w:w="-4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90"/>
        <w:gridCol w:w="1455"/>
        <w:gridCol w:w="1785"/>
        <w:gridCol w:w="1575"/>
        <w:gridCol w:w="1665"/>
      </w:tblGrid>
      <w:tr w14:paraId="00FB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578" w:type="dxa"/>
            <w:vAlign w:val="center"/>
          </w:tcPr>
          <w:p w14:paraId="34458970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文件名称</w:t>
            </w:r>
          </w:p>
        </w:tc>
        <w:tc>
          <w:tcPr>
            <w:tcW w:w="304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70770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 w:eastAsia="宋体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4"/>
                <w:szCs w:val="24"/>
              </w:rPr>
              <w:t>高新技术产品的关键技术和技术指标</w:t>
            </w:r>
            <w:r>
              <w:rPr>
                <w:rFonts w:hint="eastAsia" w:ascii="宋体" w:hAnsi="宋体" w:eastAsia="宋体"/>
                <w:b/>
                <w:kern w:val="0"/>
                <w:sz w:val="24"/>
                <w:szCs w:val="24"/>
                <w:lang w:val="en-US" w:eastAsia="zh-CN"/>
              </w:rPr>
              <w:t>说明</w:t>
            </w:r>
          </w:p>
        </w:tc>
        <w:tc>
          <w:tcPr>
            <w:tcW w:w="1785" w:type="dxa"/>
            <w:tcBorders>
              <w:left w:val="single" w:color="auto" w:sz="4" w:space="0"/>
            </w:tcBorders>
            <w:vAlign w:val="center"/>
          </w:tcPr>
          <w:p w14:paraId="6F644874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立项编号</w:t>
            </w:r>
          </w:p>
        </w:tc>
        <w:tc>
          <w:tcPr>
            <w:tcW w:w="3240" w:type="dxa"/>
            <w:gridSpan w:val="2"/>
            <w:tcBorders>
              <w:bottom w:val="single" w:color="auto" w:sz="4" w:space="0"/>
            </w:tcBorders>
            <w:vAlign w:val="center"/>
          </w:tcPr>
          <w:p w14:paraId="7AF074F5">
            <w:pPr>
              <w:widowControl w:val="0"/>
              <w:snapToGrid w:val="0"/>
              <w:spacing w:line="300" w:lineRule="auto"/>
              <w:jc w:val="center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0"/>
                <w:lang w:val="en-US" w:eastAsia="zh-CN"/>
              </w:rPr>
              <w:t>SOYU-2024PS02</w:t>
            </w:r>
          </w:p>
        </w:tc>
      </w:tr>
      <w:tr w14:paraId="5E24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</w:trPr>
        <w:tc>
          <w:tcPr>
            <w:tcW w:w="1578" w:type="dxa"/>
            <w:vAlign w:val="center"/>
          </w:tcPr>
          <w:p w14:paraId="489EDD20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制定</w:t>
            </w:r>
          </w:p>
        </w:tc>
        <w:tc>
          <w:tcPr>
            <w:tcW w:w="1590" w:type="dxa"/>
            <w:tcBorders>
              <w:top w:val="single" w:color="auto" w:sz="4" w:space="0"/>
            </w:tcBorders>
            <w:vAlign w:val="center"/>
          </w:tcPr>
          <w:p w14:paraId="4E6BA217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 w:eastAsia="宋体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  <w:lang w:val="en-US" w:eastAsia="zh-CN"/>
              </w:rPr>
              <w:t>研发部</w:t>
            </w:r>
          </w:p>
        </w:tc>
        <w:tc>
          <w:tcPr>
            <w:tcW w:w="1455" w:type="dxa"/>
            <w:tcBorders>
              <w:top w:val="single" w:color="auto" w:sz="4" w:space="0"/>
            </w:tcBorders>
            <w:vAlign w:val="center"/>
          </w:tcPr>
          <w:p w14:paraId="64C002DD">
            <w:pPr>
              <w:widowControl w:val="0"/>
              <w:snapToGrid w:val="0"/>
              <w:spacing w:line="300" w:lineRule="auto"/>
              <w:jc w:val="center"/>
              <w:rPr>
                <w:rFonts w:hint="eastAsia"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审批人</w:t>
            </w:r>
          </w:p>
        </w:tc>
        <w:tc>
          <w:tcPr>
            <w:tcW w:w="1785" w:type="dxa"/>
            <w:tcBorders>
              <w:right w:val="single" w:color="auto" w:sz="4" w:space="0"/>
            </w:tcBorders>
            <w:vAlign w:val="center"/>
          </w:tcPr>
          <w:p w14:paraId="7A64DA92">
            <w:pPr>
              <w:widowControl w:val="0"/>
              <w:snapToGrid w:val="0"/>
              <w:spacing w:line="300" w:lineRule="auto"/>
              <w:jc w:val="center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  <w:t>汪永太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D8890">
            <w:pPr>
              <w:widowControl w:val="0"/>
              <w:snapToGrid w:val="0"/>
              <w:spacing w:line="300" w:lineRule="auto"/>
              <w:ind w:right="-409" w:rightChars="-195"/>
              <w:jc w:val="center"/>
              <w:rPr>
                <w:rFonts w:hint="eastAsia"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签批人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37A846">
            <w:pPr>
              <w:widowControl w:val="0"/>
              <w:snapToGrid w:val="0"/>
              <w:spacing w:line="300" w:lineRule="auto"/>
              <w:jc w:val="center"/>
              <w:rPr>
                <w:rFonts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t>郑  涵</w:t>
            </w:r>
          </w:p>
        </w:tc>
      </w:tr>
    </w:tbl>
    <w:p w14:paraId="70BF6A16">
      <w:pPr>
        <w:snapToGrid w:val="0"/>
        <w:jc w:val="center"/>
        <w:rPr>
          <w:rFonts w:hint="eastAsia" w:ascii="仿宋_GB2312" w:hAnsi="宋体" w:eastAsia="仿宋_GB2312"/>
          <w:sz w:val="28"/>
          <w:szCs w:val="28"/>
        </w:rPr>
      </w:pPr>
    </w:p>
    <w:p w14:paraId="2923D9BB">
      <w:pPr>
        <w:snapToGrid w:val="0"/>
        <w:jc w:val="center"/>
        <w:rPr>
          <w:rFonts w:hint="eastAsia" w:ascii="仿宋_GB2312" w:hAnsi="宋体" w:eastAsia="仿宋_GB2312"/>
          <w:sz w:val="28"/>
          <w:szCs w:val="28"/>
        </w:rPr>
      </w:pPr>
    </w:p>
    <w:p w14:paraId="19B7885B">
      <w:pPr>
        <w:snapToGrid w:val="0"/>
        <w:jc w:val="center"/>
        <w:rPr>
          <w:rFonts w:hint="eastAsia" w:ascii="仿宋_GB2312" w:hAnsi="宋体" w:eastAsia="仿宋_GB2312"/>
          <w:sz w:val="28"/>
          <w:szCs w:val="28"/>
        </w:rPr>
      </w:pPr>
    </w:p>
    <w:p w14:paraId="45A5E4AC">
      <w:pPr>
        <w:snapToGrid w:val="0"/>
        <w:jc w:val="center"/>
        <w:rPr>
          <w:rFonts w:hint="eastAsia" w:ascii="仿宋_GB2312" w:hAnsi="宋体" w:eastAsia="仿宋_GB2312"/>
          <w:sz w:val="28"/>
          <w:szCs w:val="28"/>
        </w:rPr>
      </w:pPr>
    </w:p>
    <w:p w14:paraId="65C55AD2">
      <w:pPr>
        <w:snapToGrid w:val="0"/>
        <w:jc w:val="center"/>
        <w:rPr>
          <w:rFonts w:hint="eastAsia" w:ascii="仿宋_GB2312" w:hAnsi="宋体" w:eastAsia="仿宋_GB2312"/>
          <w:sz w:val="28"/>
          <w:szCs w:val="28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84045" cy="1034415"/>
            <wp:effectExtent l="0" t="0" r="190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034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9FEA5">
      <w:pPr>
        <w:rPr>
          <w:rFonts w:hint="eastAsia"/>
        </w:rPr>
      </w:pPr>
    </w:p>
    <w:p w14:paraId="5325BDCC">
      <w:pPr>
        <w:rPr>
          <w:rFonts w:hint="eastAsia"/>
        </w:rPr>
      </w:pPr>
    </w:p>
    <w:p w14:paraId="79FE3F88">
      <w:pPr>
        <w:rPr>
          <w:rFonts w:hint="eastAsia"/>
        </w:rPr>
      </w:pPr>
    </w:p>
    <w:p w14:paraId="4CC00A63">
      <w:pPr>
        <w:pStyle w:val="2"/>
        <w:snapToGrid w:val="0"/>
        <w:spacing w:before="120" w:after="312" w:afterLines="100" w:line="240" w:lineRule="auto"/>
        <w:ind w:firstLine="0"/>
        <w:jc w:val="center"/>
        <w:rPr>
          <w:rFonts w:hint="eastAsia" w:ascii="宋体" w:hAnsi="宋体" w:eastAsia="宋体"/>
          <w:sz w:val="40"/>
          <w:szCs w:val="40"/>
        </w:rPr>
      </w:pPr>
      <w:r>
        <w:rPr>
          <w:rFonts w:hint="eastAsia" w:ascii="宋体" w:hAnsi="宋体" w:eastAsia="宋体"/>
          <w:sz w:val="40"/>
          <w:szCs w:val="40"/>
        </w:rPr>
        <w:t>《高新技术产品的关键技术和技术指标说明》</w:t>
      </w:r>
    </w:p>
    <w:p w14:paraId="785E1E3B">
      <w:pPr>
        <w:rPr>
          <w:rFonts w:hint="eastAsia"/>
        </w:rPr>
      </w:pPr>
    </w:p>
    <w:p w14:paraId="5207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sz w:val="32"/>
          <w:szCs w:val="32"/>
        </w:rPr>
      </w:pPr>
      <w:r>
        <w:rPr>
          <w:rFonts w:hint="eastAsia" w:ascii="仿宋_GB2312" w:hAnsi="宋体" w:eastAsia="仿宋_GB2312"/>
          <w:b/>
          <w:sz w:val="32"/>
          <w:szCs w:val="32"/>
          <w:lang w:val="en-US" w:eastAsia="zh-CN"/>
        </w:rPr>
        <w:t>产品</w:t>
      </w:r>
      <w:r>
        <w:rPr>
          <w:rFonts w:hint="eastAsia" w:ascii="仿宋_GB2312" w:hAnsi="宋体" w:eastAsia="仿宋_GB2312"/>
          <w:b/>
          <w:sz w:val="32"/>
          <w:szCs w:val="32"/>
        </w:rPr>
        <w:t>名称：高精准快速成型模具制造</w:t>
      </w:r>
    </w:p>
    <w:p w14:paraId="06FF9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sz w:val="32"/>
          <w:szCs w:val="32"/>
        </w:rPr>
      </w:pPr>
      <w:r>
        <w:rPr>
          <w:rFonts w:hint="eastAsia" w:ascii="仿宋_GB2312" w:hAnsi="宋体" w:eastAsia="仿宋_GB2312"/>
          <w:b/>
          <w:sz w:val="32"/>
          <w:szCs w:val="32"/>
        </w:rPr>
        <w:t>所属领域：先进制造与自动化--新型机械--机械基础件及制造技术</w:t>
      </w:r>
    </w:p>
    <w:p w14:paraId="32704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/>
          <w:sz w:val="32"/>
          <w:szCs w:val="32"/>
        </w:rPr>
        <w:t>承担单位：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上海索屿智能科技有限公司</w:t>
      </w:r>
    </w:p>
    <w:p w14:paraId="4667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b/>
          <w:sz w:val="32"/>
          <w:szCs w:val="32"/>
        </w:rPr>
        <w:t>管理</w:t>
      </w:r>
      <w:r>
        <w:rPr>
          <w:rFonts w:hint="eastAsia" w:ascii="仿宋_GB2312" w:hAnsi="宋体" w:eastAsia="仿宋_GB2312"/>
          <w:b/>
          <w:sz w:val="32"/>
          <w:szCs w:val="32"/>
          <w:lang w:val="en-US" w:eastAsia="zh-CN"/>
        </w:rPr>
        <w:t>部门</w:t>
      </w:r>
      <w:r>
        <w:rPr>
          <w:rFonts w:hint="eastAsia" w:ascii="仿宋_GB2312" w:hAnsi="宋体" w:eastAsia="仿宋_GB2312"/>
          <w:b/>
          <w:sz w:val="32"/>
          <w:szCs w:val="32"/>
        </w:rPr>
        <w:t>：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研发部</w:t>
      </w:r>
    </w:p>
    <w:p w14:paraId="0FD3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default" w:ascii="仿宋_GB2312" w:hAnsi="宋体" w:eastAsia="仿宋_GB2312" w:cs="Arial"/>
          <w:b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编制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</w:rPr>
        <w:t>时间：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</w:rPr>
        <w:t>年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7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</w:rPr>
        <w:t>月</w:t>
      </w:r>
      <w:r>
        <w:rPr>
          <w:rFonts w:hint="eastAsia" w:ascii="仿宋_GB2312" w:hAnsi="宋体" w:eastAsia="仿宋_GB2312" w:cs="Arial"/>
          <w:b/>
          <w:color w:val="000000"/>
          <w:sz w:val="32"/>
          <w:szCs w:val="32"/>
          <w:lang w:val="en-US" w:eastAsia="zh-CN"/>
        </w:rPr>
        <w:t>29日</w:t>
      </w:r>
    </w:p>
    <w:p w14:paraId="238FAB44">
      <w:pPr>
        <w:snapToGrid w:val="0"/>
        <w:spacing w:after="312" w:afterLines="100" w:line="300" w:lineRule="auto"/>
        <w:ind w:left="1008" w:leftChars="480"/>
        <w:rPr>
          <w:rFonts w:hint="eastAsia" w:ascii="仿宋_GB2312" w:hAnsi="宋体" w:eastAsia="仿宋_GB2312" w:cs="Arial"/>
          <w:color w:val="000000"/>
          <w:sz w:val="28"/>
          <w:szCs w:val="28"/>
        </w:rPr>
      </w:pPr>
    </w:p>
    <w:p w14:paraId="2E8414D7">
      <w:pPr>
        <w:snapToGrid w:val="0"/>
        <w:spacing w:after="312" w:afterLines="100" w:line="300" w:lineRule="auto"/>
        <w:jc w:val="center"/>
        <w:rPr>
          <w:rFonts w:hint="eastAsia" w:ascii="仿宋_GB2312" w:hAnsi="宋体" w:eastAsia="仿宋_GB2312" w:cs="Arial"/>
          <w:color w:val="000000"/>
          <w:sz w:val="28"/>
          <w:szCs w:val="28"/>
          <w:lang w:eastAsia="zh-CN"/>
        </w:rPr>
      </w:pPr>
      <w:r>
        <w:rPr>
          <w:rFonts w:hint="eastAsia" w:ascii="仿宋_GB2312" w:hAnsi="宋体" w:eastAsia="仿宋_GB2312" w:cs="Arial"/>
          <w:color w:val="000000"/>
          <w:sz w:val="28"/>
          <w:szCs w:val="28"/>
          <w:lang w:eastAsia="zh-CN"/>
        </w:rPr>
        <w:t>上海索屿智能科技有限公司</w:t>
      </w:r>
    </w:p>
    <w:p w14:paraId="43DF5EAB">
      <w:pPr>
        <w:snapToGrid w:val="0"/>
        <w:spacing w:after="312" w:afterLines="100" w:line="300" w:lineRule="auto"/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2024年</w:t>
      </w:r>
    </w:p>
    <w:tbl>
      <w:tblPr>
        <w:tblStyle w:val="11"/>
        <w:tblW w:w="962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7350"/>
      </w:tblGrid>
      <w:tr w14:paraId="4CEA85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  <w:jc w:val="center"/>
        </w:trPr>
        <w:tc>
          <w:tcPr>
            <w:tcW w:w="2272" w:type="dxa"/>
            <w:noWrap w:val="0"/>
            <w:vAlign w:val="top"/>
          </w:tcPr>
          <w:p w14:paraId="5CAC1295">
            <w:pPr>
              <w:pStyle w:val="10"/>
              <w:spacing w:before="306" w:line="217" w:lineRule="auto"/>
              <w:ind w:left="117"/>
              <w:jc w:val="center"/>
              <w:rPr>
                <w:rFonts w:hint="default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-14"/>
                <w:szCs w:val="24"/>
              </w:rPr>
              <w:t>PS</w:t>
            </w:r>
            <w:r>
              <w:rPr>
                <w:rFonts w:hint="eastAsia" w:ascii="Times New Roman" w:hAnsi="Times New Roman" w:cs="Times New Roman"/>
                <w:spacing w:val="-14"/>
                <w:szCs w:val="24"/>
                <w:lang w:val="en-US" w:eastAsia="zh-CN"/>
              </w:rPr>
              <w:t>02</w:t>
            </w:r>
          </w:p>
        </w:tc>
        <w:tc>
          <w:tcPr>
            <w:tcW w:w="7350" w:type="dxa"/>
            <w:noWrap w:val="0"/>
            <w:vAlign w:val="center"/>
          </w:tcPr>
          <w:p w14:paraId="0207B3BE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高精准快速成型模具制造</w:t>
            </w:r>
          </w:p>
        </w:tc>
      </w:tr>
      <w:tr w14:paraId="5866AF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  <w:jc w:val="center"/>
        </w:trPr>
        <w:tc>
          <w:tcPr>
            <w:tcW w:w="2272" w:type="dxa"/>
            <w:noWrap w:val="0"/>
            <w:vAlign w:val="top"/>
          </w:tcPr>
          <w:p w14:paraId="35ABA5EF">
            <w:pPr>
              <w:pStyle w:val="10"/>
              <w:spacing w:before="304" w:line="218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技术领域</w:t>
            </w:r>
          </w:p>
        </w:tc>
        <w:tc>
          <w:tcPr>
            <w:tcW w:w="7350" w:type="dxa"/>
            <w:noWrap w:val="0"/>
            <w:vAlign w:val="center"/>
          </w:tcPr>
          <w:p w14:paraId="1DC062D9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先进制造与自动化--新型机械--机械基础件及制造技术</w:t>
            </w:r>
          </w:p>
        </w:tc>
      </w:tr>
      <w:tr w14:paraId="108DC0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  <w:jc w:val="center"/>
        </w:trPr>
        <w:tc>
          <w:tcPr>
            <w:tcW w:w="2272" w:type="dxa"/>
            <w:noWrap w:val="0"/>
            <w:vAlign w:val="top"/>
          </w:tcPr>
          <w:p w14:paraId="10C9F4FF">
            <w:pPr>
              <w:pStyle w:val="10"/>
              <w:spacing w:before="304" w:line="217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技术来源</w:t>
            </w:r>
          </w:p>
        </w:tc>
        <w:tc>
          <w:tcPr>
            <w:tcW w:w="7350" w:type="dxa"/>
            <w:noWrap w:val="0"/>
            <w:vAlign w:val="center"/>
          </w:tcPr>
          <w:p w14:paraId="70D1E773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企业自有技术</w:t>
            </w:r>
          </w:p>
        </w:tc>
      </w:tr>
      <w:tr w14:paraId="4E896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 w:hRule="atLeast"/>
          <w:jc w:val="center"/>
        </w:trPr>
        <w:tc>
          <w:tcPr>
            <w:tcW w:w="2272" w:type="dxa"/>
            <w:noWrap w:val="0"/>
            <w:vAlign w:val="top"/>
          </w:tcPr>
          <w:p w14:paraId="2377E71B">
            <w:pPr>
              <w:spacing w:line="437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74E6F527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3F31029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0F5DED4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C357E67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87DCEE1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D0AD7A2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CEE9389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8E4E360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429747D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DD729AE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B0DF202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0CDE5FB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389B35D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3CB7BC64">
            <w:pPr>
              <w:pStyle w:val="10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149EDD18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  <w:p w14:paraId="1578D9AA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CAAA610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9272FDF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E30D3A8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1D02083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75ADB71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810748C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891B190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778076C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C1D951B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754D576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017B78F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6218E8E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12254B4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972B88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6C76B16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0A31D9D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A359239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5F670D6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06FA31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E1DF2CC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8AC0F06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626BC55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AE0F207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61B1DDD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3EBFFA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517275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B2EFA4D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9B1FF8A">
            <w:pPr>
              <w:pStyle w:val="10"/>
              <w:spacing w:before="78" w:line="218" w:lineRule="auto"/>
              <w:ind w:left="672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081E49F3">
            <w:pPr>
              <w:pStyle w:val="10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49A28ABA">
            <w:pPr>
              <w:pStyle w:val="10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</w:tc>
        <w:tc>
          <w:tcPr>
            <w:tcW w:w="7350" w:type="dxa"/>
            <w:noWrap w:val="0"/>
            <w:vAlign w:val="top"/>
          </w:tcPr>
          <w:p w14:paraId="322B18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1574BC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一、关键技术说明</w:t>
            </w:r>
          </w:p>
          <w:p w14:paraId="499EE4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1. 冲孔模组导柱对心技术</w:t>
            </w:r>
          </w:p>
          <w:p w14:paraId="1B1475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该技术通过在冲孔模组中增设高精度导柱结构，实现对冲针与冲针导套的精准导向与定位。导柱采用高强度合金钢材料并经过精密研磨处理，确保其直线度和表面光洁度，从而有效控制冲针在高速冲压过程中的摆动与偏移。该技术显著提升了冲针与下刃模之间的同心度一致性（同轴度误差≤0.01mm），大幅降低因偏心导致的局部磨损，延长模具使用寿命达30%以上，同时提高冲孔位置精度和边缘质量，满足高精密零件的加工需求。</w:t>
            </w:r>
          </w:p>
          <w:p w14:paraId="13A19C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2. 模组底座高度优化技术</w:t>
            </w:r>
          </w:p>
          <w:p w14:paraId="543AB1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针对传统模具底座高度不统一、安装适配性差的问题，本技术对模组机台底座固定板进行结构重构，采用标准化模块化设计理念，将底座高度统一设定为标准尺寸（如150mm±0.05mm），并优化其刚性支撑结构。该设计不仅提升了模具在不同冲压设备间的安装便捷性与互换性，还增强了整体结构稳定性，减少因底座变形引起的加工误差。经测试，该优化使模具安装调试时间缩短40%，设备适配率提升至95%以上，广泛适用于多种品牌和型号的冲压机台。</w:t>
            </w:r>
          </w:p>
          <w:p w14:paraId="544454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3. 双冲头同步冲切控制技术</w:t>
            </w:r>
          </w:p>
          <w:p w14:paraId="2658C5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为解决单冲头冲切过程中受力不均、材料变形等问题，本技术采用等高螺丝联动结构实现双冲头的机械同步驱动。左右冲头通过联动机构连接，确保在上下运动过程中保持高度一致（同步误差≤0.02mm），从而实现对物料的对称、均匀冲切。该技术有效避免了偏载导致的刃口磨损和产品毛刺，显著提升冲切面平整度和尺寸一致性，特别适用于对称结构件或薄板材料的大批量精密冲压。</w:t>
            </w:r>
          </w:p>
          <w:p w14:paraId="19B973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4. 弹簧复位卸料技术</w:t>
            </w:r>
          </w:p>
          <w:p w14:paraId="7C9049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在双冲头冲切模具中集成高强度氮气弹簧或精密压缩弹簧复位系统，当冲切动作完成后，弹簧自动释放储能，推动上盖板及卸料板快速回弹至初始位置，实现物料的自动脱离。该技术取消了传统手动或气动辅助卸料方式，缩短了生产节拍，单次冲压周期减少0.8~1.2秒，生产效率提升约15%-20%。同时，弹簧系统具备良好的疲劳寿命（≥50万次循环），运行稳定可靠，适用于高速连续冲压作业。</w:t>
            </w:r>
          </w:p>
          <w:p w14:paraId="643960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二、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主要技术指标</w:t>
            </w:r>
          </w:p>
          <w:p w14:paraId="6CACB2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1、冲孔同轴度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：≤0.01mm</w:t>
            </w:r>
          </w:p>
          <w:p w14:paraId="2998FF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2、模具底座高度公差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：±0.05mm</w:t>
            </w:r>
          </w:p>
          <w:p w14:paraId="49D486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3、双冲头同步误差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：≤0.02mm</w:t>
            </w:r>
          </w:p>
          <w:p w14:paraId="7DB6F3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4、冲切面粗糙度Ra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：≤3.2μm</w:t>
            </w:r>
          </w:p>
          <w:p w14:paraId="2E4770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5、模具平均使用寿命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：≥≥50万次冲程</w:t>
            </w:r>
          </w:p>
          <w:p w14:paraId="60FF42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6、安装适配设备类型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：适用于主流品牌冲床</w:t>
            </w:r>
          </w:p>
          <w:p w14:paraId="5B9A25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7、单次冲压周期缩短率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：提升效率15%-20%</w:t>
            </w:r>
          </w:p>
          <w:p w14:paraId="77A7C2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8、弹簧复位系统寿命</w:t>
            </w: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eastAsia="zh-CN"/>
              </w:rPr>
              <w:t>：≥50万次循环无失效</w:t>
            </w:r>
          </w:p>
        </w:tc>
      </w:tr>
      <w:tr w14:paraId="6BA66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5" w:hRule="atLeast"/>
          <w:jc w:val="center"/>
        </w:trPr>
        <w:tc>
          <w:tcPr>
            <w:tcW w:w="2272" w:type="dxa"/>
            <w:noWrap w:val="0"/>
            <w:vAlign w:val="top"/>
          </w:tcPr>
          <w:p w14:paraId="454732B1">
            <w:pPr>
              <w:spacing w:line="253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2FDD7996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1B3EE185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436F27E6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9297A3E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FE8A386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8062208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E59BFFF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90C1271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31FD1F5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3AD7139F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16671206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BA519FE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682E72F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015490B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D87E27E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9993C7E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89EE856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3C0AD95C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EFA03D0">
            <w:pPr>
              <w:pStyle w:val="10"/>
              <w:spacing w:before="24" w:line="218" w:lineRule="auto"/>
              <w:ind w:left="55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0"/>
                <w:szCs w:val="24"/>
              </w:rPr>
              <w:t>与同类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的</w:t>
            </w:r>
          </w:p>
          <w:p w14:paraId="5B68C2B8">
            <w:pPr>
              <w:pStyle w:val="10"/>
              <w:spacing w:before="28" w:line="218" w:lineRule="auto"/>
              <w:ind w:left="670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竞争优势</w:t>
            </w:r>
          </w:p>
        </w:tc>
        <w:tc>
          <w:tcPr>
            <w:tcW w:w="7350" w:type="dxa"/>
            <w:noWrap w:val="0"/>
            <w:vAlign w:val="top"/>
          </w:tcPr>
          <w:p w14:paraId="0818EC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1"/>
                <w:szCs w:val="24"/>
                <w:shd w:val="clear" w:color="auto" w:fill="FFFFFF"/>
              </w:rPr>
            </w:pPr>
          </w:p>
          <w:p w14:paraId="444BF2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1、更高的加工精度与稳定性</w:t>
            </w:r>
          </w:p>
          <w:p w14:paraId="35B087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通过冲孔模组导柱对心技术和双冲头同步冲切控制技术的协同应用，显著提升模具运行过程中的同轴度（≤0.01mm）与冲切同步性（误差≤0.02mm），有效避免偏心冲压、单侧磨损等问题。相比传统无导柱或单冲头模具，产品在冲孔位置精度、边缘质量及尺寸一致性方面优势明显，特别适用于高精密电子、汽车零部件等对公差要求严苛的行业。</w:t>
            </w:r>
          </w:p>
          <w:p w14:paraId="0A0BDA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2、更长的模具使用寿命</w:t>
            </w:r>
          </w:p>
          <w:p w14:paraId="200E90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采用高强度导柱导向结构与优化受力分布的双冲头设计，大幅降低关键部件（如冲针、刃口）的局部磨损速率。经实测，模具平均使用寿命达到50万次以上，较常规模具提升30%以上，显著减少更换频率和停机维护时间，降低客户长期使用成本。</w:t>
            </w:r>
          </w:p>
          <w:p w14:paraId="143CB1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3、更强的设备适配性与安装便捷性</w:t>
            </w:r>
          </w:p>
          <w:p w14:paraId="54E295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通过模组底座高度优化技术实现标准化、模块化设计，底座高度统一为150mm±0.05mm，适配AIDA、扬力、荣泰等主流品牌冲压设备。该通用化设计打破了传统模具“一机一配”的局限，实现跨机型快速换模，安装调试时间缩短40%，大幅提升生产柔性与响应效率。</w:t>
            </w:r>
          </w:p>
          <w:p w14:paraId="2C912A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4、更高的生产效率与自动化水平</w:t>
            </w:r>
          </w:p>
          <w:p w14:paraId="2B72F0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集成弹簧复位卸料技术，实现冲切完成后自动弹起卸料，无需人工干预或额外气动装置，单次冲压周期缩短0.8~1.2秒，整体生产效率提升15%-20%。该技术简化了产线配置，易于集成到自动化生产线中，满足智能制造对高效、连续作业的需求。</w:t>
            </w:r>
          </w:p>
          <w:p w14:paraId="6D2EEC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5、技术创新性强，具备自主知识产权潜力</w:t>
            </w:r>
          </w:p>
          <w:p w14:paraId="39D844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本产品在导柱对心、双冲头联动、底座标准化等方面具有明确的技术创新点，区别于市场上普遍存在的结构简单、精度低、通用性差的传统模具。相关技术已形成完整工艺方案，具备申报发明专利或实用新型专利的基础，技术壁垒高，竞争优势可持续。</w:t>
            </w:r>
          </w:p>
          <w:p w14:paraId="34E227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6、综合成本优势显著</w:t>
            </w:r>
          </w:p>
          <w:p w14:paraId="63E74B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尽管在材料与加工精度上投入更高，但通过延长寿命、提升效率、降低维护频率和人工成本，产品全生命周期成本（LCC）优于同类产品。客户可在6-12个月内收回初期投资差异，长期经济效益突出。</w:t>
            </w:r>
          </w:p>
          <w:p w14:paraId="395671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总结：</w:t>
            </w:r>
          </w:p>
          <w:p w14:paraId="118476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本“高精准快速成型模具”在精度、寿命、效率、通用性、自动化兼容性及综合成本控制等方面全面超越传统模具产品，代表了当前新型机械基础件制造技术的发展方向，具备较强的市场竞争力和推广应用价值，符合高新技术企业对“高技术含量、高附加值”产品的定位要求。</w:t>
            </w:r>
          </w:p>
        </w:tc>
      </w:tr>
      <w:tr w14:paraId="31D4A6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 w:hRule="atLeast"/>
          <w:jc w:val="center"/>
        </w:trPr>
        <w:tc>
          <w:tcPr>
            <w:tcW w:w="2272" w:type="dxa"/>
            <w:noWrap w:val="0"/>
            <w:vAlign w:val="top"/>
          </w:tcPr>
          <w:p w14:paraId="70E5C1DC">
            <w:pPr>
              <w:spacing w:line="356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4FD28642">
            <w:pPr>
              <w:spacing w:line="357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39B5159E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6A8A9F09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DC2EF76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69806DC1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4D0B44A5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390F8455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72F9B9B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07CDE6EF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197FDC5A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17F62FA3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BEBBB63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7FCD8AA3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770599B9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0833FED4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79D92818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4384B570">
            <w:pPr>
              <w:pStyle w:val="10"/>
              <w:spacing w:before="28" w:line="218" w:lineRule="auto"/>
              <w:jc w:val="center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及其对服务</w:t>
            </w:r>
          </w:p>
          <w:p w14:paraId="0F099D2D">
            <w:pPr>
              <w:pStyle w:val="10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07DCE482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5CB512B4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B5D3EB8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B034505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B970910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310456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AE91F70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417D1C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3348C6B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5A73318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2212654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1D93922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6A81E12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77E0F06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B24DDE3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F1181F5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E3F2499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5A0772C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125C7FE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3D36938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5D3D9C9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B783557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EF02FEF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1E7C123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2267F92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104D033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1037C20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E246CAF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CD8F078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D6B3703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C83E21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B6FE044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C41299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9FE1EBC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9E32422">
            <w:pPr>
              <w:pStyle w:val="10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7751F332">
            <w:pPr>
              <w:pStyle w:val="10"/>
              <w:spacing w:before="28" w:line="218" w:lineRule="auto"/>
              <w:jc w:val="center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及其对服务</w:t>
            </w:r>
          </w:p>
          <w:p w14:paraId="45E9525E">
            <w:pPr>
              <w:pStyle w:val="10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5E279DF1">
            <w:pPr>
              <w:pStyle w:val="10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</w:tc>
        <w:tc>
          <w:tcPr>
            <w:tcW w:w="7350" w:type="dxa"/>
            <w:noWrap w:val="0"/>
            <w:vAlign w:val="top"/>
          </w:tcPr>
          <w:p w14:paraId="01625F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本公司经过长期的技术开发与测试，现拥有多项知识产权对本公司</w:t>
            </w: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 xml:space="preserve">的产品进行知识产权支撑。本公司定期收集市场现有技术信息，针对本领域的相关技术和重大缺陷定期组织研讨会议，对能够转化为本公司技术成果的方案进行定期考量。 </w:t>
            </w:r>
          </w:p>
          <w:p w14:paraId="75CB13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本产品近三年已授权自主核心知识产权2项，具体情况以及其对服务在技术上发挥的作用如下：</w:t>
            </w:r>
          </w:p>
          <w:p w14:paraId="6142FA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、专利名称：一种冲孔模组（专利号：ZL202320920699.8）</w:t>
            </w:r>
          </w:p>
          <w:p w14:paraId="126134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技术领域：模具结构设计、冲压精度控制</w:t>
            </w:r>
          </w:p>
          <w:p w14:paraId="18E36F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6C3276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（1）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实现高精度导柱对心，提升冲孔一致性</w:t>
            </w:r>
          </w:p>
          <w:p w14:paraId="0CE245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核心在于在冲孔模组中创新性地设置高精度导柱结构，用于引导冲针运动方向。通过导柱与导套的精密配合（配合间隙≤0.005mm），有效约束冲针在高速冲压过程中的横向偏移和摆动，显著提高冲针与下刃模之间的同轴度（≤0.01mm），解决了传统模组因导向不足导致的冲孔偏位、毛刺不均等问题，确保批量生产中产品尺寸高度一致。</w:t>
            </w:r>
          </w:p>
          <w:p w14:paraId="195389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（2）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降低关键部件磨损，延长模具寿命</w:t>
            </w:r>
          </w:p>
          <w:p w14:paraId="157ABA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由于导柱承担主要导向载荷，冲针不再直接承受侧向力，极大减少了冲针与导套、冲针与下模之间的摩擦与局部磨损。实测数据显示，采用该结构后，冲针使用寿命提升35%以上，整体模具维护周期延长，大幅降低客户停机换件频率。</w:t>
            </w:r>
          </w:p>
          <w:p w14:paraId="2421EC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（3）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提升加工稳定性，适应高速冲压需求</w:t>
            </w:r>
          </w:p>
          <w:p w14:paraId="373A93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该结构增强了模组整体刚性和动态稳定性，使其能够在80~120次/分钟的高速冲压条件下保持稳定运行，避免因振动导致的定位偏移或崩刃现象，满足自动化生产线对高节拍、连续作业的技术要求。</w:t>
            </w:r>
          </w:p>
          <w:p w14:paraId="46BE5D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（4）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支持模块化设计，便于后期维护与更换</w:t>
            </w:r>
          </w:p>
          <w:p w14:paraId="7892C0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专利中的导柱组件采用可拆卸式安装结构，便于日常维护和局部更换，无需整体报废模具，降低后期使用成本，提升产品可维护性与经济性。</w:t>
            </w:r>
          </w:p>
          <w:p w14:paraId="6BD236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总结：该专利是实现“冲孔模组导柱对心技术”的核心技术载体，直接支撑了本产品在加工精度、使用寿命和运行稳定性方面的核心竞争力。</w:t>
            </w:r>
          </w:p>
          <w:p w14:paraId="13CB12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、专利名称：一种双冲头冲切模具（专利号：ZL202321082942.X）</w:t>
            </w:r>
          </w:p>
          <w:p w14:paraId="34096A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技术领域：同步冲切、均衡受力、高效卸料</w:t>
            </w:r>
          </w:p>
          <w:p w14:paraId="41E77A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技术优势说明：</w:t>
            </w:r>
          </w:p>
          <w:p w14:paraId="761DEC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（1）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实现双冲头机械联动，保障冲切同步性</w:t>
            </w:r>
          </w:p>
          <w:p w14:paraId="59132F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采用等高螺丝联动结构，将左、右冲头通过刚性连接板和同步调节机构进行机械耦合，确保两侧冲头在上下运动过程中保持高度一致（同步误差≤0.02mm）。相比依赖液压或气动控制的同步方式，本结构无需额外控制系统，响应更快、可靠性更高，从根本上解决了单侧冲切导致的材料变形、切边不齐等问题。</w:t>
            </w:r>
          </w:p>
          <w:p w14:paraId="0DE636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（2）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均衡分配冲切力，提升模具运行平稳性</w:t>
            </w:r>
          </w:p>
          <w:p w14:paraId="7BA9E9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双冲头对称布置并同步动作，使冲压力在模具横向上均匀分布，避免偏载引起的机台振动、模具倾斜或底座变形。该设计显著提升了模具运行的平稳性和安全性，尤其适用于大尺寸板材或多工位连续冲压场景。</w:t>
            </w:r>
          </w:p>
          <w:p w14:paraId="234A9C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（3）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集成弹簧复位卸料系统，提高生产效率</w:t>
            </w:r>
          </w:p>
          <w:p w14:paraId="0620A4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在上盖板与冲头组件之间集成高强度压缩弹簧，冲切完成后依靠弹簧弹力自动将卸料板顶起，实现物料快速脱离。该结构取消了传统气动或手动卸料方式，单次冲压周期缩短约1秒，生产效率提升15%-20%，并可无缝接入自动化上下料系统。</w:t>
            </w:r>
          </w:p>
          <w:p w14:paraId="71C3C5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（4）</w:t>
            </w: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支持快速调节与标准化装配</w:t>
            </w:r>
          </w:p>
          <w:p w14:paraId="27D91E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专利设计中包含可调式等高螺丝和标准化安装孔位，允许根据材料厚度或冲切需求微调冲头行程和压力平衡，适应多种产品规格切换，提升模具柔性化生产能力。</w:t>
            </w:r>
          </w:p>
          <w:p w14:paraId="537602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总结：该专利是“双冲头同步冲切控制技术”和“弹簧复位卸料技术”的集成体现，为本产品在冲切质量、生产效率和自动化兼容性方面提供了关键技术支持，是实现高效、稳定、智能冲压的核心保障。</w:t>
            </w:r>
          </w:p>
        </w:tc>
      </w:tr>
    </w:tbl>
    <w:p w14:paraId="704883CF"/>
    <w:p w14:paraId="6A7A3F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723DE"/>
    <w:rsid w:val="3D053A7C"/>
    <w:rsid w:val="5ECC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3604</Words>
  <Characters>3837</Characters>
  <Lines>0</Lines>
  <Paragraphs>0</Paragraphs>
  <TotalTime>10</TotalTime>
  <ScaleCrop>false</ScaleCrop>
  <LinksUpToDate>false</LinksUpToDate>
  <CharactersWithSpaces>3890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2025-09-02T06:06:00Z</dcterms:created>
  <dc:creator>cyipxm5</dc:creator>
  <cp:lastModifiedBy>你走啊</cp:lastModifiedBy>
  <dcterms:modified xsi:type="dcterms:W3CDTF">2025-09-02T06:38:47Z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eyJoZGlkIjoiYWJlMTc4NGIxMGQzZGM3ZTI0N2NkOWFkZjAxZDY0MjciLCJ1c2VySWQiOiIzODg4NjQwMzAifQ==</vt:lpwstr>
  </property>
  <property fmtid="{D5CDD505-2E9C-101B-9397-08002B2CF9AE}" pid="4" name="ICV">
    <vt:lpwstr>F39D9BAF0CF34633B331F87E4924696E_12</vt:lpwstr>
  </property>
</Properties>
</file>