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BDB06">
      <w:pPr>
        <w:pStyle w:val="2"/>
        <w:jc w:val="center"/>
        <w:rPr>
          <w:rFonts w:ascii="Times New Roman" w:hAnsi="Times New Roman"/>
        </w:rPr>
      </w:pPr>
      <w:bookmarkStart w:id="0" w:name="_GoBack"/>
      <w:bookmarkEnd w:id="0"/>
    </w:p>
    <w:p w14:paraId="699343F5">
      <w:pPr>
        <w:pStyle w:val="2"/>
        <w:jc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企业技术开发项目立项报告</w:t>
      </w:r>
    </w:p>
    <w:p w14:paraId="2F17248C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012DA965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3749B41F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项目名称：</w:t>
      </w:r>
      <w:r>
        <w:rPr>
          <w:rFonts w:hint="eastAsia" w:ascii="Times New Roman" w:hAnsi="Times New Roman"/>
          <w:sz w:val="28"/>
          <w:szCs w:val="28"/>
          <w:u w:val="thick"/>
        </w:rPr>
        <w:t xml:space="preserve">     适用于狭缝涂布设备的双层千分尺调节模头            </w:t>
      </w:r>
    </w:p>
    <w:p w14:paraId="605C7B69">
      <w:pPr>
        <w:spacing w:line="720" w:lineRule="auto"/>
        <w:rPr>
          <w:rFonts w:ascii="Times New Roman" w:hAnsi="Times New Roman"/>
          <w:sz w:val="28"/>
          <w:szCs w:val="28"/>
          <w:u w:val="thick"/>
        </w:rPr>
      </w:pPr>
      <w:r>
        <w:rPr>
          <w:rFonts w:hint="eastAsia" w:ascii="Times New Roman" w:hAnsi="Times New Roman"/>
          <w:sz w:val="28"/>
          <w:szCs w:val="28"/>
        </w:rPr>
        <w:t>企业名称：</w:t>
      </w:r>
      <w:r>
        <w:rPr>
          <w:rFonts w:hint="eastAsia" w:ascii="Times New Roman" w:hAnsi="Times New Roman"/>
          <w:sz w:val="28"/>
          <w:szCs w:val="28"/>
          <w:u w:val="thick"/>
        </w:rPr>
        <w:t xml:space="preserve">            上海付迅信息科技有限公司             </w:t>
      </w:r>
    </w:p>
    <w:p w14:paraId="3093A29B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企业法人：</w:t>
      </w:r>
      <w:r>
        <w:rPr>
          <w:rFonts w:hint="eastAsia" w:ascii="Times New Roman" w:hAnsi="Times New Roman"/>
          <w:sz w:val="28"/>
          <w:szCs w:val="28"/>
          <w:u w:val="thick"/>
        </w:rPr>
        <w:t xml:space="preserve">                    郑</w:t>
      </w:r>
      <w:r>
        <w:rPr>
          <w:rFonts w:hint="eastAsia" w:ascii="Times New Roman" w:hAnsi="Times New Roman"/>
          <w:sz w:val="28"/>
          <w:szCs w:val="28"/>
          <w:u w:val="thick"/>
          <w:lang w:val="en-US" w:eastAsia="zh-CN"/>
        </w:rPr>
        <w:t xml:space="preserve">  </w:t>
      </w:r>
      <w:r>
        <w:rPr>
          <w:rFonts w:hint="eastAsia" w:ascii="Times New Roman" w:hAnsi="Times New Roman"/>
          <w:sz w:val="28"/>
          <w:szCs w:val="28"/>
          <w:u w:val="thick"/>
        </w:rPr>
        <w:t xml:space="preserve">涵                        </w:t>
      </w:r>
    </w:p>
    <w:p w14:paraId="4118DFDA">
      <w:pPr>
        <w:spacing w:line="720" w:lineRule="auto"/>
        <w:rPr>
          <w:rFonts w:ascii="Times New Roman" w:hAnsi="Times New Roman"/>
          <w:sz w:val="28"/>
          <w:szCs w:val="28"/>
          <w:u w:val="thick"/>
        </w:rPr>
      </w:pPr>
      <w:r>
        <w:rPr>
          <w:rFonts w:hint="eastAsia" w:ascii="Times New Roman" w:hAnsi="Times New Roman"/>
          <w:sz w:val="28"/>
          <w:szCs w:val="28"/>
        </w:rPr>
        <w:t>项目负责人：</w:t>
      </w:r>
      <w:r>
        <w:rPr>
          <w:rFonts w:hint="eastAsia" w:ascii="Times New Roman" w:hAnsi="Times New Roman"/>
          <w:sz w:val="28"/>
          <w:szCs w:val="28"/>
          <w:u w:val="thick"/>
        </w:rPr>
        <w:t xml:space="preserve">                  汪永太                          </w:t>
      </w:r>
    </w:p>
    <w:p w14:paraId="616D2267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项目起止时间：</w:t>
      </w:r>
      <w:r>
        <w:rPr>
          <w:rFonts w:hint="eastAsia" w:ascii="Times New Roman" w:hAnsi="Times New Roman"/>
          <w:sz w:val="28"/>
          <w:szCs w:val="28"/>
          <w:u w:val="thick"/>
        </w:rPr>
        <w:t xml:space="preserve">        2024年01月至2024年12月            </w:t>
      </w:r>
    </w:p>
    <w:p w14:paraId="51C38E82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50BE6923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6AB8F742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45E2C75B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36E46BDC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20C396D5">
      <w:pPr>
        <w:spacing w:line="480" w:lineRule="auto"/>
        <w:jc w:val="center"/>
        <w:rPr>
          <w:rFonts w:ascii="Times New Roman" w:hAnsi="Times New Roman"/>
          <w:sz w:val="40"/>
          <w:szCs w:val="32"/>
        </w:rPr>
      </w:pPr>
      <w:r>
        <w:rPr>
          <w:rFonts w:hint="eastAsia" w:ascii="Times New Roman" w:hAnsi="Times New Roman"/>
          <w:sz w:val="28"/>
          <w:szCs w:val="28"/>
        </w:rPr>
        <w:t>编制日期:2024年01月04日</w:t>
      </w:r>
    </w:p>
    <w:p w14:paraId="74048467">
      <w:pPr>
        <w:rPr>
          <w:rFonts w:ascii="Times New Roman" w:hAnsi="Times New Roman"/>
        </w:rPr>
      </w:pPr>
    </w:p>
    <w:p w14:paraId="7CC36C85">
      <w:pPr>
        <w:spacing w:line="360" w:lineRule="auto"/>
        <w:rPr>
          <w:rStyle w:val="13"/>
          <w:rFonts w:hint="eastAsia" w:ascii="Times New Roman" w:hAnsi="Times New Roman"/>
          <w:sz w:val="22"/>
          <w:szCs w:val="22"/>
        </w:rPr>
      </w:pPr>
    </w:p>
    <w:p w14:paraId="418F7623">
      <w:pPr>
        <w:spacing w:line="360" w:lineRule="auto"/>
        <w:rPr>
          <w:rStyle w:val="13"/>
          <w:rFonts w:hint="eastAsia" w:ascii="Times New Roman" w:hAnsi="Times New Roman"/>
          <w:sz w:val="22"/>
          <w:szCs w:val="22"/>
        </w:rPr>
      </w:pPr>
    </w:p>
    <w:p w14:paraId="172E9610">
      <w:pPr>
        <w:spacing w:line="360" w:lineRule="auto"/>
        <w:rPr>
          <w:rStyle w:val="13"/>
          <w:rFonts w:ascii="Times New Roman" w:hAnsi="Times New Roman"/>
          <w:sz w:val="22"/>
          <w:szCs w:val="22"/>
        </w:rPr>
      </w:pPr>
      <w:r>
        <w:rPr>
          <w:rStyle w:val="13"/>
          <w:rFonts w:hint="eastAsia" w:ascii="Times New Roman" w:hAnsi="Times New Roman"/>
          <w:sz w:val="22"/>
          <w:szCs w:val="22"/>
        </w:rPr>
        <w:t>一、项目背景</w:t>
      </w:r>
    </w:p>
    <w:p w14:paraId="6A2B2F6C">
      <w:pPr>
        <w:spacing w:line="360" w:lineRule="auto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/>
          <w:sz w:val="22"/>
          <w:szCs w:val="22"/>
        </w:rPr>
        <w:t>（一）国内背景</w:t>
      </w:r>
    </w:p>
    <w:p w14:paraId="619BA43E">
      <w:pPr>
        <w:spacing w:line="360" w:lineRule="auto"/>
        <w:ind w:firstLine="440" w:firstLineChars="20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</w:rPr>
        <w:t>近年来，随着新能源、电子、光电等高端制造产业的快速发展，对精密涂布设备的需求持续增长。其中，狭缝涂布技术因其涂布精度高、涂层均匀性好等优点，广泛应用于锂离子电池极片、光学膜、柔性电子器件等产品的生产过程中。然而，目前国产狭缝涂布设备在核心模头的调节精度、稳定性方面仍存在短板，导致涂布质量波动较大，影响产品一致性与良品率。</w:t>
      </w:r>
    </w:p>
    <w:p w14:paraId="0BC955C6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/>
          <w:sz w:val="22"/>
          <w:szCs w:val="22"/>
        </w:rPr>
        <w:t>国际背景</w:t>
      </w:r>
    </w:p>
    <w:p w14:paraId="6A0F9A7B">
      <w:pPr>
        <w:spacing w:line="360" w:lineRule="auto"/>
        <w:ind w:firstLine="440" w:firstLineChars="20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</w:rPr>
        <w:t>在发达国家，高端涂布设备模头技术已较为成熟，主要体现在：</w:t>
      </w:r>
    </w:p>
    <w:p w14:paraId="1E0C197A">
      <w:pPr>
        <w:numPr>
          <w:ilvl w:val="0"/>
          <w:numId w:val="2"/>
        </w:numPr>
        <w:spacing w:line="360" w:lineRule="auto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调节结构精密化：采用多层联动调节机制，实现微米级调节精度；</w:t>
      </w:r>
    </w:p>
    <w:p w14:paraId="1F53F266">
      <w:pPr>
        <w:numPr>
          <w:ilvl w:val="0"/>
          <w:numId w:val="2"/>
        </w:numPr>
        <w:spacing w:line="360" w:lineRule="auto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模块化设计普及：便于快速更换与维护，提升设备运行效率；</w:t>
      </w:r>
    </w:p>
    <w:p w14:paraId="3E3DFD22">
      <w:pPr>
        <w:numPr>
          <w:ilvl w:val="0"/>
          <w:numId w:val="2"/>
        </w:numPr>
        <w:spacing w:line="360" w:lineRule="auto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材料与结构优化：提升模头耐腐蚀性与热稳定性，适应多种工艺环境。</w:t>
      </w:r>
    </w:p>
    <w:p w14:paraId="16450047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/>
          <w:sz w:val="22"/>
          <w:szCs w:val="22"/>
        </w:rPr>
        <w:t>背景总结与项目必要性‌</w:t>
      </w:r>
    </w:p>
    <w:p w14:paraId="38473B7F">
      <w:pPr>
        <w:spacing w:line="360" w:lineRule="auto"/>
        <w:ind w:firstLine="440" w:firstLineChars="20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</w:rPr>
        <w:t>面对国内高端制造产业对精密涂布设备日益增长的需求，以及进口模头价格高昂、维护周期长等问题，亟需通过自主研发突破核心调节技术瓶颈。本项目基于已有知识产权，开发适用于狭缝涂布设备的双层千分尺调节模头，旨在提升国产设备的调节精度与使用稳定性，满足高精度涂布工艺的实际需求。</w:t>
      </w:r>
    </w:p>
    <w:p w14:paraId="3F7FF230">
      <w:pPr>
        <w:spacing w:line="360" w:lineRule="auto"/>
        <w:rPr>
          <w:rStyle w:val="13"/>
          <w:rFonts w:ascii="Times New Roman" w:hAnsi="Times New Roman"/>
          <w:sz w:val="22"/>
          <w:szCs w:val="22"/>
        </w:rPr>
      </w:pPr>
      <w:r>
        <w:rPr>
          <w:rStyle w:val="13"/>
          <w:rFonts w:hint="eastAsia" w:ascii="Times New Roman" w:hAnsi="Times New Roman"/>
          <w:sz w:val="22"/>
          <w:szCs w:val="22"/>
        </w:rPr>
        <w:t>二、项目目标</w:t>
      </w:r>
    </w:p>
    <w:p w14:paraId="1F63E280">
      <w:pPr>
        <w:spacing w:line="360" w:lineRule="auto"/>
        <w:ind w:left="420" w:leftChars="20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本项目围绕狭缝涂布设备的核心模头调节结构开展研发，目标是开发具备双层调节功能的高精度模头装置，实现以下技术目标：</w:t>
      </w:r>
    </w:p>
    <w:p w14:paraId="73F34DC0">
      <w:pPr>
        <w:numPr>
          <w:ilvl w:val="0"/>
          <w:numId w:val="3"/>
        </w:numPr>
        <w:spacing w:line="360" w:lineRule="auto"/>
        <w:ind w:left="0" w:firstLine="440" w:firstLineChars="20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实现调节结构的双层联动设计，提升调节自由度与操作便捷性；</w:t>
      </w:r>
    </w:p>
    <w:p w14:paraId="1A6754C9">
      <w:pPr>
        <w:numPr>
          <w:ilvl w:val="0"/>
          <w:numId w:val="3"/>
        </w:numPr>
        <w:spacing w:line="360" w:lineRule="auto"/>
        <w:ind w:left="0" w:firstLine="440" w:firstLineChars="20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优化测微机构的限位与定位结构，提高调节精度与重复定位稳定性；</w:t>
      </w:r>
    </w:p>
    <w:p w14:paraId="2B242F21">
      <w:pPr>
        <w:numPr>
          <w:ilvl w:val="0"/>
          <w:numId w:val="3"/>
        </w:numPr>
        <w:spacing w:line="360" w:lineRule="auto"/>
        <w:ind w:left="0" w:firstLine="440" w:firstLineChars="20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引入消隙结构设计，减少调节部件间的机械间隙；</w:t>
      </w:r>
    </w:p>
    <w:p w14:paraId="6628B6FD">
      <w:pPr>
        <w:numPr>
          <w:ilvl w:val="0"/>
          <w:numId w:val="3"/>
        </w:numPr>
        <w:spacing w:line="360" w:lineRule="auto"/>
        <w:ind w:left="0" w:firstLine="440" w:firstLineChars="200"/>
        <w:rPr>
          <w:rFonts w:ascii="Times New Roman" w:hAnsi="Times New Roman" w:cs="Segoe UI"/>
          <w:sz w:val="22"/>
          <w:szCs w:val="22"/>
        </w:rPr>
      </w:pPr>
      <w:r>
        <w:rPr>
          <w:rFonts w:hint="eastAsia" w:ascii="Times New Roman" w:hAnsi="Times New Roman"/>
          <w:sz w:val="22"/>
          <w:lang w:val="en-US" w:eastAsia="zh-CN"/>
        </w:rPr>
        <w:t>开发</w:t>
      </w:r>
      <w:r>
        <w:rPr>
          <w:rFonts w:ascii="Times New Roman" w:hAnsi="Times New Roman"/>
          <w:sz w:val="22"/>
        </w:rPr>
        <w:t>零位线精准对齐技术，提升测量与调节的一致性。</w:t>
      </w:r>
    </w:p>
    <w:p w14:paraId="3BBE5EF4">
      <w:pPr>
        <w:spacing w:line="360" w:lineRule="auto"/>
        <w:rPr>
          <w:rStyle w:val="13"/>
          <w:rFonts w:ascii="Times New Roman" w:hAnsi="Times New Roman"/>
          <w:sz w:val="22"/>
          <w:szCs w:val="22"/>
        </w:rPr>
      </w:pPr>
      <w:r>
        <w:rPr>
          <w:rStyle w:val="13"/>
          <w:rFonts w:hint="eastAsia" w:ascii="Times New Roman" w:hAnsi="Times New Roman"/>
          <w:sz w:val="22"/>
          <w:szCs w:val="22"/>
        </w:rPr>
        <w:t>三、预期效益与挑战</w:t>
      </w:r>
    </w:p>
    <w:p w14:paraId="546610C9">
      <w:pPr>
        <w:spacing w:line="360" w:lineRule="auto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/>
          <w:sz w:val="22"/>
          <w:szCs w:val="22"/>
        </w:rPr>
        <w:t>（一）预期效益</w:t>
      </w:r>
    </w:p>
    <w:p w14:paraId="3800F222">
      <w:pPr>
        <w:numPr>
          <w:ilvl w:val="0"/>
          <w:numId w:val="4"/>
        </w:numPr>
        <w:spacing w:line="360" w:lineRule="auto"/>
        <w:ind w:left="0" w:firstLine="440" w:firstLineChars="20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经济效益：提升国产涂布设备的模头调节性能，降低对进口模头的依赖，预计可降低设备采购与维护成本20%以上。</w:t>
      </w:r>
    </w:p>
    <w:p w14:paraId="6425E486">
      <w:pPr>
        <w:numPr>
          <w:ilvl w:val="0"/>
          <w:numId w:val="4"/>
        </w:numPr>
        <w:spacing w:line="360" w:lineRule="auto"/>
        <w:ind w:left="0" w:firstLine="440" w:firstLineChars="20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社会效益：推动国产精密涂布装备技术进步，助力新能源、光电等战略性新兴产业的本地化配套能力提升。</w:t>
      </w:r>
    </w:p>
    <w:p w14:paraId="720354E6">
      <w:pPr>
        <w:numPr>
          <w:ilvl w:val="0"/>
          <w:numId w:val="4"/>
        </w:numPr>
        <w:spacing w:line="360" w:lineRule="auto"/>
        <w:ind w:left="0" w:firstLine="440" w:firstLineChars="20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技术效益：提高模头调节精度与稳定性，延长设备使用寿命，降低因调节误差导致的涂布不良率。</w:t>
      </w:r>
    </w:p>
    <w:p w14:paraId="3C3C08F5">
      <w:pPr>
        <w:spacing w:line="360" w:lineRule="auto"/>
        <w:rPr>
          <w:rFonts w:ascii="Times New Roman" w:hAnsi="Times New Roman" w:eastAsia="Segoe UI" w:cs="Segoe UI"/>
          <w:sz w:val="22"/>
          <w:szCs w:val="22"/>
        </w:rPr>
      </w:pPr>
      <w:r>
        <w:rPr>
          <w:rFonts w:hint="eastAsia" w:ascii="Times New Roman" w:hAnsi="Times New Roman" w:eastAsia="Segoe UI" w:cs="Segoe UI"/>
          <w:sz w:val="22"/>
          <w:szCs w:val="22"/>
        </w:rPr>
        <w:t>（二）面临的挑战</w:t>
      </w:r>
    </w:p>
    <w:p w14:paraId="19E31AD1">
      <w:pPr>
        <w:numPr>
          <w:ilvl w:val="0"/>
          <w:numId w:val="5"/>
        </w:numPr>
        <w:spacing w:line="360" w:lineRule="auto"/>
        <w:ind w:left="0" w:firstLine="440" w:firstLineChars="20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结构设计复杂性：双层调节结构对零部件加工精度与装配工艺提出更高要求；</w:t>
      </w:r>
    </w:p>
    <w:p w14:paraId="11CB684A">
      <w:pPr>
        <w:numPr>
          <w:ilvl w:val="0"/>
          <w:numId w:val="5"/>
        </w:numPr>
        <w:spacing w:line="360" w:lineRule="auto"/>
        <w:ind w:left="0" w:firstLine="440" w:firstLineChars="20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材料匹配与工艺适配：需针对不同涂布材料与工艺条件优化模头结构与表面处理方式；</w:t>
      </w:r>
    </w:p>
    <w:p w14:paraId="100D6837">
      <w:pPr>
        <w:numPr>
          <w:ilvl w:val="0"/>
          <w:numId w:val="5"/>
        </w:numPr>
        <w:spacing w:line="360" w:lineRule="auto"/>
        <w:ind w:left="0" w:firstLine="440" w:firstLineChars="20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市场接受度不确定性：部分用户对国产模头仍存在性能疑虑，推广初期需加强应用验证与技术支持；</w:t>
      </w:r>
    </w:p>
    <w:p w14:paraId="28314039">
      <w:pPr>
        <w:numPr>
          <w:ilvl w:val="0"/>
          <w:numId w:val="5"/>
        </w:numPr>
        <w:spacing w:line="360" w:lineRule="auto"/>
        <w:ind w:left="0" w:firstLine="440" w:firstLineChars="20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/>
          <w:sz w:val="22"/>
        </w:rPr>
        <w:t>项目预算：根据初步估算，项目总预算为</w:t>
      </w:r>
      <w:r>
        <w:rPr>
          <w:rFonts w:ascii="Times New Roman" w:hAnsi="Times New Roman"/>
          <w:color w:val="0000FF"/>
          <w:sz w:val="22"/>
        </w:rPr>
        <w:t>45</w:t>
      </w:r>
      <w:r>
        <w:rPr>
          <w:rFonts w:ascii="Times New Roman" w:hAnsi="Times New Roman"/>
          <w:sz w:val="22"/>
        </w:rPr>
        <w:t>万元（具体金额待细化后公布）。</w:t>
      </w:r>
    </w:p>
    <w:p w14:paraId="4D933EB6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</w:p>
    <w:p w14:paraId="2697C62C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/>
          <w:sz w:val="22"/>
          <w:szCs w:val="22"/>
        </w:rPr>
        <w:t>上海索屿智能科技有限公司</w:t>
      </w:r>
    </w:p>
    <w:p w14:paraId="62B3A7DC">
      <w:pPr>
        <w:spacing w:line="360" w:lineRule="auto"/>
        <w:jc w:val="right"/>
        <w:rPr>
          <w:rFonts w:hint="eastAsia" w:ascii="Times New Roman" w:hAnsi="Times New Roman"/>
          <w:sz w:val="22"/>
          <w:szCs w:val="22"/>
        </w:rPr>
      </w:pPr>
      <w:r>
        <w:rPr>
          <w:rFonts w:hint="eastAsia" w:ascii="Times New Roman" w:hAnsi="Times New Roman"/>
          <w:sz w:val="22"/>
          <w:szCs w:val="22"/>
        </w:rPr>
        <w:t>2024年1月4日</w:t>
      </w:r>
    </w:p>
    <w:p w14:paraId="575BCF40">
      <w:pPr>
        <w:pStyle w:val="3"/>
        <w:jc w:val="center"/>
        <w:rPr>
          <w:rFonts w:ascii="Times New Roman" w:hAnsi="Times New Roman"/>
          <w:sz w:val="36"/>
          <w:szCs w:val="28"/>
        </w:rPr>
      </w:pPr>
      <w:r>
        <w:rPr>
          <w:rFonts w:hint="eastAsia" w:ascii="Times New Roman" w:hAnsi="Times New Roman"/>
          <w:sz w:val="22"/>
          <w:szCs w:val="22"/>
        </w:rPr>
        <w:br w:type="page"/>
      </w:r>
      <w:r>
        <w:rPr>
          <w:rFonts w:hint="eastAsia" w:ascii="Times New Roman" w:hAnsi="Times New Roman"/>
          <w:sz w:val="36"/>
          <w:szCs w:val="28"/>
        </w:rPr>
        <w:t>项目立项通知</w:t>
      </w:r>
    </w:p>
    <w:p w14:paraId="3B7A60D8">
      <w:pPr>
        <w:spacing w:line="360" w:lineRule="auto"/>
        <w:rPr>
          <w:rFonts w:ascii="Times New Roman" w:hAnsi="Times New Roman"/>
          <w:sz w:val="22"/>
          <w:szCs w:val="28"/>
        </w:rPr>
      </w:pPr>
      <w:r>
        <w:rPr>
          <w:rFonts w:hint="eastAsia" w:ascii="Times New Roman" w:hAnsi="Times New Roman"/>
          <w:sz w:val="22"/>
          <w:szCs w:val="28"/>
        </w:rPr>
        <w:t>各部门：</w:t>
      </w:r>
    </w:p>
    <w:p w14:paraId="2ED0E106">
      <w:pPr>
        <w:spacing w:line="360" w:lineRule="auto"/>
        <w:ind w:firstLine="440" w:firstLineChars="20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狭缝涂布技术广泛应用于新能源、电子、光学等领域的精密制造环节，对模头调节精度和稳定性提出了较高要求。为提升涂布工艺中狭缝模头的调节精度、重复定位精度及设备稳定性，解决传统调节方式精度不足、操作复杂等问题，我司决定立项研发“适用于狭缝涂布设备的双层千分尺调节模头”项目。请项目负责人</w:t>
      </w:r>
      <w:r>
        <w:rPr>
          <w:rFonts w:hint="eastAsia" w:ascii="Times New Roman" w:hAnsi="Times New Roman"/>
          <w:sz w:val="22"/>
        </w:rPr>
        <w:t>汪永太</w:t>
      </w:r>
      <w:r>
        <w:rPr>
          <w:rFonts w:ascii="Times New Roman" w:hAnsi="Times New Roman"/>
          <w:sz w:val="22"/>
        </w:rPr>
        <w:t>及团队成员严格按照项目计划执行，确保项目按时、按质、按量完成。同时，公司各相关部门应给予全力支持和配合，共同推动项目的顺利实施。</w:t>
      </w:r>
    </w:p>
    <w:p w14:paraId="713BBD9C">
      <w:pPr>
        <w:spacing w:line="360" w:lineRule="auto"/>
        <w:ind w:firstLine="440" w:firstLineChars="200"/>
        <w:rPr>
          <w:rFonts w:ascii="Times New Roman" w:hAnsi="Times New Roman"/>
          <w:sz w:val="22"/>
          <w:szCs w:val="28"/>
        </w:rPr>
      </w:pPr>
    </w:p>
    <w:p w14:paraId="5EC97EF5">
      <w:pPr>
        <w:spacing w:line="360" w:lineRule="auto"/>
        <w:rPr>
          <w:rStyle w:val="13"/>
          <w:rFonts w:ascii="Times New Roman" w:hAnsi="Times New Roman"/>
          <w:sz w:val="22"/>
          <w:szCs w:val="28"/>
        </w:rPr>
      </w:pPr>
      <w:r>
        <w:rPr>
          <w:rStyle w:val="13"/>
          <w:rFonts w:hint="eastAsia" w:ascii="Times New Roman" w:hAnsi="Times New Roman"/>
          <w:sz w:val="22"/>
          <w:szCs w:val="28"/>
        </w:rPr>
        <w:t>一、项目信息</w:t>
      </w:r>
    </w:p>
    <w:p w14:paraId="5EEC3B10">
      <w:pPr>
        <w:spacing w:line="360" w:lineRule="auto"/>
        <w:rPr>
          <w:rFonts w:hint="eastAsia" w:ascii="Times New Roman" w:hAnsi="Times New Roman" w:eastAsia="宋体"/>
          <w:sz w:val="22"/>
          <w:szCs w:val="28"/>
          <w:lang w:val="en-US" w:eastAsia="zh-CN"/>
        </w:rPr>
      </w:pPr>
      <w:r>
        <w:rPr>
          <w:rFonts w:hint="eastAsia" w:ascii="Times New Roman" w:hAnsi="Times New Roman"/>
          <w:sz w:val="22"/>
          <w:szCs w:val="28"/>
        </w:rPr>
        <w:t>立项编号：</w:t>
      </w:r>
      <w:r>
        <w:rPr>
          <w:rFonts w:hint="eastAsia" w:ascii="Times New Roman" w:hAnsi="Times New Roman"/>
          <w:sz w:val="22"/>
          <w:szCs w:val="28"/>
          <w:lang w:val="en-US" w:eastAsia="zh-CN"/>
        </w:rPr>
        <w:t>SOYU</w:t>
      </w:r>
      <w:r>
        <w:rPr>
          <w:rFonts w:hint="eastAsia" w:ascii="Times New Roman" w:hAnsi="Times New Roman"/>
          <w:sz w:val="22"/>
          <w:szCs w:val="28"/>
        </w:rPr>
        <w:t>20240</w:t>
      </w:r>
      <w:r>
        <w:rPr>
          <w:rFonts w:hint="eastAsia" w:ascii="Times New Roman" w:hAnsi="Times New Roman"/>
          <w:sz w:val="22"/>
          <w:szCs w:val="28"/>
          <w:lang w:val="en-US" w:eastAsia="zh-CN"/>
        </w:rPr>
        <w:t>4</w:t>
      </w:r>
    </w:p>
    <w:p w14:paraId="30360CD4">
      <w:pPr>
        <w:spacing w:line="360" w:lineRule="auto"/>
        <w:rPr>
          <w:rFonts w:ascii="Times New Roman" w:hAnsi="Times New Roman"/>
          <w:sz w:val="22"/>
          <w:szCs w:val="28"/>
        </w:rPr>
      </w:pPr>
      <w:r>
        <w:rPr>
          <w:rFonts w:hint="eastAsia" w:ascii="Times New Roman" w:hAnsi="Times New Roman"/>
          <w:sz w:val="22"/>
          <w:szCs w:val="28"/>
        </w:rPr>
        <w:t>发文日期：2024年1月5日</w:t>
      </w:r>
    </w:p>
    <w:p w14:paraId="55BA6CCB">
      <w:pPr>
        <w:spacing w:line="360" w:lineRule="auto"/>
        <w:rPr>
          <w:rFonts w:ascii="Times New Roman" w:hAnsi="Times New Roman"/>
          <w:sz w:val="22"/>
          <w:szCs w:val="28"/>
        </w:rPr>
      </w:pPr>
      <w:r>
        <w:rPr>
          <w:rFonts w:hint="eastAsia" w:ascii="Times New Roman" w:hAnsi="Times New Roman"/>
          <w:sz w:val="22"/>
          <w:szCs w:val="28"/>
        </w:rPr>
        <w:t>项目名称：适用于狭缝涂布设备的双层千分尺调节模头</w:t>
      </w:r>
    </w:p>
    <w:p w14:paraId="4A02BC50">
      <w:pPr>
        <w:spacing w:line="360" w:lineRule="auto"/>
        <w:rPr>
          <w:rFonts w:ascii="Times New Roman" w:hAnsi="Times New Roman"/>
          <w:sz w:val="22"/>
          <w:szCs w:val="28"/>
        </w:rPr>
      </w:pPr>
      <w:r>
        <w:rPr>
          <w:rFonts w:hint="eastAsia" w:ascii="Times New Roman" w:hAnsi="Times New Roman"/>
          <w:sz w:val="22"/>
          <w:szCs w:val="28"/>
        </w:rPr>
        <w:t>项目负责人：汪永太</w:t>
      </w:r>
    </w:p>
    <w:p w14:paraId="5D0E6906">
      <w:pPr>
        <w:spacing w:line="360" w:lineRule="auto"/>
        <w:rPr>
          <w:rFonts w:hint="eastAsia" w:ascii="Times New Roman" w:hAnsi="Times New Roman"/>
          <w:sz w:val="22"/>
          <w:szCs w:val="28"/>
        </w:rPr>
      </w:pPr>
      <w:r>
        <w:rPr>
          <w:rFonts w:hint="eastAsia" w:ascii="Times New Roman" w:hAnsi="Times New Roman"/>
          <w:sz w:val="22"/>
          <w:szCs w:val="28"/>
        </w:rPr>
        <w:t>项目团队：汪永太、毕京轩、程勇、贺卓峰、林翔、刘鹏宇、王增、郑涵</w:t>
      </w:r>
    </w:p>
    <w:p w14:paraId="01D7CCA3">
      <w:pPr>
        <w:spacing w:line="360" w:lineRule="auto"/>
        <w:rPr>
          <w:rFonts w:ascii="Times New Roman" w:hAnsi="Times New Roman"/>
          <w:sz w:val="22"/>
          <w:szCs w:val="28"/>
        </w:rPr>
      </w:pPr>
      <w:r>
        <w:rPr>
          <w:rFonts w:hint="eastAsia" w:ascii="Times New Roman" w:hAnsi="Times New Roman"/>
          <w:sz w:val="22"/>
          <w:szCs w:val="28"/>
        </w:rPr>
        <w:t>项目周期：2024年01月04日至2024年12月31日</w:t>
      </w:r>
    </w:p>
    <w:p w14:paraId="3D1BCC06">
      <w:pPr>
        <w:spacing w:line="360" w:lineRule="auto"/>
        <w:rPr>
          <w:rFonts w:ascii="Times New Roman" w:hAnsi="Times New Roman"/>
          <w:color w:val="0000FF"/>
          <w:sz w:val="22"/>
          <w:szCs w:val="28"/>
        </w:rPr>
      </w:pPr>
      <w:r>
        <w:rPr>
          <w:rFonts w:hint="eastAsia" w:ascii="Times New Roman" w:hAnsi="Times New Roman"/>
          <w:color w:val="0000FF"/>
          <w:sz w:val="22"/>
          <w:szCs w:val="28"/>
        </w:rPr>
        <w:t>项目预算：根据初步估算，项目总预算为</w:t>
      </w:r>
      <w:r>
        <w:rPr>
          <w:rFonts w:hint="eastAsia" w:ascii="Times New Roman" w:hAnsi="Times New Roman"/>
          <w:color w:val="0000FF"/>
          <w:sz w:val="22"/>
          <w:szCs w:val="28"/>
          <w:lang w:val="en-US" w:eastAsia="zh-CN"/>
        </w:rPr>
        <w:t>45</w:t>
      </w:r>
      <w:r>
        <w:rPr>
          <w:rFonts w:hint="eastAsia" w:ascii="Times New Roman" w:hAnsi="Times New Roman"/>
          <w:color w:val="0000FF"/>
          <w:sz w:val="22"/>
          <w:szCs w:val="28"/>
        </w:rPr>
        <w:t>万元（具体金额待细化后公布）</w:t>
      </w:r>
    </w:p>
    <w:p w14:paraId="40DEE2B4">
      <w:pPr>
        <w:spacing w:line="360" w:lineRule="auto"/>
        <w:rPr>
          <w:rStyle w:val="13"/>
          <w:rFonts w:ascii="Times New Roman" w:hAnsi="Times New Roman"/>
          <w:sz w:val="22"/>
          <w:szCs w:val="28"/>
        </w:rPr>
      </w:pPr>
      <w:r>
        <w:rPr>
          <w:rStyle w:val="13"/>
          <w:rFonts w:hint="eastAsia" w:ascii="Times New Roman" w:hAnsi="Times New Roman"/>
          <w:sz w:val="22"/>
          <w:szCs w:val="28"/>
        </w:rPr>
        <w:t>二、工作要求</w:t>
      </w:r>
    </w:p>
    <w:p w14:paraId="62E05612">
      <w:pPr>
        <w:spacing w:line="360" w:lineRule="auto"/>
        <w:ind w:firstLine="440" w:firstLineChars="20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项目团队成员需严格按照项目进度安排开展工作，确保各阶段任务按时完成。</w:t>
      </w:r>
    </w:p>
    <w:p w14:paraId="49B93043">
      <w:pPr>
        <w:spacing w:line="360" w:lineRule="auto"/>
        <w:ind w:firstLine="440" w:firstLineChars="20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项目负责人需定期向相关部门及领导汇报项目进展情况，及时协调解决项目中的问题。</w:t>
      </w:r>
    </w:p>
    <w:p w14:paraId="03FE1818">
      <w:pPr>
        <w:spacing w:line="360" w:lineRule="auto"/>
        <w:ind w:firstLine="440" w:firstLineChars="20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相关部门需积极配合项目团队的工作，提供必要的支持和协助。</w:t>
      </w:r>
    </w:p>
    <w:p w14:paraId="46FB4D29">
      <w:pPr>
        <w:spacing w:line="360" w:lineRule="auto"/>
        <w:ind w:firstLine="440" w:firstLineChars="20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请项目团队成员及相关部门认真阅读以上内容，并按照要求开展工作。让我们共同努力，确保项目的顺利实施和圆满成功!</w:t>
      </w:r>
    </w:p>
    <w:p w14:paraId="41E54D93">
      <w:pPr>
        <w:spacing w:line="360" w:lineRule="auto"/>
        <w:rPr>
          <w:rFonts w:ascii="Times New Roman" w:hAnsi="Times New Roman"/>
          <w:sz w:val="22"/>
          <w:szCs w:val="28"/>
        </w:rPr>
      </w:pPr>
    </w:p>
    <w:p w14:paraId="6CA3FF5A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rPr>
          <w:rFonts w:hint="eastAsia" w:ascii="Times New Roman" w:hAnsi="Times New Roman" w:cs="宋体"/>
          <w:sz w:val="24"/>
        </w:rPr>
        <w:t>上海索屿智能科技有限公司</w:t>
      </w:r>
    </w:p>
    <w:p w14:paraId="678A522E">
      <w:pPr>
        <w:spacing w:line="360" w:lineRule="auto"/>
        <w:jc w:val="right"/>
        <w:rPr>
          <w:rFonts w:hint="eastAsia" w:ascii="Times New Roman" w:hAnsi="Times New Roman"/>
          <w:sz w:val="22"/>
          <w:szCs w:val="28"/>
        </w:rPr>
      </w:pPr>
      <w:r>
        <w:rPr>
          <w:rFonts w:hint="eastAsia" w:ascii="Times New Roman" w:hAnsi="Times New Roman"/>
          <w:sz w:val="22"/>
          <w:szCs w:val="28"/>
        </w:rPr>
        <w:t>2024年1月5日</w:t>
      </w:r>
    </w:p>
    <w:p w14:paraId="59BBB65B">
      <w:pPr>
        <w:pStyle w:val="3"/>
        <w:spacing w:line="360" w:lineRule="auto"/>
        <w:jc w:val="center"/>
        <w:rPr>
          <w:rFonts w:ascii="Times New Roman" w:hAnsi="Times New Roman"/>
          <w:sz w:val="36"/>
          <w:szCs w:val="28"/>
        </w:rPr>
      </w:pPr>
      <w:r>
        <w:rPr>
          <w:rFonts w:hint="eastAsia" w:ascii="Times New Roman" w:hAnsi="Times New Roman"/>
          <w:sz w:val="22"/>
          <w:szCs w:val="28"/>
        </w:rPr>
        <w:br w:type="page"/>
      </w:r>
      <w:r>
        <w:rPr>
          <w:rFonts w:hint="eastAsia" w:ascii="Times New Roman" w:hAnsi="Times New Roman"/>
          <w:sz w:val="36"/>
          <w:szCs w:val="28"/>
        </w:rPr>
        <w:t>项目验收报告</w:t>
      </w:r>
    </w:p>
    <w:p w14:paraId="10FB6772">
      <w:pPr>
        <w:spacing w:line="360" w:lineRule="auto"/>
        <w:rPr>
          <w:rStyle w:val="13"/>
          <w:rFonts w:ascii="Times New Roman" w:hAnsi="Times New Roman"/>
          <w:sz w:val="22"/>
          <w:szCs w:val="28"/>
        </w:rPr>
      </w:pPr>
      <w:r>
        <w:rPr>
          <w:rStyle w:val="13"/>
          <w:rFonts w:hint="eastAsia" w:ascii="Times New Roman" w:hAnsi="Times New Roman"/>
          <w:sz w:val="22"/>
          <w:szCs w:val="28"/>
        </w:rPr>
        <w:t>一、项目概况</w:t>
      </w:r>
    </w:p>
    <w:p w14:paraId="17E0C675">
      <w:pPr>
        <w:spacing w:line="360" w:lineRule="auto"/>
        <w:ind w:firstLine="440" w:firstLineChars="20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“适用于狭缝涂布设备的双层千分尺调节模头”项目聚焦于先进制造领域中精密涂布设备核心部件的研发需求，针对狭缝涂布过程中对涂布厚度精度要求高、调节难度大的技术难点，开展双层千分尺调节模头的设计与开发工作。项目在实施过程中，围绕精密调节、结构优化、稳定性提升等方面进行了系统性研发，形成了一套具备高精度调节能力的模头结构方案。项目共</w:t>
      </w:r>
      <w:r>
        <w:rPr>
          <w:rFonts w:hint="eastAsia" w:ascii="Times New Roman" w:hAnsi="Times New Roman"/>
          <w:sz w:val="22"/>
        </w:rPr>
        <w:t>产出了</w:t>
      </w:r>
      <w:r>
        <w:rPr>
          <w:rFonts w:ascii="Times New Roman" w:hAnsi="Times New Roman"/>
          <w:sz w:val="22"/>
        </w:rPr>
        <w:t>包括“一种千分尺测微头ZL202320921089.X”、“螺丝双层模头ZL202330196499.8”、“模头（A）ZL202030051547.0”、“模头（B）ZL202030051544.7”、“模头（C）ZL202030051543.2”、“模头（D）ZL202030051552.1”、“模头（E）ZL202030051551.7”、“模头（F）ZL202030051546.6”等知识产权成果。</w:t>
      </w:r>
    </w:p>
    <w:p w14:paraId="068DBB79">
      <w:pPr>
        <w:spacing w:line="360" w:lineRule="auto"/>
        <w:rPr>
          <w:rStyle w:val="13"/>
          <w:rFonts w:ascii="Times New Roman" w:hAnsi="Times New Roman"/>
          <w:sz w:val="22"/>
          <w:szCs w:val="28"/>
        </w:rPr>
      </w:pPr>
      <w:r>
        <w:rPr>
          <w:rStyle w:val="13"/>
          <w:rFonts w:hint="eastAsia" w:ascii="Times New Roman" w:hAnsi="Times New Roman"/>
          <w:sz w:val="22"/>
          <w:szCs w:val="28"/>
        </w:rPr>
        <w:t>二、项目目标与完成情况</w:t>
      </w:r>
    </w:p>
    <w:p w14:paraId="57841A33">
      <w:pPr>
        <w:spacing w:line="360" w:lineRule="auto"/>
        <w:ind w:firstLine="440" w:firstLineChars="20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本项目旨在解决狭缝涂布设备中模头调节精度不高、操作复杂、重复性差等问题，提升涂布厚度控制的稳定性与调节效率。通过结构设计优化与关键部件的创新应用，项目实现了双层千分尺调节模头的精确调节、结构紧凑、操作便捷等目标。项目成果已在样机中完成安装测试，调节精度满足预期设计要求，整体性能稳定，具备进一步推广应用的基础。</w:t>
      </w:r>
    </w:p>
    <w:p w14:paraId="2EDBF8D9">
      <w:pPr>
        <w:spacing w:line="360" w:lineRule="auto"/>
        <w:rPr>
          <w:rStyle w:val="13"/>
          <w:rFonts w:ascii="Times New Roman" w:hAnsi="Times New Roman"/>
          <w:sz w:val="22"/>
          <w:szCs w:val="28"/>
        </w:rPr>
      </w:pPr>
      <w:r>
        <w:rPr>
          <w:rStyle w:val="13"/>
          <w:rFonts w:hint="eastAsia" w:ascii="Times New Roman" w:hAnsi="Times New Roman"/>
          <w:sz w:val="22"/>
          <w:szCs w:val="28"/>
        </w:rPr>
        <w:t>三、项目核心技术点与创新点</w:t>
      </w:r>
    </w:p>
    <w:p w14:paraId="0BF84F0E">
      <w:pPr>
        <w:spacing w:line="360" w:lineRule="auto"/>
        <w:ind w:firstLine="442" w:firstLineChars="200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/>
          <w:b/>
          <w:bCs/>
          <w:sz w:val="22"/>
          <w:szCs w:val="28"/>
        </w:rPr>
        <w:t>1. 核心技术点</w:t>
      </w:r>
    </w:p>
    <w:p w14:paraId="49F73AF1">
      <w:pPr>
        <w:pStyle w:val="9"/>
        <w:widowControl/>
        <w:numPr>
          <w:ilvl w:val="0"/>
          <w:numId w:val="6"/>
        </w:numPr>
        <w:spacing w:before="0" w:beforeAutospacing="0" w:after="0" w:afterAutospacing="0" w:line="360" w:lineRule="auto"/>
        <w:ind w:left="0" w:firstLine="440" w:firstLineChars="200"/>
        <w:rPr>
          <w:rFonts w:ascii="Times New Roman" w:hAnsi="Times New Roman"/>
          <w:kern w:val="2"/>
          <w:sz w:val="22"/>
          <w:szCs w:val="28"/>
        </w:rPr>
      </w:pPr>
      <w:r>
        <w:rPr>
          <w:rFonts w:ascii="Times New Roman" w:hAnsi="Times New Roman"/>
          <w:sz w:val="22"/>
        </w:rPr>
        <w:t>双层千分尺调节结构：采用双层独立调节结构，分别控制上下模头的开口高度，实现对涂布间隙的精细调整，提升涂布厚度控制的灵活性与精度。</w:t>
      </w:r>
    </w:p>
    <w:p w14:paraId="1C8DD857">
      <w:pPr>
        <w:pStyle w:val="9"/>
        <w:widowControl/>
        <w:numPr>
          <w:ilvl w:val="0"/>
          <w:numId w:val="6"/>
        </w:numPr>
        <w:spacing w:before="0" w:beforeAutospacing="0" w:after="0" w:afterAutospacing="0" w:line="360" w:lineRule="auto"/>
        <w:ind w:left="0" w:firstLine="440" w:firstLineChars="200"/>
        <w:rPr>
          <w:rFonts w:ascii="Times New Roman" w:hAnsi="Times New Roman"/>
          <w:kern w:val="2"/>
          <w:sz w:val="22"/>
          <w:szCs w:val="28"/>
        </w:rPr>
      </w:pPr>
      <w:r>
        <w:rPr>
          <w:rFonts w:ascii="Times New Roman" w:hAnsi="Times New Roman"/>
          <w:sz w:val="22"/>
        </w:rPr>
        <w:t>限位与定位一体化设计：测微螺杆通过限位槽与限位螺丝实现移动限位功能，同时通过定位槽与微调螺丝实现精确定位，保障调节过程中不偏移、不松动。</w:t>
      </w:r>
    </w:p>
    <w:p w14:paraId="4509C53A">
      <w:pPr>
        <w:pStyle w:val="9"/>
        <w:widowControl/>
        <w:numPr>
          <w:ilvl w:val="0"/>
          <w:numId w:val="6"/>
        </w:numPr>
        <w:spacing w:before="0" w:beforeAutospacing="0" w:after="0" w:afterAutospacing="0" w:line="360" w:lineRule="auto"/>
        <w:ind w:left="0" w:firstLine="440" w:firstLineChars="200"/>
        <w:rPr>
          <w:rFonts w:ascii="Times New Roman" w:hAnsi="Times New Roman"/>
          <w:kern w:val="2"/>
          <w:sz w:val="22"/>
          <w:szCs w:val="28"/>
        </w:rPr>
      </w:pPr>
      <w:r>
        <w:rPr>
          <w:rFonts w:ascii="Times New Roman" w:hAnsi="Times New Roman"/>
          <w:sz w:val="22"/>
        </w:rPr>
        <w:t>消隙螺母连接技术：在固定轴套与测微螺杆、微分筒之间分别设置第一、第二消隙螺母，减少连接部件之间的配合间隙，提高调节过程中的稳定性和重复性。</w:t>
      </w:r>
    </w:p>
    <w:p w14:paraId="19C997CB">
      <w:pPr>
        <w:pStyle w:val="9"/>
        <w:widowControl/>
        <w:numPr>
          <w:ilvl w:val="0"/>
          <w:numId w:val="6"/>
        </w:numPr>
        <w:spacing w:before="0" w:beforeAutospacing="0" w:after="0" w:afterAutospacing="0" w:line="360" w:lineRule="auto"/>
        <w:ind w:left="0" w:firstLine="440" w:firstLineChars="200"/>
        <w:rPr>
          <w:rFonts w:ascii="Times New Roman" w:hAnsi="Times New Roman"/>
          <w:kern w:val="2"/>
          <w:sz w:val="22"/>
          <w:szCs w:val="28"/>
        </w:rPr>
      </w:pPr>
      <w:r>
        <w:rPr>
          <w:rFonts w:ascii="Times New Roman" w:hAnsi="Times New Roman"/>
          <w:sz w:val="22"/>
        </w:rPr>
        <w:t>零位线精准对齐技术：在微分筒与固定轴套外侧分别设置精读零位线，便于操作人员在调节过程中准确读取初始位置，提升测量与调节的一致性。</w:t>
      </w:r>
    </w:p>
    <w:p w14:paraId="52819084">
      <w:pPr>
        <w:spacing w:line="360" w:lineRule="auto"/>
        <w:ind w:firstLine="442" w:firstLineChars="200"/>
        <w:rPr>
          <w:rFonts w:ascii="Times New Roman" w:hAnsi="Times New Roman"/>
          <w:b/>
          <w:bCs/>
          <w:sz w:val="22"/>
          <w:szCs w:val="28"/>
        </w:rPr>
      </w:pPr>
    </w:p>
    <w:p w14:paraId="6B21B98B">
      <w:pPr>
        <w:spacing w:line="360" w:lineRule="auto"/>
        <w:ind w:firstLine="442" w:firstLineChars="200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/>
          <w:b/>
          <w:bCs/>
          <w:sz w:val="22"/>
          <w:szCs w:val="28"/>
        </w:rPr>
        <w:t>2. 创新点</w:t>
      </w:r>
    </w:p>
    <w:p w14:paraId="314F3CE3">
      <w:pPr>
        <w:pStyle w:val="9"/>
        <w:widowControl/>
        <w:numPr>
          <w:ilvl w:val="0"/>
          <w:numId w:val="7"/>
        </w:numPr>
        <w:spacing w:before="0" w:beforeAutospacing="0" w:after="0" w:afterAutospacing="0" w:line="360" w:lineRule="auto"/>
        <w:ind w:left="0" w:firstLine="440" w:firstLineChars="200"/>
        <w:rPr>
          <w:rFonts w:ascii="Times New Roman" w:hAnsi="Times New Roman"/>
          <w:kern w:val="2"/>
          <w:sz w:val="22"/>
          <w:szCs w:val="28"/>
        </w:rPr>
      </w:pPr>
      <w:r>
        <w:rPr>
          <w:rFonts w:ascii="Times New Roman" w:hAnsi="Times New Roman"/>
          <w:sz w:val="22"/>
        </w:rPr>
        <w:t>高精度调节模头结构：在狭缝涂布模头中引入千分尺测微结构，结合双层调节设计，实现对涂布间隙的微米级调节能力。</w:t>
      </w:r>
    </w:p>
    <w:p w14:paraId="122B41C8">
      <w:pPr>
        <w:pStyle w:val="9"/>
        <w:widowControl/>
        <w:numPr>
          <w:ilvl w:val="0"/>
          <w:numId w:val="7"/>
        </w:numPr>
        <w:spacing w:before="0" w:beforeAutospacing="0" w:after="0" w:afterAutospacing="0" w:line="360" w:lineRule="auto"/>
        <w:ind w:left="0" w:firstLine="440" w:firstLineChars="200"/>
        <w:rPr>
          <w:rFonts w:ascii="Times New Roman" w:hAnsi="Times New Roman"/>
          <w:kern w:val="2"/>
          <w:sz w:val="22"/>
          <w:szCs w:val="28"/>
        </w:rPr>
      </w:pPr>
      <w:r>
        <w:rPr>
          <w:rFonts w:ascii="Times New Roman" w:hAnsi="Times New Roman"/>
          <w:sz w:val="22"/>
        </w:rPr>
        <w:t>多级限位与定位机制：通过限位槽与定位槽的协同设计，确保模头在调节过程中既具备限位保护功能，又能实现精确定位。</w:t>
      </w:r>
    </w:p>
    <w:p w14:paraId="3046AB71">
      <w:pPr>
        <w:pStyle w:val="9"/>
        <w:widowControl/>
        <w:numPr>
          <w:ilvl w:val="0"/>
          <w:numId w:val="7"/>
        </w:numPr>
        <w:spacing w:before="0" w:beforeAutospacing="0" w:after="0" w:afterAutospacing="0" w:line="360" w:lineRule="auto"/>
        <w:ind w:left="0" w:firstLine="440" w:firstLineChars="200"/>
        <w:rPr>
          <w:rFonts w:ascii="Times New Roman" w:hAnsi="Times New Roman"/>
          <w:kern w:val="2"/>
          <w:sz w:val="22"/>
          <w:szCs w:val="28"/>
        </w:rPr>
      </w:pPr>
      <w:r>
        <w:rPr>
          <w:rFonts w:ascii="Times New Roman" w:hAnsi="Times New Roman"/>
          <w:sz w:val="22"/>
        </w:rPr>
        <w:t>结构紧凑与模块化设计：模头整体结构紧凑，便于安装与更换，适用于多种规格的狭缝涂布设备，具有良好的通用性与适配性。</w:t>
      </w:r>
    </w:p>
    <w:p w14:paraId="72C01521">
      <w:pPr>
        <w:numPr>
          <w:ilvl w:val="0"/>
          <w:numId w:val="8"/>
        </w:numPr>
        <w:spacing w:line="360" w:lineRule="auto"/>
        <w:rPr>
          <w:rStyle w:val="13"/>
          <w:rFonts w:ascii="Times New Roman" w:hAnsi="Times New Roman"/>
          <w:sz w:val="22"/>
          <w:szCs w:val="28"/>
        </w:rPr>
      </w:pPr>
      <w:r>
        <w:rPr>
          <w:rStyle w:val="13"/>
          <w:rFonts w:hint="eastAsia" w:ascii="Times New Roman" w:hAnsi="Times New Roman"/>
          <w:sz w:val="22"/>
          <w:szCs w:val="28"/>
        </w:rPr>
        <w:t>项目经费统计</w:t>
      </w:r>
    </w:p>
    <w:tbl>
      <w:tblPr>
        <w:tblStyle w:val="10"/>
        <w:tblW w:w="78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3"/>
        <w:gridCol w:w="2613"/>
        <w:gridCol w:w="2613"/>
      </w:tblGrid>
      <w:tr w14:paraId="2C093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9" w:hRule="atLeast"/>
          <w:jc w:val="center"/>
        </w:trPr>
        <w:tc>
          <w:tcPr>
            <w:tcW w:w="2613" w:type="dxa"/>
            <w:vMerge w:val="restart"/>
            <w:shd w:val="clear" w:color="auto" w:fill="auto"/>
            <w:vAlign w:val="center"/>
          </w:tcPr>
          <w:p w14:paraId="5B8CCA38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0000FF"/>
                <w:sz w:val="22"/>
                <w:szCs w:val="28"/>
              </w:rPr>
              <w:t>经费统计</w:t>
            </w:r>
          </w:p>
        </w:tc>
        <w:tc>
          <w:tcPr>
            <w:tcW w:w="2613" w:type="dxa"/>
            <w:shd w:val="clear" w:color="auto" w:fill="auto"/>
            <w:vAlign w:val="center"/>
          </w:tcPr>
          <w:p w14:paraId="3843EEEC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0000FF"/>
                <w:sz w:val="22"/>
                <w:szCs w:val="28"/>
              </w:rPr>
              <w:t>人员人工费用</w:t>
            </w:r>
          </w:p>
        </w:tc>
        <w:tc>
          <w:tcPr>
            <w:tcW w:w="2613" w:type="dxa"/>
            <w:shd w:val="clear" w:color="auto" w:fill="auto"/>
            <w:vAlign w:val="center"/>
          </w:tcPr>
          <w:p w14:paraId="55C7BE17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0000FF"/>
                <w:sz w:val="22"/>
                <w:szCs w:val="28"/>
              </w:rPr>
              <w:t>元</w:t>
            </w:r>
          </w:p>
        </w:tc>
      </w:tr>
      <w:tr w14:paraId="0E73D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9" w:hRule="atLeast"/>
          <w:jc w:val="center"/>
        </w:trPr>
        <w:tc>
          <w:tcPr>
            <w:tcW w:w="2613" w:type="dxa"/>
            <w:vMerge w:val="continue"/>
            <w:shd w:val="clear" w:color="auto" w:fill="auto"/>
            <w:vAlign w:val="center"/>
          </w:tcPr>
          <w:p w14:paraId="6750BA3A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13" w:type="dxa"/>
            <w:shd w:val="clear" w:color="auto" w:fill="auto"/>
            <w:vAlign w:val="center"/>
          </w:tcPr>
          <w:p w14:paraId="404E2E0C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0000FF"/>
                <w:sz w:val="22"/>
                <w:szCs w:val="28"/>
              </w:rPr>
              <w:t>直接投入费用</w:t>
            </w:r>
          </w:p>
        </w:tc>
        <w:tc>
          <w:tcPr>
            <w:tcW w:w="2613" w:type="dxa"/>
            <w:shd w:val="clear" w:color="auto" w:fill="auto"/>
            <w:vAlign w:val="center"/>
          </w:tcPr>
          <w:p w14:paraId="7617F0A5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0000FF"/>
                <w:sz w:val="22"/>
                <w:szCs w:val="28"/>
              </w:rPr>
              <w:t>元</w:t>
            </w:r>
          </w:p>
        </w:tc>
      </w:tr>
      <w:tr w14:paraId="49DF6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9" w:hRule="atLeast"/>
          <w:jc w:val="center"/>
        </w:trPr>
        <w:tc>
          <w:tcPr>
            <w:tcW w:w="2613" w:type="dxa"/>
            <w:vMerge w:val="continue"/>
            <w:shd w:val="clear" w:color="auto" w:fill="auto"/>
            <w:vAlign w:val="center"/>
          </w:tcPr>
          <w:p w14:paraId="1894781B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13" w:type="dxa"/>
            <w:shd w:val="clear" w:color="auto" w:fill="auto"/>
            <w:vAlign w:val="center"/>
          </w:tcPr>
          <w:p w14:paraId="26FF64A8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0000FF"/>
                <w:sz w:val="22"/>
                <w:szCs w:val="28"/>
              </w:rPr>
              <w:t>其他费用</w:t>
            </w:r>
          </w:p>
        </w:tc>
        <w:tc>
          <w:tcPr>
            <w:tcW w:w="2613" w:type="dxa"/>
            <w:shd w:val="clear" w:color="auto" w:fill="auto"/>
            <w:vAlign w:val="center"/>
          </w:tcPr>
          <w:p w14:paraId="566BDBCB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0000FF"/>
                <w:sz w:val="22"/>
                <w:szCs w:val="28"/>
              </w:rPr>
              <w:t>元</w:t>
            </w:r>
          </w:p>
        </w:tc>
      </w:tr>
      <w:tr w14:paraId="5E8CC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5" w:hRule="atLeast"/>
          <w:jc w:val="center"/>
        </w:trPr>
        <w:tc>
          <w:tcPr>
            <w:tcW w:w="2613" w:type="dxa"/>
            <w:vMerge w:val="continue"/>
            <w:shd w:val="clear" w:color="auto" w:fill="auto"/>
            <w:vAlign w:val="center"/>
          </w:tcPr>
          <w:p w14:paraId="2F413B1F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13" w:type="dxa"/>
            <w:shd w:val="clear" w:color="auto" w:fill="auto"/>
            <w:vAlign w:val="center"/>
          </w:tcPr>
          <w:p w14:paraId="6B267A13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0000FF"/>
                <w:sz w:val="22"/>
                <w:szCs w:val="28"/>
              </w:rPr>
              <w:t>总计</w:t>
            </w:r>
          </w:p>
        </w:tc>
        <w:tc>
          <w:tcPr>
            <w:tcW w:w="2613" w:type="dxa"/>
            <w:shd w:val="clear" w:color="auto" w:fill="auto"/>
            <w:vAlign w:val="center"/>
          </w:tcPr>
          <w:p w14:paraId="12EFE769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hint="eastAsia" w:ascii="Times New Roman" w:hAnsi="Times New Roman"/>
                <w:color w:val="0000FF"/>
                <w:sz w:val="22"/>
                <w:szCs w:val="28"/>
              </w:rPr>
              <w:t>元</w:t>
            </w:r>
          </w:p>
        </w:tc>
      </w:tr>
    </w:tbl>
    <w:p w14:paraId="5B2A8310">
      <w:pPr>
        <w:spacing w:line="360" w:lineRule="auto"/>
        <w:ind w:firstLine="440" w:firstLineChars="200"/>
        <w:rPr>
          <w:rFonts w:ascii="Times New Roman" w:hAnsi="Times New Roman"/>
          <w:sz w:val="22"/>
          <w:szCs w:val="28"/>
        </w:rPr>
      </w:pPr>
      <w:r>
        <w:rPr>
          <w:rFonts w:hint="eastAsia" w:ascii="Times New Roman" w:hAnsi="Times New Roman"/>
          <w:sz w:val="22"/>
          <w:szCs w:val="28"/>
        </w:rPr>
        <w:t>经统计，项目经费符合预算要求。</w:t>
      </w:r>
    </w:p>
    <w:p w14:paraId="311EAB46">
      <w:pPr>
        <w:spacing w:line="360" w:lineRule="auto"/>
        <w:rPr>
          <w:rStyle w:val="13"/>
          <w:rFonts w:ascii="Times New Roman" w:hAnsi="Times New Roman"/>
          <w:sz w:val="22"/>
          <w:szCs w:val="28"/>
        </w:rPr>
      </w:pPr>
      <w:r>
        <w:rPr>
          <w:rStyle w:val="13"/>
          <w:rFonts w:hint="eastAsia" w:ascii="Times New Roman" w:hAnsi="Times New Roman"/>
          <w:sz w:val="22"/>
          <w:szCs w:val="28"/>
        </w:rPr>
        <w:t>五、项目验收情况</w:t>
      </w:r>
    </w:p>
    <w:p w14:paraId="153DF585">
      <w:pPr>
        <w:spacing w:line="360" w:lineRule="auto"/>
        <w:rPr>
          <w:rFonts w:ascii="Times New Roman" w:hAnsi="Times New Roman"/>
          <w:b/>
          <w:bCs/>
          <w:sz w:val="22"/>
          <w:szCs w:val="28"/>
        </w:rPr>
      </w:pPr>
      <w:r>
        <w:rPr>
          <w:rFonts w:hint="eastAsia" w:ascii="Times New Roman" w:hAnsi="Times New Roman"/>
          <w:b/>
          <w:bCs/>
          <w:sz w:val="22"/>
          <w:szCs w:val="28"/>
        </w:rPr>
        <w:t>（一）验收内容</w:t>
      </w:r>
    </w:p>
    <w:p w14:paraId="59349B80">
      <w:pPr>
        <w:numPr>
          <w:ilvl w:val="0"/>
          <w:numId w:val="9"/>
        </w:numPr>
        <w:spacing w:line="360" w:lineRule="auto"/>
        <w:ind w:left="0" w:firstLine="440" w:firstLineChars="20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结构设计验收：对双层千分尺调节模头的整体结构进行检查，确认其装配精度、连接稳定性及调节灵活性是否满足设计要求。</w:t>
      </w:r>
    </w:p>
    <w:p w14:paraId="3B9EE0A7">
      <w:pPr>
        <w:numPr>
          <w:ilvl w:val="0"/>
          <w:numId w:val="9"/>
        </w:numPr>
        <w:spacing w:line="360" w:lineRule="auto"/>
        <w:ind w:left="0" w:firstLine="440" w:firstLineChars="20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调节精度验收：通过实际测量和重复调节测试，验证模头在不同调节状态下的精度一致性与重复性。</w:t>
      </w:r>
    </w:p>
    <w:p w14:paraId="24256666">
      <w:pPr>
        <w:numPr>
          <w:ilvl w:val="0"/>
          <w:numId w:val="9"/>
        </w:numPr>
        <w:spacing w:line="360" w:lineRule="auto"/>
        <w:ind w:left="0" w:firstLine="440" w:firstLineChars="20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运行稳定性验收：在模拟涂布环境下进行连续运行测试，评估模头在高温、高湿等复杂工况下的运行稳定性与耐久性。</w:t>
      </w:r>
    </w:p>
    <w:p w14:paraId="482D6B4C">
      <w:pPr>
        <w:spacing w:line="360" w:lineRule="auto"/>
        <w:rPr>
          <w:rFonts w:ascii="Times New Roman" w:hAnsi="Times New Roman"/>
          <w:b/>
          <w:bCs/>
          <w:sz w:val="22"/>
          <w:szCs w:val="28"/>
        </w:rPr>
      </w:pPr>
      <w:r>
        <w:rPr>
          <w:rFonts w:hint="eastAsia" w:ascii="Times New Roman" w:hAnsi="Times New Roman"/>
          <w:b/>
          <w:bCs/>
          <w:sz w:val="22"/>
          <w:szCs w:val="28"/>
        </w:rPr>
        <w:t>（二）验收结论</w:t>
      </w:r>
    </w:p>
    <w:p w14:paraId="38178027">
      <w:pPr>
        <w:spacing w:line="360" w:lineRule="auto"/>
        <w:ind w:firstLine="440" w:firstLineChars="20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经过对项目结构设计、调节精度、运行稳定性及知识产权应用等方面的全面验收，确认“适用于狭缝涂布设备的双层千分尺调节模头”项目已达到预期目标，符合项目验收标准。项目成果具备良好的应用前景，可进入后续推广和实际应用阶段。</w:t>
      </w:r>
    </w:p>
    <w:p w14:paraId="6C8DD00D">
      <w:pPr>
        <w:spacing w:line="360" w:lineRule="auto"/>
        <w:ind w:firstLine="440" w:firstLineChars="200"/>
        <w:rPr>
          <w:rFonts w:ascii="Times New Roman" w:hAnsi="Times New Roman"/>
          <w:sz w:val="22"/>
          <w:szCs w:val="28"/>
        </w:rPr>
      </w:pPr>
    </w:p>
    <w:p w14:paraId="136C4077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rPr>
          <w:rFonts w:hint="eastAsia" w:ascii="Times New Roman" w:hAnsi="Times New Roman"/>
          <w:sz w:val="22"/>
          <w:szCs w:val="28"/>
        </w:rPr>
        <w:t>上海索屿智能科技有限公司</w:t>
      </w:r>
    </w:p>
    <w:p w14:paraId="39221E9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rPr>
          <w:rFonts w:hint="eastAsia" w:ascii="Times New Roman" w:hAnsi="Times New Roman"/>
          <w:sz w:val="22"/>
          <w:szCs w:val="28"/>
        </w:rPr>
        <w:t>2024年12月29日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C3462">
    <w:pPr>
      <w:pStyle w:val="9"/>
      <w:widowControl/>
      <w:spacing w:line="240" w:lineRule="auto"/>
      <w:ind w:left="960" w:hanging="880" w:hangingChars="400"/>
      <w:jc w:val="left"/>
    </w:pPr>
    <w:r>
      <w:rPr>
        <w:rFonts w:hint="eastAsia" w:ascii="宋体" w:hAnsi="宋体" w:cs="宋体"/>
        <w:sz w:val="22"/>
        <w:szCs w:val="22"/>
        <w:u w:val="none"/>
      </w:rPr>
      <w:t>上海索屿智能科技有限公司</w:t>
    </w:r>
    <w:r>
      <w:rPr>
        <w:rFonts w:hint="eastAsia" w:ascii="宋体" w:hAnsi="宋体" w:cs="宋体"/>
        <w:sz w:val="24"/>
        <w:szCs w:val="24"/>
        <w:lang w:val="en-US" w:eastAsia="zh-CN"/>
      </w:rPr>
      <w:t xml:space="preserve">                                  </w:t>
    </w:r>
    <w:r>
      <w:rPr>
        <w:rFonts w:hint="eastAsia" w:ascii="宋体" w:hAnsi="宋体" w:cs="宋体"/>
        <w:sz w:val="32"/>
        <w:szCs w:val="32"/>
        <w:u w:val="single"/>
      </w:rPr>
      <w:pict>
        <v:shape id="_x0000_i1025" o:spt="75" alt="LOGO" type="#_x0000_t75" style="height:33.85pt;width:61.65pt;" filled="f" o:preferrelative="t" stroked="f" coordsize="21600,21600">
          <v:path/>
          <v:fill on="f" focussize="0,0"/>
          <v:stroke on="f"/>
          <v:imagedata r:id="rId1" gain="0f" blacklevel="0f" o:title="LOGO"/>
          <o:lock v:ext="edit" aspectratio="t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17BD62"/>
    <w:multiLevelType w:val="singleLevel"/>
    <w:tmpl w:val="9D17BD6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31363C1"/>
    <w:multiLevelType w:val="singleLevel"/>
    <w:tmpl w:val="A31363C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D9DBAEED"/>
    <w:multiLevelType w:val="singleLevel"/>
    <w:tmpl w:val="D9DBAEE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E8744EF6"/>
    <w:multiLevelType w:val="singleLevel"/>
    <w:tmpl w:val="E8744EF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2A4678CC"/>
    <w:multiLevelType w:val="multilevel"/>
    <w:tmpl w:val="2A4678CC"/>
    <w:lvl w:ilvl="0" w:tentative="0">
      <w:start w:val="1"/>
      <w:numFmt w:val="decimal"/>
      <w:lvlText w:val="(%1)"/>
      <w:lvlJc w:val="left"/>
      <w:pPr>
        <w:ind w:left="88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5">
    <w:nsid w:val="36AE33EB"/>
    <w:multiLevelType w:val="singleLevel"/>
    <w:tmpl w:val="36AE33E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5968BD4F"/>
    <w:multiLevelType w:val="singleLevel"/>
    <w:tmpl w:val="5968BD4F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7">
    <w:nsid w:val="72CCA1C2"/>
    <w:multiLevelType w:val="singleLevel"/>
    <w:tmpl w:val="72CCA1C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77A6CEAA"/>
    <w:multiLevelType w:val="singleLevel"/>
    <w:tmpl w:val="77A6CEA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8"/>
  </w:num>
  <w:num w:numId="7">
    <w:abstractNumId w:val="3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WJlMTc4NGIxMGQzZGM3ZTI0N2NkOWFkZjAxZDY0MjcifQ=="/>
  </w:docVars>
  <w:rsids>
    <w:rsidRoot w:val="0033114D"/>
    <w:rsid w:val="00081D31"/>
    <w:rsid w:val="000F4119"/>
    <w:rsid w:val="002C0477"/>
    <w:rsid w:val="0033114D"/>
    <w:rsid w:val="003C155C"/>
    <w:rsid w:val="00425A1B"/>
    <w:rsid w:val="0055606C"/>
    <w:rsid w:val="005C37D8"/>
    <w:rsid w:val="006038E5"/>
    <w:rsid w:val="00617ED8"/>
    <w:rsid w:val="007D16B8"/>
    <w:rsid w:val="008248FA"/>
    <w:rsid w:val="00826254"/>
    <w:rsid w:val="008875A8"/>
    <w:rsid w:val="00907D4A"/>
    <w:rsid w:val="00936276"/>
    <w:rsid w:val="009D476B"/>
    <w:rsid w:val="009E3E1B"/>
    <w:rsid w:val="00B71F36"/>
    <w:rsid w:val="00C14EC3"/>
    <w:rsid w:val="00C21A53"/>
    <w:rsid w:val="00D12CCD"/>
    <w:rsid w:val="00DA49F5"/>
    <w:rsid w:val="00DD3395"/>
    <w:rsid w:val="00E1589E"/>
    <w:rsid w:val="00E41409"/>
    <w:rsid w:val="00E568F2"/>
    <w:rsid w:val="00ED4C7B"/>
    <w:rsid w:val="00F16D0A"/>
    <w:rsid w:val="00FB6327"/>
    <w:rsid w:val="00FE2B5A"/>
    <w:rsid w:val="01E0373D"/>
    <w:rsid w:val="02BA3F8E"/>
    <w:rsid w:val="032B6C3A"/>
    <w:rsid w:val="03F4702C"/>
    <w:rsid w:val="04293179"/>
    <w:rsid w:val="047D1717"/>
    <w:rsid w:val="051200B1"/>
    <w:rsid w:val="05545FD4"/>
    <w:rsid w:val="06680FFF"/>
    <w:rsid w:val="070B6B66"/>
    <w:rsid w:val="07D63618"/>
    <w:rsid w:val="07E35D35"/>
    <w:rsid w:val="081E6D6D"/>
    <w:rsid w:val="083420ED"/>
    <w:rsid w:val="09F93DAC"/>
    <w:rsid w:val="0AA572D2"/>
    <w:rsid w:val="0B1D155E"/>
    <w:rsid w:val="0B2D79F3"/>
    <w:rsid w:val="0B995089"/>
    <w:rsid w:val="0BFE4EEC"/>
    <w:rsid w:val="0C882A07"/>
    <w:rsid w:val="0CD43E9E"/>
    <w:rsid w:val="0E320E7D"/>
    <w:rsid w:val="0F4C2412"/>
    <w:rsid w:val="105C48D7"/>
    <w:rsid w:val="108A4FA0"/>
    <w:rsid w:val="117B2B3A"/>
    <w:rsid w:val="11E22BBA"/>
    <w:rsid w:val="12DB5F87"/>
    <w:rsid w:val="134578A4"/>
    <w:rsid w:val="14123C2A"/>
    <w:rsid w:val="148B578A"/>
    <w:rsid w:val="156C2EC6"/>
    <w:rsid w:val="167F2A48"/>
    <w:rsid w:val="16BA2357"/>
    <w:rsid w:val="16F5338F"/>
    <w:rsid w:val="17143815"/>
    <w:rsid w:val="171657DF"/>
    <w:rsid w:val="17DD4D13"/>
    <w:rsid w:val="186500A0"/>
    <w:rsid w:val="18ED431E"/>
    <w:rsid w:val="19B27315"/>
    <w:rsid w:val="1A705EAE"/>
    <w:rsid w:val="1C4D4189"/>
    <w:rsid w:val="1CCC06EE"/>
    <w:rsid w:val="1E0B5246"/>
    <w:rsid w:val="1E780B2E"/>
    <w:rsid w:val="1F1B063B"/>
    <w:rsid w:val="1FC54BA9"/>
    <w:rsid w:val="21314E79"/>
    <w:rsid w:val="21CD59F3"/>
    <w:rsid w:val="23272B22"/>
    <w:rsid w:val="2355143D"/>
    <w:rsid w:val="23AD74CB"/>
    <w:rsid w:val="24613F68"/>
    <w:rsid w:val="247E6772"/>
    <w:rsid w:val="24952F7F"/>
    <w:rsid w:val="25BF7042"/>
    <w:rsid w:val="25FC0296"/>
    <w:rsid w:val="26C2328E"/>
    <w:rsid w:val="27A26C1B"/>
    <w:rsid w:val="289E0ED0"/>
    <w:rsid w:val="296A5517"/>
    <w:rsid w:val="29F574D6"/>
    <w:rsid w:val="2A224043"/>
    <w:rsid w:val="2C9F16FD"/>
    <w:rsid w:val="2D7B07E4"/>
    <w:rsid w:val="2E9D638E"/>
    <w:rsid w:val="2EA65243"/>
    <w:rsid w:val="2F104DB2"/>
    <w:rsid w:val="2FA21EAE"/>
    <w:rsid w:val="30C65728"/>
    <w:rsid w:val="31097D0B"/>
    <w:rsid w:val="311B1C02"/>
    <w:rsid w:val="31554CFE"/>
    <w:rsid w:val="31AC0DC2"/>
    <w:rsid w:val="326A47D9"/>
    <w:rsid w:val="32BB6DE3"/>
    <w:rsid w:val="33174961"/>
    <w:rsid w:val="339A4C4A"/>
    <w:rsid w:val="33A87367"/>
    <w:rsid w:val="34076784"/>
    <w:rsid w:val="351F7AFD"/>
    <w:rsid w:val="35F25212"/>
    <w:rsid w:val="36C00E6C"/>
    <w:rsid w:val="36DD557A"/>
    <w:rsid w:val="37B54749"/>
    <w:rsid w:val="380E0B69"/>
    <w:rsid w:val="38374A39"/>
    <w:rsid w:val="3A8B353F"/>
    <w:rsid w:val="3AFB2473"/>
    <w:rsid w:val="3B3D6F2F"/>
    <w:rsid w:val="3C5F2ED5"/>
    <w:rsid w:val="3C5F6A31"/>
    <w:rsid w:val="3CB5254A"/>
    <w:rsid w:val="3EC80563"/>
    <w:rsid w:val="3EEB27FE"/>
    <w:rsid w:val="3F9410E8"/>
    <w:rsid w:val="40BC4452"/>
    <w:rsid w:val="41456B3D"/>
    <w:rsid w:val="41957E0C"/>
    <w:rsid w:val="41B432B2"/>
    <w:rsid w:val="41CF4659"/>
    <w:rsid w:val="42AE24C0"/>
    <w:rsid w:val="42B21FB1"/>
    <w:rsid w:val="42BA70B7"/>
    <w:rsid w:val="430976F7"/>
    <w:rsid w:val="455E01CE"/>
    <w:rsid w:val="45795008"/>
    <w:rsid w:val="459E681C"/>
    <w:rsid w:val="460A2104"/>
    <w:rsid w:val="46492C2C"/>
    <w:rsid w:val="46A00372"/>
    <w:rsid w:val="47E10C42"/>
    <w:rsid w:val="491C4628"/>
    <w:rsid w:val="499E6DEB"/>
    <w:rsid w:val="49C10D2B"/>
    <w:rsid w:val="49E93701"/>
    <w:rsid w:val="4A3D4856"/>
    <w:rsid w:val="4B2E21B9"/>
    <w:rsid w:val="4C875885"/>
    <w:rsid w:val="4CD314A1"/>
    <w:rsid w:val="4D150366"/>
    <w:rsid w:val="4D9E1AAF"/>
    <w:rsid w:val="500876B4"/>
    <w:rsid w:val="50830AE8"/>
    <w:rsid w:val="511D2CEB"/>
    <w:rsid w:val="51844B18"/>
    <w:rsid w:val="52187956"/>
    <w:rsid w:val="527E4DA2"/>
    <w:rsid w:val="545F7ABE"/>
    <w:rsid w:val="546724CF"/>
    <w:rsid w:val="54BF35C3"/>
    <w:rsid w:val="55C7591B"/>
    <w:rsid w:val="55EB785C"/>
    <w:rsid w:val="56A93273"/>
    <w:rsid w:val="56CD51B3"/>
    <w:rsid w:val="580B5F93"/>
    <w:rsid w:val="582E57DE"/>
    <w:rsid w:val="5842572D"/>
    <w:rsid w:val="58813D2B"/>
    <w:rsid w:val="5AE12FDB"/>
    <w:rsid w:val="5B084A0C"/>
    <w:rsid w:val="5B800A46"/>
    <w:rsid w:val="5B841BB9"/>
    <w:rsid w:val="5C3B2178"/>
    <w:rsid w:val="5C7F0CFE"/>
    <w:rsid w:val="5D080CF3"/>
    <w:rsid w:val="5D331AE8"/>
    <w:rsid w:val="5DF179D9"/>
    <w:rsid w:val="5E4E6BDA"/>
    <w:rsid w:val="5F334021"/>
    <w:rsid w:val="5F926F9A"/>
    <w:rsid w:val="60235E44"/>
    <w:rsid w:val="602D6CC3"/>
    <w:rsid w:val="608A337D"/>
    <w:rsid w:val="60A12E65"/>
    <w:rsid w:val="60AA0313"/>
    <w:rsid w:val="60D31618"/>
    <w:rsid w:val="618648DC"/>
    <w:rsid w:val="61B41449"/>
    <w:rsid w:val="61CB0541"/>
    <w:rsid w:val="63E8362C"/>
    <w:rsid w:val="64535652"/>
    <w:rsid w:val="64DB5A2C"/>
    <w:rsid w:val="65037931"/>
    <w:rsid w:val="655D3BA6"/>
    <w:rsid w:val="65BC6B1F"/>
    <w:rsid w:val="678B49FB"/>
    <w:rsid w:val="67BF46A4"/>
    <w:rsid w:val="683926A8"/>
    <w:rsid w:val="684D7F02"/>
    <w:rsid w:val="685E210F"/>
    <w:rsid w:val="68D128E1"/>
    <w:rsid w:val="693D54D2"/>
    <w:rsid w:val="6A1D1B56"/>
    <w:rsid w:val="6AD018B4"/>
    <w:rsid w:val="6B036F9E"/>
    <w:rsid w:val="6B5B0B88"/>
    <w:rsid w:val="6B662E80"/>
    <w:rsid w:val="6BD26C75"/>
    <w:rsid w:val="6BE0108D"/>
    <w:rsid w:val="6C7434BE"/>
    <w:rsid w:val="6CC8224D"/>
    <w:rsid w:val="6D003795"/>
    <w:rsid w:val="6D1A237D"/>
    <w:rsid w:val="6D3639D2"/>
    <w:rsid w:val="6D45564C"/>
    <w:rsid w:val="6E6935BC"/>
    <w:rsid w:val="6E7361E8"/>
    <w:rsid w:val="6F370FC4"/>
    <w:rsid w:val="6F421E67"/>
    <w:rsid w:val="6F5E0C47"/>
    <w:rsid w:val="6FB24AEE"/>
    <w:rsid w:val="70527F7D"/>
    <w:rsid w:val="71A87F57"/>
    <w:rsid w:val="728C5ACB"/>
    <w:rsid w:val="73CF79E1"/>
    <w:rsid w:val="747B5DF7"/>
    <w:rsid w:val="7487654A"/>
    <w:rsid w:val="75BF7F65"/>
    <w:rsid w:val="782A00B9"/>
    <w:rsid w:val="786372CE"/>
    <w:rsid w:val="78DA7590"/>
    <w:rsid w:val="797F3C93"/>
    <w:rsid w:val="798219D5"/>
    <w:rsid w:val="79D55FA9"/>
    <w:rsid w:val="7AD16771"/>
    <w:rsid w:val="7B42766E"/>
    <w:rsid w:val="7B474C85"/>
    <w:rsid w:val="7B784E3E"/>
    <w:rsid w:val="7B7B492E"/>
    <w:rsid w:val="7B8E1B67"/>
    <w:rsid w:val="7BF32717"/>
    <w:rsid w:val="7C52740B"/>
    <w:rsid w:val="7C5B0E2F"/>
    <w:rsid w:val="7CAA7279"/>
    <w:rsid w:val="7D0D15B6"/>
    <w:rsid w:val="7E0E55E6"/>
    <w:rsid w:val="7EFE1AFE"/>
    <w:rsid w:val="7F0F5AB9"/>
    <w:rsid w:val="7F9D4E73"/>
    <w:rsid w:val="7FF6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paragraph" w:styleId="5">
    <w:name w:val="heading 4"/>
    <w:basedOn w:val="1"/>
    <w:next w:val="1"/>
    <w:qFormat/>
    <w:uiPriority w:val="0"/>
    <w:pPr>
      <w:spacing w:before="100" w:beforeAutospacing="1" w:after="100" w:afterAutospacing="1"/>
      <w:jc w:val="left"/>
      <w:outlineLvl w:val="3"/>
    </w:pPr>
    <w:rPr>
      <w:rFonts w:hint="eastAsia" w:ascii="宋体" w:hAnsi="宋体"/>
      <w:b/>
      <w:bCs/>
      <w:kern w:val="0"/>
      <w:sz w:val="24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100" w:beforeAutospacing="1" w:after="100" w:afterAutospacing="1"/>
      <w:jc w:val="left"/>
      <w:outlineLvl w:val="4"/>
    </w:pPr>
    <w:rPr>
      <w:rFonts w:hint="eastAsia" w:ascii="宋体" w:hAnsi="宋体"/>
      <w:b/>
      <w:bCs/>
      <w:kern w:val="0"/>
      <w:sz w:val="20"/>
      <w:szCs w:val="20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1044</Words>
  <Characters>1064</Characters>
  <Lines>8</Lines>
  <Paragraphs>2</Paragraphs>
  <TotalTime>0</TotalTime>
  <ScaleCrop>false</ScaleCrop>
  <LinksUpToDate>false</LinksUpToDate>
  <CharactersWithSpaces>1216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2025-06-13T03:08:00Z</dcterms:created>
  <dc:creator>cyipxm5</dc:creator>
  <cp:lastModifiedBy>你走啊</cp:lastModifiedBy>
  <dcterms:modified xsi:type="dcterms:W3CDTF">2026-03-09T03:22:45Z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E71205A87CD642458D2AF51C0772EC68_13</vt:lpwstr>
  </property>
  <property fmtid="{D5CDD505-2E9C-101B-9397-08002B2CF9AE}" pid="4" name="KSOTemplateDocerSaveRecord">
    <vt:lpwstr>eyJoZGlkIjoiYWJlMTc4NGIxMGQzZGM3ZTI0N2NkOWFkZjAxZDY0MjciLCJ1c2VySWQiOiIzODg4NjQwMzAifQ==</vt:lpwstr>
  </property>
</Properties>
</file>