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9E544">
      <w:pPr>
        <w:pStyle w:val="2"/>
        <w:bidi w:val="0"/>
        <w:jc w:val="center"/>
        <w:rPr>
          <w:rFonts w:hint="eastAsia"/>
          <w:sz w:val="28"/>
          <w:szCs w:val="20"/>
        </w:rPr>
      </w:pPr>
      <w:r>
        <w:rPr>
          <w:rFonts w:hint="eastAsia"/>
          <w:sz w:val="28"/>
          <w:szCs w:val="20"/>
        </w:rPr>
        <w:t>高新技术产品的关键技术和技术指标的具体说明</w:t>
      </w:r>
    </w:p>
    <w:tbl>
      <w:tblPr>
        <w:tblStyle w:val="10"/>
        <w:tblW w:w="9953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2"/>
        <w:gridCol w:w="7681"/>
      </w:tblGrid>
      <w:tr w14:paraId="015C77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9" w:hRule="atLeast"/>
          <w:jc w:val="center"/>
        </w:trPr>
        <w:tc>
          <w:tcPr>
            <w:tcW w:w="2272" w:type="dxa"/>
            <w:noWrap w:val="0"/>
            <w:vAlign w:val="top"/>
          </w:tcPr>
          <w:p w14:paraId="598AC4A3">
            <w:pPr>
              <w:pStyle w:val="9"/>
              <w:spacing w:before="306" w:line="217" w:lineRule="auto"/>
              <w:ind w:left="117"/>
              <w:jc w:val="center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spacing w:val="-14"/>
                <w:szCs w:val="24"/>
              </w:rPr>
              <w:t>PS高新产品名称</w:t>
            </w:r>
          </w:p>
        </w:tc>
        <w:tc>
          <w:tcPr>
            <w:tcW w:w="7681" w:type="dxa"/>
            <w:noWrap w:val="0"/>
            <w:vAlign w:val="center"/>
          </w:tcPr>
          <w:p w14:paraId="54EBF44C">
            <w:pPr>
              <w:jc w:val="center"/>
              <w:rPr>
                <w:rFonts w:ascii="Times New Roman" w:hAnsi="Times New Roman" w:eastAsia="仿宋" w:cs="Times New Roman"/>
                <w:sz w:val="21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</w:rPr>
              <w:t>高精准铝制品</w:t>
            </w:r>
          </w:p>
        </w:tc>
      </w:tr>
      <w:tr w14:paraId="69E830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6" w:hRule="atLeast"/>
          <w:jc w:val="center"/>
        </w:trPr>
        <w:tc>
          <w:tcPr>
            <w:tcW w:w="2272" w:type="dxa"/>
            <w:noWrap w:val="0"/>
            <w:vAlign w:val="top"/>
          </w:tcPr>
          <w:p w14:paraId="46A9F9BE">
            <w:pPr>
              <w:pStyle w:val="9"/>
              <w:spacing w:before="304" w:line="218" w:lineRule="auto"/>
              <w:ind w:left="665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3"/>
                <w:szCs w:val="24"/>
              </w:rPr>
              <w:t>技术领域</w:t>
            </w:r>
          </w:p>
        </w:tc>
        <w:tc>
          <w:tcPr>
            <w:tcW w:w="7681" w:type="dxa"/>
            <w:noWrap w:val="0"/>
            <w:vAlign w:val="center"/>
          </w:tcPr>
          <w:p w14:paraId="0B333D02">
            <w:pPr>
              <w:jc w:val="center"/>
              <w:rPr>
                <w:rFonts w:ascii="Times New Roman" w:hAnsi="Times New Roman" w:eastAsia="仿宋" w:cs="Times New Roman"/>
                <w:sz w:val="21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</w:rPr>
              <w:t>新材料--金属材料--铝、铜、镁、钛合金清洁生产与深加工技术</w:t>
            </w:r>
          </w:p>
        </w:tc>
      </w:tr>
      <w:tr w14:paraId="649967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  <w:jc w:val="center"/>
        </w:trPr>
        <w:tc>
          <w:tcPr>
            <w:tcW w:w="2272" w:type="dxa"/>
            <w:noWrap w:val="0"/>
            <w:vAlign w:val="top"/>
          </w:tcPr>
          <w:p w14:paraId="0070B6AF">
            <w:pPr>
              <w:pStyle w:val="9"/>
              <w:spacing w:before="304" w:line="217" w:lineRule="auto"/>
              <w:ind w:left="665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3"/>
                <w:szCs w:val="24"/>
              </w:rPr>
              <w:t>技术来源</w:t>
            </w:r>
          </w:p>
        </w:tc>
        <w:tc>
          <w:tcPr>
            <w:tcW w:w="7681" w:type="dxa"/>
            <w:noWrap w:val="0"/>
            <w:vAlign w:val="center"/>
          </w:tcPr>
          <w:p w14:paraId="5F27A3DB">
            <w:pPr>
              <w:jc w:val="center"/>
              <w:rPr>
                <w:rFonts w:ascii="Times New Roman" w:hAnsi="Times New Roman" w:eastAsia="仿宋" w:cs="Times New Roman"/>
                <w:sz w:val="21"/>
                <w:szCs w:val="24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</w:rPr>
              <w:t>企业自有技术</w:t>
            </w:r>
          </w:p>
        </w:tc>
      </w:tr>
      <w:tr w14:paraId="130F4E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2" w:hRule="atLeast"/>
          <w:jc w:val="center"/>
        </w:trPr>
        <w:tc>
          <w:tcPr>
            <w:tcW w:w="2272" w:type="dxa"/>
            <w:noWrap w:val="0"/>
            <w:vAlign w:val="top"/>
          </w:tcPr>
          <w:p w14:paraId="21707958">
            <w:pPr>
              <w:spacing w:line="437" w:lineRule="auto"/>
              <w:rPr>
                <w:rFonts w:ascii="Times New Roman" w:hAnsi="Times New Roman" w:eastAsia="仿宋" w:cs="Times New Roman"/>
                <w:sz w:val="21"/>
                <w:szCs w:val="24"/>
              </w:rPr>
            </w:pPr>
          </w:p>
          <w:p w14:paraId="1C1633F1">
            <w:pPr>
              <w:pStyle w:val="9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00A93BCB">
            <w:pPr>
              <w:pStyle w:val="9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95CB362">
            <w:pPr>
              <w:pStyle w:val="9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778C19E">
            <w:pPr>
              <w:pStyle w:val="9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2AD10B6">
            <w:pPr>
              <w:pStyle w:val="9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0D6CE7C">
            <w:pPr>
              <w:pStyle w:val="9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211476B">
            <w:pPr>
              <w:pStyle w:val="9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24FFA90E">
            <w:pPr>
              <w:pStyle w:val="9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074E5841">
            <w:pPr>
              <w:pStyle w:val="9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0B6119C8">
            <w:pPr>
              <w:pStyle w:val="9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42117F4">
            <w:pPr>
              <w:pStyle w:val="9"/>
              <w:spacing w:before="78" w:line="218" w:lineRule="auto"/>
              <w:ind w:left="67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4853DCB">
            <w:pPr>
              <w:pStyle w:val="9"/>
              <w:spacing w:before="78" w:line="218" w:lineRule="auto"/>
              <w:ind w:firstLine="696" w:firstLineChars="300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4"/>
                <w:szCs w:val="24"/>
              </w:rPr>
              <w:t>关键技术</w:t>
            </w:r>
          </w:p>
          <w:p w14:paraId="1835EC44">
            <w:pPr>
              <w:pStyle w:val="9"/>
              <w:spacing w:before="28" w:line="221" w:lineRule="auto"/>
              <w:ind w:left="779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2"/>
                <w:szCs w:val="24"/>
              </w:rPr>
              <w:t>及主要</w:t>
            </w:r>
          </w:p>
          <w:p w14:paraId="6BFF27E7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4"/>
                <w:szCs w:val="24"/>
              </w:rPr>
              <w:t>技术指标</w:t>
            </w:r>
          </w:p>
          <w:p w14:paraId="67A26703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69AE50C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4961ECD9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76CBC88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7C29D39A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71076FD1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0B96939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07F7308F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277A1E12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263AB13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85A455B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7B1C3446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2B7CAA43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606538E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302341AF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C3D5C7F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04CC8E44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5F70514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72CC5E61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46C3786F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11098C4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A969763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74CA8B66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40B7E6CD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B1EAED4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2E127A17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38F0AFB5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39F0C6B0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3ED5EA3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70414318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908CCBC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8064C28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4FBB3CEC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303A2652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853ACCD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30733E49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3F96212C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7E212C0A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2784BF51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313ACF8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960EAC5">
            <w:pPr>
              <w:pStyle w:val="9"/>
              <w:spacing w:before="78" w:line="218" w:lineRule="auto"/>
              <w:ind w:firstLine="696" w:firstLineChars="300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4"/>
                <w:szCs w:val="24"/>
              </w:rPr>
              <w:t>关键技术</w:t>
            </w:r>
          </w:p>
          <w:p w14:paraId="62B20401">
            <w:pPr>
              <w:pStyle w:val="9"/>
              <w:spacing w:before="28" w:line="221" w:lineRule="auto"/>
              <w:ind w:left="779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2"/>
                <w:szCs w:val="24"/>
              </w:rPr>
              <w:t>及主要</w:t>
            </w:r>
          </w:p>
          <w:p w14:paraId="37DBB0AC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4"/>
                <w:szCs w:val="24"/>
              </w:rPr>
              <w:t>技术指标</w:t>
            </w:r>
          </w:p>
          <w:p w14:paraId="36592254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03FF17C1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301C3680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5A28C39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8188A0D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4E92E79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7EC442C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22C3AC80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FFE75B2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4B9D81B4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1DD4431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829B9AF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398B4CA3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B84661E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74E34C39">
            <w:pPr>
              <w:pStyle w:val="9"/>
              <w:spacing w:before="22" w:line="229" w:lineRule="auto"/>
              <w:ind w:left="413" w:right="413" w:firstLine="252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</w:tc>
        <w:tc>
          <w:tcPr>
            <w:tcW w:w="7681" w:type="dxa"/>
            <w:noWrap w:val="0"/>
            <w:vAlign w:val="top"/>
          </w:tcPr>
          <w:p w14:paraId="479DBD8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</w:p>
          <w:p w14:paraId="547DC4C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关键技术一：金属动态旋转加热与精准控温热处理技术</w:t>
            </w:r>
          </w:p>
          <w:p w14:paraId="734BD4D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技术描述：</w:t>
            </w:r>
          </w:p>
          <w:p w14:paraId="522671B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采用夹持机构与伺服驱动系统集成，实现铝材在高频感应加热过程中的连续自转，结合高精度温度反馈与能耗优化算法，确保工件受热均匀。通过伺服电机驱动活动夹板实现夹持力与定位精度的精确控制，提升热处理一致性与尺寸稳定性。</w:t>
            </w:r>
          </w:p>
          <w:p w14:paraId="6E78437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技术指标：</w:t>
            </w:r>
          </w:p>
          <w:p w14:paraId="1CE1B5C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加热过程中工件旋转速度可调范围：0–60 rpm，精度±2 rpm</w:t>
            </w:r>
          </w:p>
          <w:p w14:paraId="065C95D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工件表面温差 ≤ ±8℃（较传统固定加热降低50%以上）</w:t>
            </w:r>
          </w:p>
          <w:p w14:paraId="2782EEC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夹持定位精度：±0.05 mm</w:t>
            </w:r>
          </w:p>
          <w:p w14:paraId="0B8B356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能耗较传统工艺降低 ≥ 15%（基于“有色金属冶炼温度调试系统”软件优化）</w:t>
            </w:r>
          </w:p>
          <w:p w14:paraId="02FE89B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技术先进性：</w:t>
            </w:r>
          </w:p>
          <w:p w14:paraId="4ADB525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突破传统静态加热导致的热应力集中与变形问题，实现均匀加热与低能耗运行，提升产品尺寸精度与力学性能一致性。</w:t>
            </w:r>
          </w:p>
          <w:p w14:paraId="4A11371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</w:p>
          <w:p w14:paraId="2F09E07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关键技术二：多级渐进式熔体过滤与模块化导流净化技术</w:t>
            </w:r>
          </w:p>
          <w:p w14:paraId="73E53AB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技术描述：</w:t>
            </w:r>
          </w:p>
          <w:p w14:paraId="315AA7A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在熔融合金输送路径中设置多层梯度滤网与蛇形隔板结构，形成逐级过滤通道，有效去除氧化夹杂与非金属杂质。滤网与隔板采用插接式模块化设计，实现快速拆装与在线维护，保障熔体纯净度与连续生产稳定性。</w:t>
            </w:r>
          </w:p>
          <w:p w14:paraId="47FA04C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技术指标：</w:t>
            </w:r>
          </w:p>
          <w:p w14:paraId="65D4E3C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过滤精度分级：50目 → 100目 → 200目 三级渐进过滤</w:t>
            </w:r>
          </w:p>
          <w:p w14:paraId="7DD1C77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熔体夹杂物含量降低 ≥ 70%（对比单级过滤）</w:t>
            </w:r>
          </w:p>
          <w:p w14:paraId="71999A0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模块更换时间 ≤ 15分钟/组</w:t>
            </w:r>
          </w:p>
          <w:p w14:paraId="6B9360B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铸件内部气孔率 ≤ 0.5%，达到GB/T 1173-2013优等品标准</w:t>
            </w:r>
          </w:p>
          <w:p w14:paraId="35129A6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技术先进性：</w:t>
            </w:r>
          </w:p>
          <w:p w14:paraId="3FD4468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实现熔体深度净化与设备可维护性双重提升，显著提高铸件致密度与表面质量，支撑高精度铝制品的洁净生产。</w:t>
            </w:r>
          </w:p>
          <w:p w14:paraId="3761EAE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</w:p>
          <w:p w14:paraId="2943E88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关键技术三：智能防粘连与高效搬运集成技术</w:t>
            </w:r>
          </w:p>
          <w:p w14:paraId="5C23302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技术描述：</w:t>
            </w:r>
          </w:p>
          <w:p w14:paraId="5B9BAC0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集成动态压制限位机构与滚动减摩栏板系统，实现铝锭搬运过程中的自动限位与缓冲保护；采用电磁控制半圆头结构与可调螺杆机构，实现对不同规格铝板的柔性接触与防粘连分离，防止层间粘连导致的表面损伤。</w:t>
            </w:r>
          </w:p>
          <w:p w14:paraId="11ADC8D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技术指标：</w:t>
            </w:r>
          </w:p>
          <w:p w14:paraId="7E890F9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铝锭搬运过程晃动幅度降低 ≥ 80%</w:t>
            </w:r>
          </w:p>
          <w:p w14:paraId="08DE842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滚动摩擦系数 ≤ 0.15（传统滑动摩擦约0.3–0.5）</w:t>
            </w:r>
          </w:p>
          <w:p w14:paraId="40B6ECF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铝板粘连分离成功率 ≥ 98%</w:t>
            </w:r>
          </w:p>
          <w:p w14:paraId="4490DDC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适配铝板厚度范围：2–20 mm，调节精度 ±1 mm</w:t>
            </w:r>
          </w:p>
          <w:p w14:paraId="1F874E3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技术先进性：</w:t>
            </w:r>
          </w:p>
          <w:p w14:paraId="55DEFDF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解决铝材搬运与存储过程中的损伤与粘连难题，提升自动化作业效率与产品表面质量，体现清洁生产与智能化控制水平。</w:t>
            </w:r>
          </w:p>
          <w:p w14:paraId="2195145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</w:p>
          <w:p w14:paraId="7BE163E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关键技术四：基于工业视觉与深度学习的在线缺陷检测技术</w:t>
            </w:r>
          </w:p>
          <w:p w14:paraId="2E5E94C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技术描述：</w:t>
            </w:r>
          </w:p>
          <w:p w14:paraId="7F0B790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采用高分辨率工业相机与环形补光系统采集压延铝材表面图像，结合轻量化CNN模型与多尺度特征融合算法，实现裂纹、气泡、划痕等典型缺陷的实时识别与分类。系统具备在线报警与数据反馈功能，支持工艺闭环优化。</w:t>
            </w:r>
          </w:p>
          <w:p w14:paraId="7FD2DFC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技术指标：</w:t>
            </w:r>
          </w:p>
          <w:p w14:paraId="5A03750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图像采集分辨率：≥ 2048 × 1024 pixels，帧率 ≥ 60 fps</w:t>
            </w:r>
          </w:p>
          <w:p w14:paraId="45CB3EE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缺陷识别准确率 ≥ 95%（测试样本 ≥ 10,000张）</w:t>
            </w:r>
          </w:p>
          <w:p w14:paraId="1ACEC07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最小可检缺陷尺寸：0.2 mm</w:t>
            </w:r>
          </w:p>
          <w:p w14:paraId="2A95B15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检测响应时间 ≤ 200 ms，支持产线速度 ≤ 15 m/min</w:t>
            </w:r>
          </w:p>
          <w:p w14:paraId="560B3B0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技术先进性：</w:t>
            </w:r>
          </w:p>
          <w:p w14:paraId="483ACDC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构建“采集—识别—反馈”一体化智能检测系统，实现铝材表面质量的高精度、高效率在线监控，提升产品良率与智能制造水平。</w:t>
            </w:r>
          </w:p>
          <w:p w14:paraId="4F7F03B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</w:p>
          <w:p w14:paraId="499BB12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总结说明</w:t>
            </w:r>
          </w:p>
          <w:p w14:paraId="630C938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上述四项关键技术覆盖了“高精准铝制品”从熔体净化、热处理、搬运防护到智能检测的全流程核心技术链，体现了公司在铝材清洁生产、精密加工与智能化控制方面的综合创新能力。技术指标均具备可量化、可验证性，符合《国家重点支持的高新技术领域》中“铝及铝合金深加工技术”的发展方向，支撑产品达到高精度、高洁净度、高一致性的质量标准，具备显著的市场竞争力和产业化前景。</w:t>
            </w:r>
            <w:bookmarkStart w:id="0" w:name="_GoBack"/>
            <w:bookmarkEnd w:id="0"/>
          </w:p>
        </w:tc>
      </w:tr>
      <w:tr w14:paraId="3F475A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5" w:hRule="atLeast"/>
          <w:jc w:val="center"/>
        </w:trPr>
        <w:tc>
          <w:tcPr>
            <w:tcW w:w="2272" w:type="dxa"/>
            <w:noWrap w:val="0"/>
            <w:vAlign w:val="top"/>
          </w:tcPr>
          <w:p w14:paraId="5F415F74">
            <w:pPr>
              <w:spacing w:line="253" w:lineRule="auto"/>
              <w:rPr>
                <w:rFonts w:ascii="Times New Roman" w:hAnsi="Times New Roman" w:eastAsia="仿宋" w:cs="Times New Roman"/>
                <w:sz w:val="21"/>
                <w:szCs w:val="24"/>
              </w:rPr>
            </w:pPr>
          </w:p>
          <w:p w14:paraId="77DB8C63">
            <w:pPr>
              <w:spacing w:line="254" w:lineRule="auto"/>
              <w:rPr>
                <w:rFonts w:ascii="Times New Roman" w:hAnsi="Times New Roman" w:eastAsia="仿宋" w:cs="Times New Roman"/>
                <w:sz w:val="21"/>
                <w:szCs w:val="24"/>
              </w:rPr>
            </w:pPr>
          </w:p>
          <w:p w14:paraId="59348789">
            <w:pPr>
              <w:spacing w:line="254" w:lineRule="auto"/>
              <w:rPr>
                <w:rFonts w:ascii="Times New Roman" w:hAnsi="Times New Roman" w:eastAsia="仿宋" w:cs="Times New Roman"/>
                <w:sz w:val="21"/>
                <w:szCs w:val="24"/>
              </w:rPr>
            </w:pPr>
          </w:p>
          <w:p w14:paraId="34A23BE1">
            <w:pPr>
              <w:pStyle w:val="9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731C6289">
            <w:pPr>
              <w:pStyle w:val="9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7EB5BD66">
            <w:pPr>
              <w:pStyle w:val="9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218A44C1">
            <w:pPr>
              <w:pStyle w:val="9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0F9F4EEB">
            <w:pPr>
              <w:pStyle w:val="9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601607D7">
            <w:pPr>
              <w:pStyle w:val="9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59C31A76">
            <w:pPr>
              <w:pStyle w:val="9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06984268">
            <w:pPr>
              <w:pStyle w:val="9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083C9A31">
            <w:pPr>
              <w:pStyle w:val="9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55673F84">
            <w:pPr>
              <w:pStyle w:val="9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586D88BF">
            <w:pPr>
              <w:pStyle w:val="9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6C652B3B">
            <w:pPr>
              <w:pStyle w:val="9"/>
              <w:spacing w:before="24" w:line="218" w:lineRule="auto"/>
              <w:ind w:left="554"/>
              <w:rPr>
                <w:rFonts w:ascii="Times New Roman" w:hAnsi="Times New Roman" w:eastAsia="仿宋" w:cs="Times New Roman"/>
                <w:spacing w:val="-10"/>
                <w:szCs w:val="24"/>
              </w:rPr>
            </w:pPr>
          </w:p>
          <w:p w14:paraId="5D5A8BFF">
            <w:pPr>
              <w:pStyle w:val="9"/>
              <w:spacing w:before="24" w:line="218" w:lineRule="auto"/>
              <w:ind w:left="554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10"/>
                <w:szCs w:val="24"/>
              </w:rPr>
              <w:t>与同类</w:t>
            </w:r>
            <w:r>
              <w:rPr>
                <w:rFonts w:hint="eastAsia" w:ascii="Times New Roman" w:hAnsi="Times New Roman" w:cs="Times New Roman"/>
                <w:spacing w:val="-10"/>
                <w:szCs w:val="24"/>
                <w:lang w:val="en-US" w:eastAsia="zh-CN"/>
              </w:rPr>
              <w:t>产品</w:t>
            </w:r>
            <w:r>
              <w:rPr>
                <w:rFonts w:ascii="Times New Roman" w:hAnsi="Times New Roman" w:eastAsia="仿宋" w:cs="Times New Roman"/>
                <w:spacing w:val="-1"/>
                <w:szCs w:val="24"/>
              </w:rPr>
              <w:t>的</w:t>
            </w:r>
          </w:p>
          <w:p w14:paraId="3A7B99BA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4"/>
                <w:szCs w:val="24"/>
              </w:rPr>
              <w:t>竞争优势</w:t>
            </w:r>
          </w:p>
          <w:p w14:paraId="0EDD9F93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450916DF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1E9C63E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33020547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45EC83F1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00E655BB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4FA3D217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4609D143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FA353E6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69538E2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73809CEF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23EE2B3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0138BD19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3B7C0630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711EEA99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3EC80851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7CC9769A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4A5869E4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2332AC3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72C81BB2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77C4A785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AB21102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0839C4D7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46838DF3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7992597A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215A2B80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20F30CFF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7E660577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71ED9EB6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F825169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99BFE6B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0D86087B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321DD905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41713588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24D3E29A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8260F0D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68074A4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1F5B02B1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2B3AB25C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82363F9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6E5EBCCC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2819B43A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30619CAC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875DE42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4D9EF4FC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A6E64EA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</w:p>
          <w:p w14:paraId="59B1F404">
            <w:pPr>
              <w:pStyle w:val="9"/>
              <w:spacing w:before="24" w:line="218" w:lineRule="auto"/>
              <w:ind w:left="554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10"/>
                <w:szCs w:val="24"/>
              </w:rPr>
              <w:t>与同类</w:t>
            </w:r>
            <w:r>
              <w:rPr>
                <w:rFonts w:hint="eastAsia" w:ascii="Times New Roman" w:hAnsi="Times New Roman" w:cs="Times New Roman"/>
                <w:spacing w:val="-10"/>
                <w:szCs w:val="24"/>
                <w:lang w:val="en-US" w:eastAsia="zh-CN"/>
              </w:rPr>
              <w:t>产品</w:t>
            </w:r>
            <w:r>
              <w:rPr>
                <w:rFonts w:ascii="Times New Roman" w:hAnsi="Times New Roman" w:eastAsia="仿宋" w:cs="Times New Roman"/>
                <w:spacing w:val="-1"/>
                <w:szCs w:val="24"/>
              </w:rPr>
              <w:t>的</w:t>
            </w:r>
          </w:p>
          <w:p w14:paraId="2F81DA10">
            <w:pPr>
              <w:pStyle w:val="9"/>
              <w:spacing w:before="28" w:line="218" w:lineRule="auto"/>
              <w:ind w:left="670"/>
              <w:rPr>
                <w:rFonts w:ascii="Times New Roman" w:hAnsi="Times New Roman" w:eastAsia="仿宋" w:cs="Times New Roman"/>
                <w:spacing w:val="-4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4"/>
                <w:szCs w:val="24"/>
              </w:rPr>
              <w:t>竞争优势</w:t>
            </w:r>
          </w:p>
        </w:tc>
        <w:tc>
          <w:tcPr>
            <w:tcW w:w="7681" w:type="dxa"/>
            <w:noWrap w:val="0"/>
            <w:vAlign w:val="top"/>
          </w:tcPr>
          <w:p w14:paraId="2585B3E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i w:val="0"/>
                <w:iCs w:val="0"/>
                <w:caps w:val="0"/>
                <w:color w:val="333333"/>
                <w:spacing w:val="0"/>
                <w:sz w:val="21"/>
                <w:szCs w:val="24"/>
                <w:shd w:val="clear" w:color="auto" w:fill="FFFFFF"/>
              </w:rPr>
            </w:pPr>
          </w:p>
          <w:p w14:paraId="572C70D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1. 产品精度与一致性行业领先</w:t>
            </w:r>
          </w:p>
          <w:p w14:paraId="242BD72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优势说明：</w:t>
            </w:r>
          </w:p>
          <w:p w14:paraId="7AFF551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通过动态旋转加热技术与高精度伺服夹持定位系统，有效解决了传统铝材热处理过程中因受热不均导致的变形、内应力集中等问题，显著提升产品尺寸精度与组织均匀性。</w:t>
            </w:r>
          </w:p>
          <w:p w14:paraId="6BC58C9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</w:p>
          <w:p w14:paraId="0BC8E70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对比优势：</w:t>
            </w:r>
          </w:p>
          <w:p w14:paraId="49B4E5B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同类产品热处理温差普遍在±15℃以上，我司产品控制在 ±8℃以内；</w:t>
            </w:r>
          </w:p>
          <w:p w14:paraId="3D4D6AC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产品尺寸公差可达 ±0.05mm，优于行业平均水平（±0.1–0.2mm）；</w:t>
            </w:r>
          </w:p>
          <w:p w14:paraId="68FE362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铸件气孔率 ≤ 0.5%，达到国标优等品水平，显著高于普通铸造产品（1.0–1.5%）。</w:t>
            </w:r>
          </w:p>
          <w:p w14:paraId="6D3DAA3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客户价值：</w:t>
            </w:r>
          </w:p>
          <w:p w14:paraId="67BC018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减少后续加工余量，提升装配精度，适用于航空航天、新能源汽车等对精度要求严苛的高端领域。</w:t>
            </w:r>
          </w:p>
          <w:p w14:paraId="28F4878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</w:p>
          <w:p w14:paraId="5B2F6D5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2. 熔体纯净度高，产品内部质量更优</w:t>
            </w:r>
          </w:p>
          <w:p w14:paraId="73678C8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优势说明：</w:t>
            </w:r>
          </w:p>
          <w:p w14:paraId="704B075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采用多级渐进式过滤系统与模块化导流设计，实现熔融合金液的深度净化，有效去除氧化物、夹杂等杂质，保障铸件致密性与力学性能。</w:t>
            </w:r>
          </w:p>
          <w:p w14:paraId="7A73E6D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</w:p>
          <w:p w14:paraId="1497D18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对比优势：</w:t>
            </w:r>
          </w:p>
          <w:p w14:paraId="3EE20FD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普通设备多采用单层滤网，过滤效率低；我司实现 三级梯度过滤，夹杂物去除率提升 70%以上；</w:t>
            </w:r>
          </w:p>
          <w:p w14:paraId="0D9D38D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滤网模块支持 15分钟内快速更换，不停机维护，生产连续性优于传统焊接式过滤装置。</w:t>
            </w:r>
          </w:p>
          <w:p w14:paraId="4A61E3D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</w:p>
          <w:p w14:paraId="2BE9D2A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客户价值：</w:t>
            </w:r>
          </w:p>
          <w:p w14:paraId="331FDAF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产品抗拉强度、延伸率等力学性能更稳定，减少废品率，提升客户终端产品质量可靠性。</w:t>
            </w:r>
          </w:p>
          <w:p w14:paraId="6A23C52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</w:p>
          <w:p w14:paraId="20A58C4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3. 智能化与自动化水平高，降低人工依赖</w:t>
            </w:r>
          </w:p>
          <w:p w14:paraId="79D7A4D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优势说明：</w:t>
            </w:r>
          </w:p>
          <w:p w14:paraId="5E94589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集成电磁防粘连控制、滚动减摩搬运系统与工业视觉在线检测，实现从搬运、存储到质量检测的全流程自动化与智能化。</w:t>
            </w:r>
          </w:p>
          <w:p w14:paraId="7D64E79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</w:p>
          <w:p w14:paraId="63ACCD9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对比优势：</w:t>
            </w:r>
          </w:p>
          <w:p w14:paraId="64C705B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传统铝板搬运依赖人工或机械夹持，易造成表面划伤；我司采用滚动栏板+缓冲限位，表面损伤率降低 80%以上；</w:t>
            </w:r>
          </w:p>
          <w:p w14:paraId="50A0E0F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行业普遍采用人工抽检或简单视觉检测，我司实现 95%以上准确率的AI在线全检，检测速度达15m/min，效率提升3–5倍。</w:t>
            </w:r>
          </w:p>
          <w:p w14:paraId="4005EB6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客户价值：</w:t>
            </w:r>
          </w:p>
          <w:p w14:paraId="7510ED6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降低人工成本与操作风险，提升生产节拍与质量稳定性，符合“智能制造”升级趋势。</w:t>
            </w:r>
          </w:p>
          <w:p w14:paraId="6D56546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</w:p>
          <w:p w14:paraId="4753CDB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4. 设备可维护性强，运行效率与柔性更高</w:t>
            </w:r>
          </w:p>
          <w:p w14:paraId="0FA7311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优势说明：</w:t>
            </w:r>
          </w:p>
          <w:p w14:paraId="3593405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关键部件如滤网、夹持机构、模具等采用模块化、插接式设计，支持快速拆装与更换，适应多品种、小批量生产需求。</w:t>
            </w:r>
          </w:p>
          <w:p w14:paraId="5CF976B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</w:p>
          <w:p w14:paraId="78E6E62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对比优势：</w:t>
            </w:r>
          </w:p>
          <w:p w14:paraId="33BB201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模具切换时间 ≤ 5分钟（传统设备需15–30分钟）；</w:t>
            </w:r>
          </w:p>
          <w:p w14:paraId="4A9B714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过滤组件维护时间缩短 60%以上；</w:t>
            </w:r>
          </w:p>
          <w:p w14:paraId="1E41F5A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夹持与防粘结构支持 2–20mm 范围内无级调节，适配性强。</w:t>
            </w:r>
          </w:p>
          <w:p w14:paraId="6580490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客户价值：</w:t>
            </w:r>
          </w:p>
          <w:p w14:paraId="36BE3E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提升设备利用率（OEE），降低停机时间，满足客户多样化订单需求，增强产线柔性。</w:t>
            </w:r>
          </w:p>
          <w:p w14:paraId="2C3F940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</w:p>
          <w:p w14:paraId="67B8AA0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</w:p>
          <w:p w14:paraId="56302B5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</w:p>
          <w:p w14:paraId="597DA49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5. 清洁生产与环保性能突出</w:t>
            </w:r>
          </w:p>
          <w:p w14:paraId="3452CAC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优势说明：</w:t>
            </w:r>
          </w:p>
          <w:p w14:paraId="6B22E77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集成烟尘收集净化系统与智能喷涂参数调控技术，实现低排放、低能耗运行，符合绿色制造政策导向。</w:t>
            </w:r>
          </w:p>
          <w:p w14:paraId="5DBC28E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</w:p>
          <w:p w14:paraId="558DA0E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对比优势：</w:t>
            </w:r>
          </w:p>
          <w:p w14:paraId="10F05AD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喷涂过程VOCs排放降低 ≥ 30%（通过动态调控涂料流量与雾化压力）；</w:t>
            </w:r>
          </w:p>
          <w:p w14:paraId="4F1C2F9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配备高效过滤箱与鼓风系统，车间粉尘浓度 ≤ 5mg/m³，优于国家标准（8mg/m³）；</w:t>
            </w:r>
          </w:p>
          <w:p w14:paraId="5958CEE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前处理能耗降低 ≥ 15%，助力客户实现“双碳”目标。</w:t>
            </w:r>
          </w:p>
          <w:p w14:paraId="6708F81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客户价值：</w:t>
            </w:r>
          </w:p>
          <w:p w14:paraId="066705A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400" w:leftChars="0"/>
              <w:jc w:val="both"/>
              <w:textAlignment w:val="baseline"/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1"/>
                <w:szCs w:val="24"/>
                <w:lang w:val="en-US" w:eastAsia="zh-CN"/>
              </w:rPr>
              <w:t>帮助企业通过环保验收，降低环保处罚风险，提升企业社会形象。</w:t>
            </w:r>
          </w:p>
        </w:tc>
      </w:tr>
      <w:tr w14:paraId="15B59D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2" w:hRule="atLeast"/>
          <w:jc w:val="center"/>
        </w:trPr>
        <w:tc>
          <w:tcPr>
            <w:tcW w:w="2272" w:type="dxa"/>
            <w:noWrap w:val="0"/>
            <w:vAlign w:val="top"/>
          </w:tcPr>
          <w:p w14:paraId="3F141767">
            <w:pPr>
              <w:spacing w:line="356" w:lineRule="auto"/>
              <w:rPr>
                <w:rFonts w:ascii="Times New Roman" w:hAnsi="Times New Roman" w:eastAsia="仿宋" w:cs="Times New Roman"/>
                <w:sz w:val="21"/>
                <w:szCs w:val="24"/>
              </w:rPr>
            </w:pPr>
          </w:p>
          <w:p w14:paraId="01C77314">
            <w:pPr>
              <w:spacing w:line="357" w:lineRule="auto"/>
              <w:rPr>
                <w:rFonts w:ascii="Times New Roman" w:hAnsi="Times New Roman" w:eastAsia="仿宋" w:cs="Times New Roman"/>
                <w:sz w:val="21"/>
                <w:szCs w:val="24"/>
              </w:rPr>
            </w:pPr>
          </w:p>
          <w:p w14:paraId="6CCF93B7">
            <w:pPr>
              <w:pStyle w:val="9"/>
              <w:spacing w:before="78" w:line="218" w:lineRule="auto"/>
              <w:ind w:left="184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2BEC3756">
            <w:pPr>
              <w:pStyle w:val="9"/>
              <w:spacing w:before="78" w:line="218" w:lineRule="auto"/>
              <w:ind w:left="184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525A489E">
            <w:pPr>
              <w:pStyle w:val="9"/>
              <w:spacing w:before="78" w:line="218" w:lineRule="auto"/>
              <w:ind w:left="184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2B6D4F2B">
            <w:pPr>
              <w:pStyle w:val="9"/>
              <w:spacing w:before="78" w:line="218" w:lineRule="auto"/>
              <w:ind w:left="184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072C7E15">
            <w:pPr>
              <w:pStyle w:val="9"/>
              <w:spacing w:before="78" w:line="218" w:lineRule="auto"/>
              <w:ind w:left="184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0A6442FD">
            <w:pPr>
              <w:pStyle w:val="9"/>
              <w:spacing w:before="78" w:line="218" w:lineRule="auto"/>
              <w:ind w:left="184"/>
              <w:rPr>
                <w:rFonts w:ascii="Times New Roman" w:hAnsi="Times New Roman" w:eastAsia="仿宋" w:cs="Times New Roman"/>
                <w:spacing w:val="-2"/>
                <w:szCs w:val="24"/>
              </w:rPr>
            </w:pPr>
          </w:p>
          <w:p w14:paraId="394700D0">
            <w:pPr>
              <w:pStyle w:val="9"/>
              <w:spacing w:before="78" w:line="218" w:lineRule="auto"/>
              <w:ind w:left="184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2"/>
                <w:szCs w:val="24"/>
              </w:rPr>
              <w:t>知识产权获得情况</w:t>
            </w:r>
          </w:p>
          <w:p w14:paraId="20DF5866">
            <w:pPr>
              <w:pStyle w:val="9"/>
              <w:spacing w:before="28" w:line="218" w:lineRule="auto"/>
              <w:jc w:val="center"/>
              <w:rPr>
                <w:rFonts w:hint="eastAsia" w:ascii="Times New Roman" w:hAnsi="Times New Roman" w:eastAsia="仿宋" w:cs="Times New Roman"/>
                <w:szCs w:val="24"/>
                <w:lang w:val="en-US" w:eastAsia="zh-CN"/>
              </w:rPr>
            </w:pPr>
            <w:r>
              <w:rPr>
                <w:rFonts w:ascii="Times New Roman" w:hAnsi="Times New Roman" w:eastAsia="仿宋" w:cs="Times New Roman"/>
                <w:spacing w:val="-1"/>
                <w:szCs w:val="24"/>
              </w:rPr>
              <w:t>及其对</w:t>
            </w:r>
            <w:r>
              <w:rPr>
                <w:rFonts w:hint="eastAsia" w:ascii="Times New Roman" w:hAnsi="Times New Roman" w:cs="Times New Roman"/>
                <w:spacing w:val="-1"/>
                <w:szCs w:val="24"/>
                <w:lang w:val="en-US" w:eastAsia="zh-CN"/>
              </w:rPr>
              <w:t>产品</w:t>
            </w:r>
          </w:p>
          <w:p w14:paraId="3BD6051D">
            <w:pPr>
              <w:pStyle w:val="9"/>
              <w:spacing w:before="28" w:line="215" w:lineRule="auto"/>
              <w:ind w:left="184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2"/>
                <w:szCs w:val="24"/>
              </w:rPr>
              <w:t>在技术上发挥的支</w:t>
            </w:r>
          </w:p>
          <w:p w14:paraId="3FF812D2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3"/>
                <w:szCs w:val="24"/>
              </w:rPr>
              <w:t>持作用</w:t>
            </w:r>
          </w:p>
          <w:p w14:paraId="4262AF07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044D4F03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142B4E6E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05D353AA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7FB3FCD7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E43059C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C5DB746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05E2E03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66769471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2F46623F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058D1795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6BEDB891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64721F6E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3A37E16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3B80E3A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A34338F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3CBE44C1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AE29067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278FA41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0A17F14F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FDC40EB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10D8DEC6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29B5D68F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199D2C70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23E8DD72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08FE6326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7A5A452E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6A145C5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14EC28A6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A9FBF0F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393FB9E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0CC3C35A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276D4543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25D00F4D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106783D9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1455023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476C74D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C1315D6">
            <w:pPr>
              <w:pStyle w:val="9"/>
              <w:spacing w:before="78" w:line="218" w:lineRule="auto"/>
              <w:ind w:left="184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2"/>
                <w:szCs w:val="24"/>
              </w:rPr>
              <w:t>知识产权获得情况</w:t>
            </w:r>
          </w:p>
          <w:p w14:paraId="50F332C3">
            <w:pPr>
              <w:pStyle w:val="9"/>
              <w:spacing w:before="28" w:line="218" w:lineRule="auto"/>
              <w:jc w:val="center"/>
              <w:rPr>
                <w:rFonts w:hint="eastAsia" w:ascii="Times New Roman" w:hAnsi="Times New Roman" w:eastAsia="仿宋" w:cs="Times New Roman"/>
                <w:szCs w:val="24"/>
                <w:lang w:val="en-US" w:eastAsia="zh-CN"/>
              </w:rPr>
            </w:pPr>
            <w:r>
              <w:rPr>
                <w:rFonts w:ascii="Times New Roman" w:hAnsi="Times New Roman" w:eastAsia="仿宋" w:cs="Times New Roman"/>
                <w:spacing w:val="-1"/>
                <w:szCs w:val="24"/>
              </w:rPr>
              <w:t>及其对</w:t>
            </w:r>
            <w:r>
              <w:rPr>
                <w:rFonts w:hint="eastAsia" w:ascii="Times New Roman" w:hAnsi="Times New Roman" w:cs="Times New Roman"/>
                <w:spacing w:val="-1"/>
                <w:szCs w:val="24"/>
                <w:lang w:val="en-US" w:eastAsia="zh-CN"/>
              </w:rPr>
              <w:t>产品</w:t>
            </w:r>
          </w:p>
          <w:p w14:paraId="452C0B87">
            <w:pPr>
              <w:pStyle w:val="9"/>
              <w:spacing w:before="28" w:line="215" w:lineRule="auto"/>
              <w:ind w:left="184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2"/>
                <w:szCs w:val="24"/>
              </w:rPr>
              <w:t>在技术上发挥的支</w:t>
            </w:r>
          </w:p>
          <w:p w14:paraId="41A7B644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3"/>
                <w:szCs w:val="24"/>
              </w:rPr>
              <w:t>持作用</w:t>
            </w:r>
          </w:p>
          <w:p w14:paraId="7FE2986E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3F804715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3474DB4D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B3E5091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69A4499B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2FAA5D93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0AAF80F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6A4FFCEE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7976B3EC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68E1573F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600AD860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74FF40F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3AF0108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A6A0907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2288B18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08383B2E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3F9EEBFA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873FB2B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8A2EA4E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E7C34D8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F2A8B9A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15C6082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00974B54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308CC028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76674E12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1B035B5B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28C24310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046A1D0E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CB13D0E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1DC1589A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6D65EECD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41861E6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1699CA3E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65453FB4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37DBB9BE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CEB7327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71FF1A1E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70306CE7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68174ACD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9099E78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1E000A8C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8877E5B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76356842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992280B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885B975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7A8FC63A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5FDFCE6C">
            <w:pPr>
              <w:pStyle w:val="9"/>
              <w:spacing w:before="78" w:line="218" w:lineRule="auto"/>
              <w:ind w:left="184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2"/>
                <w:szCs w:val="24"/>
              </w:rPr>
              <w:t>知识产权获得情况</w:t>
            </w:r>
          </w:p>
          <w:p w14:paraId="6BBDBF12">
            <w:pPr>
              <w:pStyle w:val="9"/>
              <w:spacing w:before="28" w:line="218" w:lineRule="auto"/>
              <w:jc w:val="center"/>
              <w:rPr>
                <w:rFonts w:hint="eastAsia" w:ascii="Times New Roman" w:hAnsi="Times New Roman" w:eastAsia="仿宋" w:cs="Times New Roman"/>
                <w:szCs w:val="24"/>
                <w:lang w:val="en-US" w:eastAsia="zh-CN"/>
              </w:rPr>
            </w:pPr>
            <w:r>
              <w:rPr>
                <w:rFonts w:ascii="Times New Roman" w:hAnsi="Times New Roman" w:eastAsia="仿宋" w:cs="Times New Roman"/>
                <w:spacing w:val="-1"/>
                <w:szCs w:val="24"/>
              </w:rPr>
              <w:t>及其对</w:t>
            </w:r>
            <w:r>
              <w:rPr>
                <w:rFonts w:hint="eastAsia" w:ascii="Times New Roman" w:hAnsi="Times New Roman" w:cs="Times New Roman"/>
                <w:spacing w:val="-1"/>
                <w:szCs w:val="24"/>
                <w:lang w:val="en-US" w:eastAsia="zh-CN"/>
              </w:rPr>
              <w:t>产品</w:t>
            </w:r>
          </w:p>
          <w:p w14:paraId="5DA4C96D">
            <w:pPr>
              <w:pStyle w:val="9"/>
              <w:spacing w:before="28" w:line="215" w:lineRule="auto"/>
              <w:ind w:left="184"/>
              <w:rPr>
                <w:rFonts w:ascii="Times New Roman" w:hAnsi="Times New Roman" w:eastAsia="仿宋" w:cs="Times New Roman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2"/>
                <w:szCs w:val="24"/>
              </w:rPr>
              <w:t>在技术上发挥的支</w:t>
            </w:r>
          </w:p>
          <w:p w14:paraId="3E454325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  <w:r>
              <w:rPr>
                <w:rFonts w:ascii="Times New Roman" w:hAnsi="Times New Roman" w:eastAsia="仿宋" w:cs="Times New Roman"/>
                <w:spacing w:val="-3"/>
                <w:szCs w:val="24"/>
              </w:rPr>
              <w:t>持作用</w:t>
            </w:r>
          </w:p>
          <w:p w14:paraId="7575D3A3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6802E1FD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00361100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23F82953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2EA529E3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721AAB5B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645FE237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0549DD9E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0C931EF7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168701DF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18B879F8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4DA51768">
            <w:pPr>
              <w:pStyle w:val="9"/>
              <w:spacing w:before="29" w:line="216" w:lineRule="auto"/>
              <w:ind w:left="785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  <w:p w14:paraId="794C88A2">
            <w:pPr>
              <w:pStyle w:val="9"/>
              <w:spacing w:before="29" w:line="216" w:lineRule="auto"/>
              <w:rPr>
                <w:rFonts w:ascii="Times New Roman" w:hAnsi="Times New Roman" w:eastAsia="仿宋" w:cs="Times New Roman"/>
                <w:spacing w:val="-3"/>
                <w:szCs w:val="24"/>
              </w:rPr>
            </w:pPr>
          </w:p>
        </w:tc>
        <w:tc>
          <w:tcPr>
            <w:tcW w:w="7681" w:type="dxa"/>
            <w:noWrap w:val="0"/>
            <w:vAlign w:val="top"/>
          </w:tcPr>
          <w:p w14:paraId="59F8486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</w:p>
          <w:p w14:paraId="6567C4D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1. 一种用于金属热处理的高频感应加热设备（ZL202123098145.4）</w:t>
            </w:r>
          </w:p>
          <w:p w14:paraId="5F4F6D4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该专利通过将旋转驱动机构与高频感应线圈集成设计，实现铝材在加热过程中的连续自转，有效解决传统固定加热导致的受热不均、内应力集中等问题。设备具备温度反馈与能耗调节接口，支持与温控系统联动。</w:t>
            </w:r>
          </w:p>
          <w:p w14:paraId="29B757C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技术壁垒与竞争优势：</w:t>
            </w:r>
          </w:p>
          <w:p w14:paraId="312092E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提升热处理均匀性，产品变形率降低40%以上；</w:t>
            </w:r>
          </w:p>
          <w:p w14:paraId="000A105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支持与“有色金属冶炼温度调试系统”软件协同，实现节能优化；</w:t>
            </w:r>
          </w:p>
          <w:p w14:paraId="5FA8446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形成热处理工艺专用装备壁垒，区别于通用感应炉，增强产品一致性保障能力。</w:t>
            </w:r>
          </w:p>
          <w:p w14:paraId="1E9A7B7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2. 一种铸造铝合金用导流管（ZL202320853749.5）</w:t>
            </w:r>
          </w:p>
          <w:p w14:paraId="429DBA6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该导流管内部设置多层隔板与梯度滤网结构，形成蛇形流动路径，实现熔体在输送过程中的逐级过滤与杂质沉降，显著提升合金液纯净度。</w:t>
            </w:r>
          </w:p>
          <w:p w14:paraId="2EA5FC2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技术壁垒与竞争优势：</w:t>
            </w:r>
          </w:p>
          <w:p w14:paraId="6B7871A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实现 “流动中净化”，避免二次污染；</w:t>
            </w:r>
          </w:p>
          <w:p w14:paraId="584FAE0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滤网模块可拆卸，便于清理与更换，维护效率提升60%；</w:t>
            </w:r>
          </w:p>
          <w:p w14:paraId="6B26F19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支撑铸件气孔率 ≤ 0.5%，达到高端压铸件质量标准，提升产品内部可靠性。</w:t>
            </w:r>
          </w:p>
          <w:p w14:paraId="2F509DE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3. 一种铝锭搬运装置（ZL202222939332.9）</w:t>
            </w:r>
          </w:p>
          <w:p w14:paraId="6D31976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该装置集成弹性缓冲垫、限位杆与转动盘联动结构，实现铝锭在搬运过程中的动态压制与上下限位，有效防止因振动导致的碰撞与堆叠错位。</w:t>
            </w:r>
          </w:p>
          <w:p w14:paraId="1C3A65D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</w:p>
          <w:p w14:paraId="2D952BD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</w:p>
          <w:p w14:paraId="5F13EE8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技术壁垒与竞争优势：</w:t>
            </w:r>
          </w:p>
          <w:p w14:paraId="742B4D4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显著降低搬运过程中的表面划伤与边角损伤，产品表面合格率提升至98%以上；</w:t>
            </w:r>
          </w:p>
          <w:p w14:paraId="0BF0F43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实现自动化上下料对接，适配智能产线集成；</w:t>
            </w:r>
          </w:p>
          <w:p w14:paraId="2CAF520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解决铝锭“散垛”难题，提升物流安全性与作业效率。</w:t>
            </w:r>
          </w:p>
          <w:p w14:paraId="5A22EC5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4. 一种防粘连铝板存放装置（ZL202320901205.1）</w:t>
            </w:r>
          </w:p>
          <w:p w14:paraId="2B72270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采用电磁控制半圆头结构与可调螺杆机构，实现对铝板侧端面的柔性抵触，在吊运时自动分离粘连板层，避免强行撬动造成的表面损伤。</w:t>
            </w:r>
          </w:p>
          <w:p w14:paraId="02D4B68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技术壁垒与竞争优势：</w:t>
            </w:r>
          </w:p>
          <w:p w14:paraId="5D476A4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粘连分离成功率 ≥ 98%，减少人工干预；</w:t>
            </w:r>
          </w:p>
          <w:p w14:paraId="50D0634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支持不同厚度铝板（2–20mm）自适应调节，通用性强；</w:t>
            </w:r>
          </w:p>
          <w:p w14:paraId="7B348F1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有效保护铝板表面光泽与涂层完整性，满足高端装饰与电子用铝需求。</w:t>
            </w:r>
          </w:p>
          <w:p w14:paraId="55B284D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5. 一种金属加工工作台（ZL202320855804.4）</w:t>
            </w:r>
          </w:p>
          <w:p w14:paraId="4DD5703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工作台集成导块、导槽、弹簧缓冲与移动轮结构，实现加工平台的导向、减震与灵活移动，提升夹持稳定性与操作便捷性。</w:t>
            </w:r>
          </w:p>
          <w:p w14:paraId="59ECCB3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技术壁垒与竞争优势：</w:t>
            </w:r>
          </w:p>
          <w:p w14:paraId="6761CB4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降低加工振动对精度的影响，提升表面光洁度；</w:t>
            </w:r>
          </w:p>
          <w:p w14:paraId="4018E4F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支持快速换型与多工位切换，适应小批量定制化生产；</w:t>
            </w:r>
          </w:p>
          <w:p w14:paraId="2B15DF2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增强设备人机协同性与产线柔性，提升整体运行效率。</w:t>
            </w:r>
          </w:p>
          <w:p w14:paraId="455E6BC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6. 一种金属制品加工定位模具（ZL202320677793.5）</w:t>
            </w:r>
          </w:p>
          <w:p w14:paraId="7A9E5E6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采用矩形槽定位 + 可滑动二号矩形板结构，实现模具的快速安装与精准对位，配合内置加热丝，防止熔体过早凝固。</w:t>
            </w:r>
          </w:p>
          <w:p w14:paraId="59F29AC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技术壁垒与竞争优势：</w:t>
            </w:r>
          </w:p>
          <w:p w14:paraId="47F72A3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模具更换时间缩短至5分钟以内，生产效率提升30%以上；</w:t>
            </w:r>
          </w:p>
          <w:p w14:paraId="04D9123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加热丝控温精度±5℃，保障注模流动性，减少冷隔缺陷；</w:t>
            </w:r>
          </w:p>
          <w:p w14:paraId="53FAB4C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形成快换模具系统标准接口，为后续自动化升级奠定基础。</w:t>
            </w:r>
          </w:p>
          <w:p w14:paraId="6DE5491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7. 一种铝膜生产用裁切机（ZL202320835407.0）</w:t>
            </w:r>
          </w:p>
          <w:p w14:paraId="13EF0AD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集成电动伸缩杆、排气刷与硅胶垫结构，在裁切前对铝膜进行排气处理与贴合固定，防止气泡与褶皱，提升裁切精度。</w:t>
            </w:r>
          </w:p>
          <w:p w14:paraId="3D248C8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技术壁垒与竞争优势：</w:t>
            </w:r>
          </w:p>
          <w:p w14:paraId="0B54E99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裁切边缘平整度误差 ≤ 0.1mm，减少毛刺与废边；</w:t>
            </w:r>
          </w:p>
          <w:p w14:paraId="5061E40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防止铝膜因内部气囊导致的贴合不良，提升复合材料质量；</w:t>
            </w:r>
          </w:p>
          <w:p w14:paraId="744D8EE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保障高精度电子铝膜、包装材料等产品的尺寸稳定性与外观质量。</w:t>
            </w:r>
          </w:p>
          <w:p w14:paraId="64563A5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8. 铝卷智能喷涂控制系统（2023SR0895277）</w:t>
            </w:r>
          </w:p>
          <w:p w14:paraId="6541743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该系统集成环境温湿度、运行速度、铝材厚度等传感器数据，通过控制算法实时调节喷涂压力、涂料流量与喷枪距离，实现喷涂均匀性闭环控制。</w:t>
            </w:r>
          </w:p>
          <w:p w14:paraId="10C6613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技术壁垒与竞争优势：</w:t>
            </w:r>
          </w:p>
          <w:p w14:paraId="0B396C0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喷涂膜厚均匀性提升至 ±5μm，优于行业平均水平（±10–15μm）；</w:t>
            </w:r>
          </w:p>
          <w:p w14:paraId="3E17643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支持多参数融合反馈，减少涂料浪费 ≥ 15%；</w:t>
            </w:r>
          </w:p>
          <w:p w14:paraId="79BC410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实现喷涂工艺数字化、可追溯化管理，满足高端客户质量审计要求。</w:t>
            </w:r>
          </w:p>
          <w:p w14:paraId="749734E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9. 有色金属冶炼温度调试系统（2024SR1349390）</w:t>
            </w:r>
          </w:p>
          <w:p w14:paraId="7C3C327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该软件基于冶炼工艺数据模型，优化加热曲线与能耗分配，实现加热过程的智能调控，降低无效能耗。</w:t>
            </w:r>
          </w:p>
          <w:p w14:paraId="332BA27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技术壁垒与竞争优势：</w:t>
            </w:r>
          </w:p>
          <w:p w14:paraId="425F132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较传统加热模式节能 ≥ 15%；</w:t>
            </w:r>
          </w:p>
          <w:p w14:paraId="6CA625D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支持与高频感应加热设备联动，提升加热效率与温度一致性；</w:t>
            </w:r>
          </w:p>
          <w:p w14:paraId="10FBEE6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形成工艺参数数据库与能效管理平台，助力绿色工厂建设。</w:t>
            </w:r>
          </w:p>
          <w:p w14:paraId="4CB8E6F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10. 有色金属压延生产缺陷检测系统（2023SR1515942）</w:t>
            </w:r>
          </w:p>
          <w:p w14:paraId="356E030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系统集成图像采集、预处理、缺陷识别与报警功能，支持压延产线连续运行中的表面质量监控。</w:t>
            </w:r>
          </w:p>
          <w:p w14:paraId="08C425D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技术壁垒与竞争优势：</w:t>
            </w:r>
          </w:p>
          <w:p w14:paraId="66E6404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支持裂纹、气泡、划痕等10类缺陷自动识别；</w:t>
            </w:r>
          </w:p>
          <w:p w14:paraId="7183070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检测响应时间 ≤ 200ms，适配高速产线；</w:t>
            </w:r>
          </w:p>
          <w:p w14:paraId="6AF2555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实现全检替代抽检，提升质量管控水平，降低客户投诉风险。</w:t>
            </w:r>
          </w:p>
          <w:p w14:paraId="673F710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11. 基于视觉识别的铝板表面检测系统（2023SR1521783）</w:t>
            </w:r>
          </w:p>
          <w:p w14:paraId="272CC31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采用轻量化CNN模型与多尺度特征提取算法，提升对微小缺陷（如0.2mm划痕）的识别能力，支持边缘计算部署。</w:t>
            </w:r>
          </w:p>
          <w:p w14:paraId="72DE19F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技术壁垒与竞争优势：</w:t>
            </w:r>
          </w:p>
          <w:p w14:paraId="1C85BD5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缺陷识别准确率 ≥ 95%，误报率 &lt; 3%；</w:t>
            </w:r>
          </w:p>
          <w:p w14:paraId="07B7596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模型可部署于嵌入式设备，降低硬件成本；</w:t>
            </w:r>
          </w:p>
          <w:p w14:paraId="31D086C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420" w:firstLineChars="200"/>
              <w:jc w:val="left"/>
              <w:textAlignment w:val="baseline"/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snapToGrid w:val="0"/>
                <w:color w:val="000000"/>
                <w:kern w:val="0"/>
                <w:sz w:val="21"/>
                <w:szCs w:val="24"/>
                <w:lang w:val="en-US" w:eastAsia="zh-CN" w:bidi="ar"/>
              </w:rPr>
              <w:t>形成自主可控的AI视觉检测算法体系，避免依赖第三方软件，增强技术独立性。</w:t>
            </w:r>
          </w:p>
        </w:tc>
      </w:tr>
    </w:tbl>
    <w:p w14:paraId="30824AEF"/>
    <w:p w14:paraId="317A0869"/>
    <w:sectPr>
      <w:head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FAE1F2">
    <w:pPr>
      <w:pStyle w:val="5"/>
      <w:widowControl/>
      <w:jc w:val="distribute"/>
    </w:pPr>
    <w:r>
      <w:rPr>
        <w:rFonts w:hint="eastAsia" w:ascii="宋体" w:hAnsi="宋体" w:cs="宋体"/>
        <w:sz w:val="32"/>
        <w:szCs w:val="32"/>
      </w:rPr>
      <w:drawing>
        <wp:inline distT="0" distB="0" distL="114300" distR="114300">
          <wp:extent cx="1054100" cy="461645"/>
          <wp:effectExtent l="0" t="0" r="0" b="8255"/>
          <wp:docPr id="1" name="图片 1" descr="b718d151-a529-424b-9f16-4005debe9ad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b718d151-a529-424b-9f16-4005debe9ad9"/>
                  <pic:cNvPicPr>
                    <a:picLocks noChangeAspect="1"/>
                  </pic:cNvPicPr>
                </pic:nvPicPr>
                <pic:blipFill>
                  <a:blip r:embed="rId1"/>
                  <a:srcRect b="12410"/>
                  <a:stretch>
                    <a:fillRect/>
                  </a:stretch>
                </pic:blipFill>
                <pic:spPr>
                  <a:xfrm>
                    <a:off x="0" y="0"/>
                    <a:ext cx="1054100" cy="461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宋体" w:hAnsi="宋体" w:cs="宋体"/>
        <w:sz w:val="32"/>
        <w:szCs w:val="32"/>
        <w:lang w:val="en-US" w:eastAsia="zh-CN"/>
      </w:rPr>
      <w:t xml:space="preserve">            </w:t>
    </w:r>
    <w:r>
      <w:rPr>
        <w:rFonts w:hint="eastAsia" w:ascii="宋体" w:hAnsi="宋体" w:cs="宋体"/>
        <w:sz w:val="32"/>
        <w:szCs w:val="32"/>
      </w:rPr>
      <w:t>上海舜斯新材料科技有限公司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11659C"/>
    <w:rsid w:val="4FE7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8">
    <w:name w:val="Strong"/>
    <w:basedOn w:val="7"/>
    <w:qFormat/>
    <w:uiPriority w:val="0"/>
    <w:rPr>
      <w:b/>
    </w:rPr>
  </w:style>
  <w:style w:type="paragraph" w:customStyle="1" w:styleId="9">
    <w:name w:val="Table Text"/>
    <w:basedOn w:val="1"/>
    <w:semiHidden/>
    <w:qFormat/>
    <w:uiPriority w:val="0"/>
    <w:rPr>
      <w:rFonts w:ascii="仿宋" w:hAnsi="仿宋" w:eastAsia="仿宋" w:cs="仿宋"/>
      <w:sz w:val="24"/>
      <w:szCs w:val="24"/>
      <w:lang w:val="en-US" w:eastAsia="en-US" w:bidi="ar-SA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4175</Words>
  <Characters>4545</Characters>
  <Lines>0</Lines>
  <Paragraphs>0</Paragraphs>
  <TotalTime>22</TotalTime>
  <ScaleCrop>false</ScaleCrop>
  <LinksUpToDate>false</LinksUpToDate>
  <CharactersWithSpaces>4647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2025-08-24T10:06:00Z</dcterms:created>
  <dc:creator>22766</dc:creator>
  <cp:lastModifiedBy>你走啊</cp:lastModifiedBy>
  <dcterms:modified xsi:type="dcterms:W3CDTF">2025-08-24T11:37:59Z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eyJoZGlkIjoiYzFlYzU0ZWY2OTk0M2IwOGI2OGY0MWEzNDNiOWM4ODYiLCJ1c2VySWQiOiIzODg4NjQwMzAifQ==</vt:lpwstr>
  </property>
  <property fmtid="{D5CDD505-2E9C-101B-9397-08002B2CF9AE}" pid="4" name="ICV">
    <vt:lpwstr>F59623B606804E2E887C2A13C0BB752C_12</vt:lpwstr>
  </property>
</Properties>
</file>