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eastAsia" w:ascii="宋体" w:hAnsi="宋体"/>
                <w:color w:val="auto"/>
                <w:kern w:val="0"/>
                <w:sz w:val="20"/>
              </w:rPr>
            </w:pPr>
            <w:r>
              <w:rPr>
                <w:rFonts w:hint="eastAsia" w:ascii="宋体" w:hAnsi="宋体"/>
                <w:color w:val="auto"/>
                <w:kern w:val="0"/>
                <w:sz w:val="20"/>
                <w:lang w:val="en-US" w:eastAsia="zh-CN"/>
              </w:rPr>
              <w:t>RD01</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4"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项目名称：高精度受热均匀的高纯度铝制品的研发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2022</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2022</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38FAB44">
      <w:pPr>
        <w:snapToGrid w:val="0"/>
        <w:spacing w:after="312" w:afterLines="100" w:line="300" w:lineRule="auto"/>
        <w:ind w:left="1008" w:leftChars="480"/>
        <w:rPr>
          <w:rFonts w:hint="eastAsia" w:ascii="仿宋_GB2312" w:hAnsi="宋体" w:eastAsia="仿宋_GB2312" w:cs="Arial"/>
          <w:color w:val="auto"/>
          <w:sz w:val="28"/>
          <w:szCs w:val="28"/>
        </w:rPr>
      </w:pP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43DF5EAB">
      <w:pPr>
        <w:snapToGrid w:val="0"/>
        <w:spacing w:after="312" w:afterLines="100" w:line="300" w:lineRule="auto"/>
        <w:jc w:val="center"/>
        <w:rPr>
          <w:rFonts w:hint="default" w:ascii="Times New Roman" w:hAnsi="Times New Roman" w:eastAsia="宋体"/>
          <w:color w:val="auto"/>
          <w:lang w:val="en-US" w:eastAsia="zh-CN"/>
        </w:rPr>
      </w:pPr>
      <w:r>
        <w:rPr>
          <w:rFonts w:hint="eastAsia" w:ascii="Times New Roman" w:hAnsi="Times New Roman"/>
          <w:color w:val="auto"/>
          <w:lang w:val="en-US" w:eastAsia="zh-CN"/>
        </w:rPr>
        <w:t>2022年</w:t>
      </w:r>
    </w:p>
    <w:p w14:paraId="7811E9DF">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2583B47D">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当前，我国铝制品已广泛应用于航空航天、电子信息、新能源汽车等战略性新兴产业，对材料性能尤其是纯度和热处理均匀性提出了更高要求。然而，在铝制品的热处理与铸造环节，国内生产仍面临诸多挑战：加热不均导致材料组织性能波动、杂质去除不彻底影响产品纯度等问题较为突出；同时，传统设备对不同规格金属件的适应性不足，装夹效率低，制约了高端铝制品的高效、规模化生产。</w:t>
      </w:r>
    </w:p>
    <w:p w14:paraId="51F389E1">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相比之下，发达国家在高纯度金属加工技术方面已建立起较为成熟的技术体系。德国采用感应加热与动态旋转相结合的技术方案，显著提升金属材料受热的均匀性与热处理过程的一致性；日本在铸造系统中引入多级过滤结构，有效控制熔体中的夹杂物含量，大幅提高了成品的纯净度与质量稳定性；美国则通过模块化设备设计，增强了系统对多种尺寸工件的兼容性，实现快速换型与高精度加工，提升生产灵活性与效率</w:t>
      </w:r>
      <w:r>
        <w:rPr>
          <w:rFonts w:ascii="Times New Roman" w:hAnsi="Times New Roman"/>
          <w:color w:val="auto"/>
          <w:sz w:val="22"/>
        </w:rPr>
        <w:t>。</w:t>
      </w:r>
    </w:p>
    <w:p w14:paraId="2C99A27E">
      <w:pPr>
        <w:spacing w:line="360" w:lineRule="auto"/>
        <w:ind w:firstLine="440" w:firstLineChars="200"/>
        <w:rPr>
          <w:rFonts w:ascii="Times New Roman" w:hAnsi="Times New Roman"/>
          <w:color w:val="auto"/>
          <w:sz w:val="22"/>
          <w:szCs w:val="22"/>
        </w:rPr>
      </w:pPr>
      <w:r>
        <w:rPr>
          <w:rFonts w:ascii="Times New Roman" w:hAnsi="Times New Roman"/>
          <w:color w:val="auto"/>
          <w:sz w:val="22"/>
        </w:rPr>
        <w:t>随着高端制造产业的快速发展，市场对高纯度、高性能铝制品的需求持续增长。当前国内在热处理均匀性和铸造过滤效率方面仍存在技术瓶颈，亟需通过技术升级提升产品质量与生产效率。本项目结合现有</w:t>
      </w:r>
      <w:bookmarkStart w:id="0" w:name="_GoBack"/>
      <w:bookmarkEnd w:id="0"/>
      <w:r>
        <w:rPr>
          <w:rFonts w:ascii="Times New Roman" w:hAnsi="Times New Roman"/>
          <w:color w:val="auto"/>
          <w:sz w:val="22"/>
        </w:rPr>
        <w:t>技术，围绕高纯度铝制品的受热均匀性和铸造清洁性开展研发，具有较强的现实意义与产业应用价值。</w:t>
      </w:r>
    </w:p>
    <w:p w14:paraId="2FCA39C7">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1D2EE130">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本项目聚焦于高纯度铝制品的加工工艺优化与设备改进，重点实现以下技术目标：</w:t>
      </w:r>
    </w:p>
    <w:p w14:paraId="36BF5EB0">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提升高频加热过程中金属材料的受热均匀性；</w:t>
      </w:r>
    </w:p>
    <w:p w14:paraId="3A35A07A">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提高铸造过程中合金液的过滤效率和清洁度；</w:t>
      </w:r>
    </w:p>
    <w:p w14:paraId="67866745">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实现对不同尺寸金属件的快速夹持与稳定加工；</w:t>
      </w:r>
    </w:p>
    <w:p w14:paraId="172C32D4">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构建可拆卸式过滤结构，提升设备维护效率与重复使用性能。</w:t>
      </w:r>
    </w:p>
    <w:p w14:paraId="4BEB5490">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62A9BE12">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0ACA0F6B">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经济效益：提升铝制品成品率，降低返工与损耗成本，增强企业在高端市场的竞争力。</w:t>
      </w:r>
    </w:p>
    <w:p w14:paraId="017F03C8">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社会效益：推动高纯度铝材料在新能源、电子等行业的应用，支撑相关产业技术升级。</w:t>
      </w:r>
    </w:p>
    <w:p w14:paraId="714876F0">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技术效益：优化热处理工艺流程，提高铸造过滤效率，改善产品一致性与稳定性。</w:t>
      </w:r>
    </w:p>
    <w:p w14:paraId="2FB8398A">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7160FED3">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工艺适配难度：不同合金成分对加热温度与时间的响应差异较大，需进行多参数调试；</w:t>
      </w:r>
    </w:p>
    <w:p w14:paraId="2E8FABA5">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设备稳定性问题：高频加热过程中可能产生电磁干扰，影响控制系统稳定性；</w:t>
      </w:r>
    </w:p>
    <w:p w14:paraId="3E0CCE79">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过滤结构维护：实际生产中杂质沉积速度较快，需进一步优化清洗流程；</w:t>
      </w:r>
    </w:p>
    <w:p w14:paraId="6EA08158">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项目预算：根据初步估算，项目总预算为</w:t>
      </w:r>
      <w:r>
        <w:rPr>
          <w:rFonts w:hint="eastAsia" w:ascii="Times New Roman" w:hAnsi="Times New Roman"/>
          <w:color w:val="auto"/>
          <w:sz w:val="22"/>
          <w:lang w:val="en-US" w:eastAsia="zh-CN"/>
        </w:rPr>
        <w:t>320</w:t>
      </w:r>
      <w:r>
        <w:rPr>
          <w:rFonts w:ascii="Times New Roman" w:hAnsi="Times New Roman"/>
          <w:color w:val="auto"/>
          <w:sz w:val="22"/>
        </w:rPr>
        <w:t>万元（具体金额待细化后公布）。</w:t>
      </w:r>
    </w:p>
    <w:p w14:paraId="09B542AB">
      <w:pPr>
        <w:spacing w:line="360" w:lineRule="auto"/>
        <w:jc w:val="right"/>
        <w:rPr>
          <w:rFonts w:ascii="Times New Roman" w:hAnsi="Times New Roman"/>
          <w:color w:val="auto"/>
          <w:sz w:val="22"/>
          <w:szCs w:val="22"/>
        </w:rPr>
      </w:pPr>
    </w:p>
    <w:p w14:paraId="5BA18B5E">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7239509F">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lang w:eastAsia="zh-CN"/>
        </w:rPr>
        <w:t>2022年</w:t>
      </w:r>
      <w:r>
        <w:rPr>
          <w:rFonts w:hint="eastAsia" w:ascii="Times New Roman" w:hAnsi="Times New Roman"/>
          <w:color w:val="auto"/>
          <w:sz w:val="22"/>
          <w:szCs w:val="22"/>
        </w:rPr>
        <w:t>1月4日</w:t>
      </w:r>
    </w:p>
    <w:p w14:paraId="1F7E0EB5">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0569EE5B">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2AAA415F">
      <w:pPr>
        <w:spacing w:line="360" w:lineRule="auto"/>
        <w:ind w:firstLine="440" w:firstLineChars="200"/>
        <w:rPr>
          <w:rFonts w:ascii="Times New Roman" w:hAnsi="Times New Roman"/>
          <w:color w:val="auto"/>
          <w:sz w:val="22"/>
          <w:szCs w:val="28"/>
        </w:rPr>
      </w:pPr>
      <w:r>
        <w:rPr>
          <w:rFonts w:ascii="Times New Roman" w:hAnsi="Times New Roman"/>
          <w:color w:val="auto"/>
          <w:sz w:val="22"/>
        </w:rPr>
        <w:t>随着工业制造对高纯度金属材料需求的不断增长，现有铝制品在热处理过程中存在受热不均、杂质残留等问题，影响了产品的精度与性能。为提升产品质量与生产效率，我司决定立项研发“高精度受热均匀的高纯度铝制品的研发”项目。请项目负责人</w:t>
      </w:r>
      <w:r>
        <w:rPr>
          <w:rFonts w:hint="eastAsia" w:ascii="Times New Roman" w:hAnsi="Times New Roman"/>
          <w:color w:val="auto"/>
          <w:sz w:val="22"/>
          <w:lang w:eastAsia="zh-CN"/>
        </w:rPr>
        <w:t>倪进</w:t>
      </w:r>
      <w:r>
        <w:rPr>
          <w:rFonts w:ascii="Times New Roman" w:hAnsi="Times New Roman"/>
          <w:color w:val="auto"/>
          <w:sz w:val="22"/>
        </w:rPr>
        <w:t>及团队成员严格按照项目计划执行，确保项目按时、按质、按量完成。同时，公司各相关部门应给予全力支持和配合，共同推动项目的顺利实施。</w:t>
      </w:r>
    </w:p>
    <w:p w14:paraId="5C73ECB4">
      <w:pPr>
        <w:spacing w:line="360" w:lineRule="auto"/>
        <w:ind w:firstLine="440" w:firstLineChars="200"/>
        <w:rPr>
          <w:rFonts w:ascii="Times New Roman" w:hAnsi="Times New Roman"/>
          <w:color w:val="auto"/>
          <w:sz w:val="22"/>
          <w:szCs w:val="28"/>
        </w:rPr>
      </w:pPr>
    </w:p>
    <w:p w14:paraId="1AFD1ABB">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119A5AF8">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RD01</w:t>
      </w:r>
    </w:p>
    <w:p w14:paraId="01FC590C">
      <w:pPr>
        <w:spacing w:line="360" w:lineRule="auto"/>
        <w:rPr>
          <w:rFonts w:ascii="Times New Roman" w:hAnsi="Times New Roman"/>
          <w:color w:val="auto"/>
          <w:sz w:val="22"/>
          <w:szCs w:val="28"/>
        </w:rPr>
      </w:pPr>
      <w:r>
        <w:rPr>
          <w:rFonts w:hint="eastAsia" w:ascii="Times New Roman" w:hAnsi="Times New Roman"/>
          <w:color w:val="auto"/>
          <w:sz w:val="22"/>
          <w:szCs w:val="28"/>
        </w:rPr>
        <w:t>发文日期：</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1月5日</w:t>
      </w:r>
    </w:p>
    <w:p w14:paraId="0739DF3A">
      <w:pPr>
        <w:spacing w:line="360" w:lineRule="auto"/>
        <w:rPr>
          <w:rFonts w:ascii="Times New Roman" w:hAnsi="Times New Roman"/>
          <w:color w:val="auto"/>
          <w:sz w:val="22"/>
          <w:szCs w:val="28"/>
        </w:rPr>
      </w:pPr>
      <w:r>
        <w:rPr>
          <w:rFonts w:hint="eastAsia" w:ascii="Times New Roman" w:hAnsi="Times New Roman"/>
          <w:color w:val="auto"/>
          <w:sz w:val="22"/>
          <w:szCs w:val="28"/>
        </w:rPr>
        <w:t>项目名称：</w:t>
      </w:r>
      <w:r>
        <w:rPr>
          <w:rFonts w:ascii="Times New Roman" w:hAnsi="Times New Roman"/>
          <w:color w:val="auto"/>
          <w:sz w:val="22"/>
        </w:rPr>
        <w:t>高精度受热均匀的高纯度铝制品的研发</w:t>
      </w:r>
    </w:p>
    <w:p w14:paraId="66843304">
      <w:pPr>
        <w:spacing w:line="360" w:lineRule="auto"/>
        <w:rPr>
          <w:rFonts w:hint="default" w:ascii="Times New Roman" w:hAnsi="Times New Roman"/>
          <w:color w:val="auto"/>
          <w:sz w:val="22"/>
          <w:lang w:val="en-US"/>
        </w:rPr>
      </w:pPr>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丁小花、聂泽慧、龚久林、何琳琳、芦银行、胡代红、姜华、刘庆磊、路小珠、孙海梅、王丽霞、王平、倪先根、裴建斌、王志远、吴红艳、薛进刚、杨怀亮、张国强、张贤宝、杨通友、邸允浩、丁传彬</w:t>
      </w:r>
    </w:p>
    <w:p w14:paraId="71E1ED8C">
      <w:pPr>
        <w:spacing w:line="360" w:lineRule="auto"/>
        <w:rPr>
          <w:rFonts w:ascii="Times New Roman" w:hAnsi="Times New Roman"/>
          <w:color w:val="auto"/>
          <w:sz w:val="22"/>
          <w:szCs w:val="28"/>
        </w:rPr>
      </w:pPr>
      <w:r>
        <w:rPr>
          <w:rFonts w:hint="eastAsia" w:ascii="Times New Roman" w:hAnsi="Times New Roman"/>
          <w:color w:val="auto"/>
          <w:sz w:val="22"/>
          <w:szCs w:val="28"/>
        </w:rPr>
        <w:t>项目周期：</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01月04日至</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12月31日</w:t>
      </w:r>
    </w:p>
    <w:p w14:paraId="71445944">
      <w:pPr>
        <w:spacing w:line="360" w:lineRule="auto"/>
        <w:rPr>
          <w:rFonts w:ascii="Times New Roman" w:hAnsi="Times New Roman"/>
          <w:color w:val="auto"/>
          <w:sz w:val="22"/>
          <w:szCs w:val="28"/>
        </w:rPr>
      </w:pPr>
      <w:r>
        <w:rPr>
          <w:rFonts w:hint="eastAsia" w:ascii="Times New Roman" w:hAnsi="Times New Roman"/>
          <w:color w:val="auto"/>
          <w:sz w:val="22"/>
          <w:szCs w:val="28"/>
        </w:rPr>
        <w:t>项目预算：根据初步估算，项目总预算为</w:t>
      </w:r>
      <w:r>
        <w:rPr>
          <w:rFonts w:hint="eastAsia" w:ascii="Times New Roman" w:hAnsi="Times New Roman"/>
          <w:color w:val="auto"/>
          <w:sz w:val="22"/>
          <w:szCs w:val="28"/>
          <w:lang w:val="en-US" w:eastAsia="zh-CN"/>
        </w:rPr>
        <w:t>320</w:t>
      </w:r>
      <w:r>
        <w:rPr>
          <w:rFonts w:hint="eastAsia" w:ascii="Times New Roman" w:hAnsi="Times New Roman"/>
          <w:color w:val="auto"/>
          <w:sz w:val="22"/>
          <w:szCs w:val="28"/>
        </w:rPr>
        <w:t>万元（具体金额待细化后公布）</w:t>
      </w:r>
    </w:p>
    <w:p w14:paraId="59129AB5">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1390E91C">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36188B19">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7B00A1D1">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521EE197">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请项目团队成员及相关部门认真阅读以上内容，并按照要求开展工作。让我们共同努力，确保项目的顺利实施和圆满成功！</w:t>
      </w:r>
    </w:p>
    <w:p w14:paraId="32D65C48">
      <w:pPr>
        <w:spacing w:line="360" w:lineRule="auto"/>
        <w:rPr>
          <w:rFonts w:ascii="Times New Roman" w:hAnsi="Times New Roman"/>
          <w:color w:val="auto"/>
          <w:sz w:val="22"/>
          <w:szCs w:val="28"/>
        </w:rPr>
      </w:pPr>
    </w:p>
    <w:p w14:paraId="270D6823">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57904FFA">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lang w:eastAsia="zh-CN"/>
        </w:rPr>
        <w:t>2022年</w:t>
      </w:r>
      <w:r>
        <w:rPr>
          <w:rFonts w:hint="eastAsia" w:ascii="Times New Roman" w:hAnsi="Times New Roman"/>
          <w:color w:val="auto"/>
          <w:sz w:val="22"/>
          <w:szCs w:val="28"/>
        </w:rPr>
        <w:t>1月5日</w:t>
      </w:r>
    </w:p>
    <w:p w14:paraId="0C72A185">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289AC6C8">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7AF20FE2">
      <w:pPr>
        <w:spacing w:line="360" w:lineRule="auto"/>
        <w:ind w:firstLine="440" w:firstLineChars="200"/>
        <w:rPr>
          <w:rFonts w:ascii="Times New Roman" w:hAnsi="Times New Roman"/>
          <w:color w:val="auto"/>
          <w:sz w:val="22"/>
          <w:szCs w:val="28"/>
        </w:rPr>
      </w:pPr>
      <w:r>
        <w:rPr>
          <w:rFonts w:ascii="Times New Roman" w:hAnsi="Times New Roman"/>
          <w:color w:val="auto"/>
          <w:sz w:val="22"/>
        </w:rPr>
        <w:t>“高精度受热均匀的高纯度铝制品的研发”项目围绕高纯度铝制品在热处理过程中受热不均、杂质含量控制难等问题，开展关键设备与工艺的研发工作。项目重点优化了金属热处理过程中的加热均匀性与铸造过程中合金液的纯净度控制，形成了两项核心成果：一种用于金属热处理的高频感应加热设备（ZL202123098145.4）和一种铸造铝合金用导流管（ZL202320853749.5）。上述成果已取得国家实用新型专利授权，为高纯度、高精度铝制品的稳定生产提供了技术支持。</w:t>
      </w:r>
    </w:p>
    <w:p w14:paraId="57A63AF4">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3BD4D0E1">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以提升铝制品的热处理均匀性和铸造纯度为核心目标，针对传统热处理设备加热不均、铸造过程杂质难以控制等问题开展技术攻关。通过改进热处理设备结构，实现金属在加热过程中的自转，提升受热均匀性；通过优化导流管结构设计，增强合金液在流动过程中的过滤效果，提升铸件质量。项目按照计划完成了设备结构设计、工艺验证及小批量试制，相关成果已应用于公司部分高纯度铝制品的生产流程中，初步满足了项目预期目标。</w:t>
      </w:r>
    </w:p>
    <w:p w14:paraId="2BE19BA4">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68FDD1F6">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4441D977">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金属热处理自转加热技术：采用夹持机构与旋转驱动装置相结合的方式，使金属在加热过程中持续自转，有效改善传统加热方式中因固定位置导致的受热不均问题，提升热处理一致性。</w:t>
      </w:r>
    </w:p>
    <w:p w14:paraId="72C32DFE">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多级过滤导流技术：通过在导流管内部设置多层隔板与滤网结构，使熔融合金液在流动过程中形成蛇形路径，逐级过滤杂质，提升合金液的纯净度，从而保障最终铸件的质量稳定性。</w:t>
      </w:r>
    </w:p>
    <w:p w14:paraId="3DA51E3A">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可调式夹持固定技术：通过调节螺杆带动夹持板移动，实现对不同尺寸金属件的快速夹持固定，提升设备适用性与操作便捷性。</w:t>
      </w:r>
    </w:p>
    <w:p w14:paraId="2A66BBC5">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模块化过滤组件设计：滤网与隔板采用插接式安装方式，便于拆卸、清理与更换，提升设备维护效率，保障长期稳定运行。</w:t>
      </w:r>
    </w:p>
    <w:p w14:paraId="3B0177F7">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2556F81C">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基于旋转加热的均匀受热结构：在高频感应加热设备中引入旋转机制，实现金属在加热过程中的动态受热，有效提升热处理均匀性。</w:t>
      </w:r>
    </w:p>
    <w:p w14:paraId="5D0F0E83">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多级渐进式过滤系统：导流管内部设置多级隔板与目数递增的滤网，形成渐进式过滤路径，提升合金液过滤效率与质量控制能力。</w:t>
      </w:r>
    </w:p>
    <w:p w14:paraId="7803B4A5">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快速拆装模块化设计：过滤组件采用插槽式安装结构，便于快速更换与清洁，降低维护难度，提升设备可维护性与使用效率。</w:t>
      </w:r>
    </w:p>
    <w:p w14:paraId="6FD44548">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W w:w="79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2660"/>
        <w:gridCol w:w="2660"/>
      </w:tblGrid>
      <w:tr w14:paraId="351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restart"/>
            <w:shd w:val="clear" w:color="auto" w:fill="auto"/>
            <w:vAlign w:val="center"/>
          </w:tcPr>
          <w:p w14:paraId="7463EFDC">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660" w:type="dxa"/>
            <w:shd w:val="clear" w:color="auto" w:fill="auto"/>
            <w:vAlign w:val="center"/>
          </w:tcPr>
          <w:p w14:paraId="192B0167">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660" w:type="dxa"/>
            <w:shd w:val="clear" w:color="auto" w:fill="auto"/>
            <w:vAlign w:val="center"/>
          </w:tcPr>
          <w:p w14:paraId="3571AC42">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91</w:t>
            </w:r>
            <w:r>
              <w:rPr>
                <w:rFonts w:hint="eastAsia" w:ascii="Times New Roman" w:hAnsi="Times New Roman"/>
                <w:color w:val="auto"/>
                <w:sz w:val="22"/>
                <w:szCs w:val="28"/>
                <w:lang w:val="en-US" w:eastAsia="zh-CN"/>
              </w:rPr>
              <w:t>.9万</w:t>
            </w:r>
            <w:r>
              <w:rPr>
                <w:rFonts w:hint="eastAsia" w:ascii="Times New Roman" w:hAnsi="Times New Roman"/>
                <w:color w:val="auto"/>
                <w:sz w:val="22"/>
                <w:szCs w:val="28"/>
              </w:rPr>
              <w:t>元</w:t>
            </w:r>
          </w:p>
        </w:tc>
      </w:tr>
      <w:tr w14:paraId="7E1E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continue"/>
            <w:shd w:val="clear" w:color="auto" w:fill="auto"/>
            <w:vAlign w:val="center"/>
          </w:tcPr>
          <w:p w14:paraId="239A3738">
            <w:pPr>
              <w:spacing w:line="360" w:lineRule="auto"/>
              <w:jc w:val="center"/>
              <w:rPr>
                <w:rFonts w:ascii="Times New Roman" w:hAnsi="Times New Roman"/>
                <w:color w:val="auto"/>
                <w:sz w:val="22"/>
                <w:szCs w:val="28"/>
              </w:rPr>
            </w:pPr>
          </w:p>
        </w:tc>
        <w:tc>
          <w:tcPr>
            <w:tcW w:w="2660" w:type="dxa"/>
            <w:shd w:val="clear" w:color="auto" w:fill="auto"/>
            <w:vAlign w:val="center"/>
          </w:tcPr>
          <w:p w14:paraId="3263B340">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660" w:type="dxa"/>
            <w:shd w:val="clear" w:color="auto" w:fill="auto"/>
            <w:vAlign w:val="center"/>
          </w:tcPr>
          <w:p w14:paraId="3C4F557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w:t>
            </w:r>
            <w:r>
              <w:rPr>
                <w:rFonts w:hint="eastAsia" w:ascii="Times New Roman" w:hAnsi="Times New Roman"/>
                <w:color w:val="auto"/>
                <w:sz w:val="22"/>
                <w:szCs w:val="28"/>
              </w:rPr>
              <w:t>13</w:t>
            </w:r>
            <w:r>
              <w:rPr>
                <w:rFonts w:hint="eastAsia" w:ascii="Times New Roman" w:hAnsi="Times New Roman"/>
                <w:color w:val="auto"/>
                <w:sz w:val="22"/>
                <w:szCs w:val="28"/>
                <w:lang w:val="en-US" w:eastAsia="zh-CN"/>
              </w:rPr>
              <w:t>.</w:t>
            </w:r>
            <w:r>
              <w:rPr>
                <w:rFonts w:hint="eastAsia" w:ascii="Times New Roman" w:hAnsi="Times New Roman"/>
                <w:color w:val="auto"/>
                <w:sz w:val="22"/>
                <w:szCs w:val="28"/>
              </w:rPr>
              <w:t>73</w:t>
            </w:r>
            <w:r>
              <w:rPr>
                <w:rFonts w:hint="eastAsia" w:ascii="Times New Roman" w:hAnsi="Times New Roman"/>
                <w:color w:val="auto"/>
                <w:sz w:val="22"/>
                <w:szCs w:val="28"/>
                <w:lang w:val="en-US" w:eastAsia="zh-CN"/>
              </w:rPr>
              <w:t>万</w:t>
            </w:r>
            <w:r>
              <w:rPr>
                <w:rFonts w:hint="eastAsia" w:ascii="Times New Roman" w:hAnsi="Times New Roman"/>
                <w:color w:val="auto"/>
                <w:sz w:val="22"/>
                <w:szCs w:val="28"/>
              </w:rPr>
              <w:t>元</w:t>
            </w:r>
          </w:p>
        </w:tc>
      </w:tr>
      <w:tr w14:paraId="5A5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continue"/>
            <w:shd w:val="clear" w:color="auto" w:fill="auto"/>
            <w:vAlign w:val="center"/>
          </w:tcPr>
          <w:p w14:paraId="4F275BDA">
            <w:pPr>
              <w:spacing w:line="360" w:lineRule="auto"/>
              <w:jc w:val="center"/>
              <w:rPr>
                <w:rFonts w:ascii="Times New Roman" w:hAnsi="Times New Roman"/>
                <w:color w:val="auto"/>
                <w:sz w:val="22"/>
                <w:szCs w:val="28"/>
              </w:rPr>
            </w:pPr>
          </w:p>
        </w:tc>
        <w:tc>
          <w:tcPr>
            <w:tcW w:w="2660" w:type="dxa"/>
            <w:shd w:val="clear" w:color="auto" w:fill="auto"/>
            <w:vAlign w:val="center"/>
          </w:tcPr>
          <w:p w14:paraId="03A94C5B">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660" w:type="dxa"/>
            <w:shd w:val="clear" w:color="auto" w:fill="auto"/>
            <w:vAlign w:val="center"/>
          </w:tcPr>
          <w:p w14:paraId="5580B92D">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97</w:t>
            </w:r>
            <w:r>
              <w:rPr>
                <w:rFonts w:hint="eastAsia" w:ascii="Times New Roman" w:hAnsi="Times New Roman"/>
                <w:color w:val="auto"/>
                <w:sz w:val="22"/>
                <w:szCs w:val="28"/>
                <w:lang w:val="en-US" w:eastAsia="zh-CN"/>
              </w:rPr>
              <w:t>.</w:t>
            </w:r>
            <w:r>
              <w:rPr>
                <w:rFonts w:hint="eastAsia" w:ascii="Times New Roman" w:hAnsi="Times New Roman"/>
                <w:color w:val="auto"/>
                <w:sz w:val="22"/>
                <w:szCs w:val="28"/>
              </w:rPr>
              <w:t>7</w:t>
            </w:r>
            <w:r>
              <w:rPr>
                <w:rFonts w:hint="eastAsia" w:ascii="Times New Roman" w:hAnsi="Times New Roman"/>
                <w:color w:val="auto"/>
                <w:sz w:val="22"/>
                <w:szCs w:val="28"/>
                <w:lang w:val="en-US" w:eastAsia="zh-CN"/>
              </w:rPr>
              <w:t>5万元</w:t>
            </w:r>
          </w:p>
        </w:tc>
      </w:tr>
      <w:tr w14:paraId="53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continue"/>
            <w:shd w:val="clear" w:color="auto" w:fill="auto"/>
            <w:vAlign w:val="center"/>
          </w:tcPr>
          <w:p w14:paraId="30593DA3">
            <w:pPr>
              <w:spacing w:line="360" w:lineRule="auto"/>
              <w:jc w:val="center"/>
              <w:rPr>
                <w:rFonts w:ascii="Times New Roman" w:hAnsi="Times New Roman"/>
                <w:color w:val="auto"/>
                <w:sz w:val="22"/>
                <w:szCs w:val="28"/>
              </w:rPr>
            </w:pPr>
          </w:p>
        </w:tc>
        <w:tc>
          <w:tcPr>
            <w:tcW w:w="2660" w:type="dxa"/>
            <w:shd w:val="clear" w:color="auto" w:fill="auto"/>
            <w:vAlign w:val="center"/>
          </w:tcPr>
          <w:p w14:paraId="4A1B62E1">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660" w:type="dxa"/>
            <w:shd w:val="clear" w:color="auto" w:fill="auto"/>
            <w:vAlign w:val="center"/>
          </w:tcPr>
          <w:p w14:paraId="4D9BF2BF">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1</w:t>
            </w:r>
            <w:r>
              <w:rPr>
                <w:rFonts w:hint="eastAsia" w:ascii="Times New Roman" w:hAnsi="Times New Roman"/>
                <w:color w:val="auto"/>
                <w:sz w:val="22"/>
                <w:szCs w:val="28"/>
                <w:lang w:val="en-US" w:eastAsia="zh-CN"/>
              </w:rPr>
              <w:t>.</w:t>
            </w:r>
            <w:r>
              <w:rPr>
                <w:rFonts w:hint="eastAsia" w:ascii="Times New Roman" w:hAnsi="Times New Roman"/>
                <w:color w:val="auto"/>
                <w:sz w:val="22"/>
                <w:szCs w:val="28"/>
              </w:rPr>
              <w:t>0</w:t>
            </w:r>
            <w:r>
              <w:rPr>
                <w:rFonts w:hint="eastAsia" w:ascii="Times New Roman" w:hAnsi="Times New Roman"/>
                <w:color w:val="auto"/>
                <w:sz w:val="22"/>
                <w:szCs w:val="28"/>
                <w:lang w:val="en-US" w:eastAsia="zh-CN"/>
              </w:rPr>
              <w:t>9万</w:t>
            </w:r>
            <w:r>
              <w:rPr>
                <w:rFonts w:hint="eastAsia" w:ascii="Times New Roman" w:hAnsi="Times New Roman"/>
                <w:color w:val="auto"/>
                <w:sz w:val="22"/>
                <w:szCs w:val="28"/>
              </w:rPr>
              <w:t>元</w:t>
            </w:r>
          </w:p>
        </w:tc>
      </w:tr>
      <w:tr w14:paraId="3E4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2660" w:type="dxa"/>
            <w:vMerge w:val="continue"/>
            <w:shd w:val="clear" w:color="auto" w:fill="auto"/>
            <w:vAlign w:val="center"/>
          </w:tcPr>
          <w:p w14:paraId="13EA9A30">
            <w:pPr>
              <w:spacing w:line="360" w:lineRule="auto"/>
              <w:jc w:val="center"/>
              <w:rPr>
                <w:rFonts w:ascii="Times New Roman" w:hAnsi="Times New Roman"/>
                <w:color w:val="auto"/>
                <w:sz w:val="22"/>
                <w:szCs w:val="28"/>
              </w:rPr>
            </w:pPr>
          </w:p>
        </w:tc>
        <w:tc>
          <w:tcPr>
            <w:tcW w:w="2660" w:type="dxa"/>
            <w:shd w:val="clear" w:color="auto" w:fill="auto"/>
            <w:vAlign w:val="center"/>
          </w:tcPr>
          <w:p w14:paraId="76A91F63">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660" w:type="dxa"/>
            <w:shd w:val="clear" w:color="auto" w:fill="auto"/>
            <w:vAlign w:val="center"/>
          </w:tcPr>
          <w:p w14:paraId="1BF4FB01">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304</w:t>
            </w:r>
            <w:r>
              <w:rPr>
                <w:rFonts w:hint="eastAsia" w:ascii="Times New Roman" w:hAnsi="Times New Roman"/>
                <w:color w:val="auto"/>
                <w:sz w:val="22"/>
                <w:szCs w:val="28"/>
                <w:lang w:val="en-US" w:eastAsia="zh-CN"/>
              </w:rPr>
              <w:t>.</w:t>
            </w:r>
            <w:r>
              <w:rPr>
                <w:rFonts w:hint="eastAsia" w:ascii="Times New Roman" w:hAnsi="Times New Roman"/>
                <w:color w:val="auto"/>
                <w:sz w:val="22"/>
                <w:szCs w:val="28"/>
              </w:rPr>
              <w:t>4</w:t>
            </w:r>
            <w:r>
              <w:rPr>
                <w:rFonts w:hint="eastAsia" w:ascii="Times New Roman" w:hAnsi="Times New Roman"/>
                <w:color w:val="auto"/>
                <w:sz w:val="22"/>
                <w:szCs w:val="28"/>
                <w:lang w:val="en-US" w:eastAsia="zh-CN"/>
              </w:rPr>
              <w:t>7万</w:t>
            </w:r>
            <w:r>
              <w:rPr>
                <w:rFonts w:hint="eastAsia" w:ascii="Times New Roman" w:hAnsi="Times New Roman"/>
                <w:color w:val="auto"/>
                <w:sz w:val="22"/>
                <w:szCs w:val="28"/>
              </w:rPr>
              <w:t>元</w:t>
            </w:r>
          </w:p>
        </w:tc>
      </w:tr>
    </w:tbl>
    <w:p w14:paraId="13140B91">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471C2D2B">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14A10720">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475C0724">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设备结构验收：对高频感应加热设备与铸造导流管的结构设计进行审查，确认其满足预期功能需求，安装、操作与维护流程合理。</w:t>
      </w:r>
    </w:p>
    <w:p w14:paraId="2710BE47">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性能测试验收：对加热设备的受热均匀性、导流管的过滤效率等关键性能指标进行测试，测试结果满足项目设定的技术要求。</w:t>
      </w:r>
    </w:p>
    <w:p w14:paraId="5A489CE6">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工艺验证验收：通过小批量试制验证设备与工艺在实际生产中的应用效果，确认其对高纯度铝制品质量的提升作用。</w:t>
      </w:r>
    </w:p>
    <w:p w14:paraId="657D29B6">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34A33EFC">
      <w:pPr>
        <w:spacing w:line="360" w:lineRule="auto"/>
        <w:ind w:firstLine="440" w:firstLineChars="200"/>
        <w:rPr>
          <w:rFonts w:ascii="Times New Roman" w:hAnsi="Times New Roman"/>
          <w:color w:val="auto"/>
          <w:sz w:val="22"/>
          <w:szCs w:val="28"/>
        </w:rPr>
      </w:pPr>
      <w:r>
        <w:rPr>
          <w:rFonts w:ascii="Times New Roman" w:hAnsi="Times New Roman"/>
          <w:color w:val="auto"/>
          <w:sz w:val="22"/>
        </w:rPr>
        <w:t>经过结构审查、性能测试、工艺验证及安全环保评估，“高精度受热均匀的高纯度铝制品的研发”项目已完成既定研发任务，相关成果已具备初步应用条件。项目顺利通过验收，后续将根据实际应用反馈进一步优化设备性能与工艺参数，提升其在实际生产中的适应性与稳定性。</w:t>
      </w:r>
    </w:p>
    <w:p w14:paraId="7716C28E">
      <w:pPr>
        <w:spacing w:line="360" w:lineRule="auto"/>
        <w:ind w:firstLine="440" w:firstLineChars="200"/>
        <w:rPr>
          <w:rFonts w:ascii="Times New Roman" w:hAnsi="Times New Roman"/>
          <w:color w:val="auto"/>
          <w:sz w:val="22"/>
          <w:szCs w:val="28"/>
        </w:rPr>
      </w:pPr>
    </w:p>
    <w:p w14:paraId="618DE12E">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0C6BA8F9">
      <w:pPr>
        <w:spacing w:line="360" w:lineRule="auto"/>
        <w:jc w:val="right"/>
        <w:rPr>
          <w:rFonts w:ascii="Times New Roman" w:hAnsi="Times New Roman"/>
          <w:color w:val="auto"/>
          <w:sz w:val="22"/>
          <w:szCs w:val="28"/>
        </w:rPr>
      </w:pPr>
      <w:r>
        <w:rPr>
          <w:rFonts w:hint="eastAsia" w:ascii="Times New Roman" w:hAnsi="Times New Roman"/>
          <w:color w:val="auto"/>
          <w:sz w:val="22"/>
          <w:szCs w:val="28"/>
          <w:lang w:eastAsia="zh-CN"/>
        </w:rPr>
        <w:t>2022年</w:t>
      </w:r>
      <w:r>
        <w:rPr>
          <w:rFonts w:hint="eastAsia" w:ascii="Times New Roman" w:hAnsi="Times New Roman"/>
          <w:color w:val="auto"/>
          <w:sz w:val="22"/>
          <w:szCs w:val="28"/>
        </w:rPr>
        <w:t>12月29日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7BD62"/>
    <w:multiLevelType w:val="singleLevel"/>
    <w:tmpl w:val="9D17BD62"/>
    <w:lvl w:ilvl="0" w:tentative="0">
      <w:start w:val="1"/>
      <w:numFmt w:val="decimal"/>
      <w:lvlText w:val="(%1)"/>
      <w:lvlJc w:val="left"/>
      <w:pPr>
        <w:ind w:left="425" w:hanging="425"/>
      </w:pPr>
      <w:rPr>
        <w:rFonts w:hint="default"/>
      </w:rPr>
    </w:lvl>
  </w:abstractNum>
  <w:abstractNum w:abstractNumId="1">
    <w:nsid w:val="A31363C1"/>
    <w:multiLevelType w:val="singleLevel"/>
    <w:tmpl w:val="A31363C1"/>
    <w:lvl w:ilvl="0" w:tentative="0">
      <w:start w:val="1"/>
      <w:numFmt w:val="decimal"/>
      <w:lvlText w:val="(%1)"/>
      <w:lvlJc w:val="left"/>
      <w:pPr>
        <w:ind w:left="425" w:hanging="425"/>
      </w:pPr>
      <w:rPr>
        <w:rFonts w:hint="default"/>
      </w:rPr>
    </w:lvl>
  </w:abstractNum>
  <w:abstractNum w:abstractNumId="2">
    <w:nsid w:val="D9DBAEED"/>
    <w:multiLevelType w:val="singleLevel"/>
    <w:tmpl w:val="D9DBAEED"/>
    <w:lvl w:ilvl="0" w:tentative="0">
      <w:start w:val="4"/>
      <w:numFmt w:val="chineseCounting"/>
      <w:suff w:val="nothing"/>
      <w:lvlText w:val="%1、"/>
      <w:lvlJc w:val="left"/>
      <w:rPr>
        <w:rFonts w:hint="eastAsia"/>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72CCA1C2"/>
    <w:multiLevelType w:val="singleLevel"/>
    <w:tmpl w:val="72CCA1C2"/>
    <w:lvl w:ilvl="0" w:tentative="0">
      <w:start w:val="1"/>
      <w:numFmt w:val="decimal"/>
      <w:lvlText w:val="(%1)"/>
      <w:lvlJc w:val="left"/>
      <w:pPr>
        <w:ind w:left="425" w:hanging="425"/>
      </w:pPr>
      <w:rPr>
        <w:rFonts w:hint="default"/>
      </w:rPr>
    </w:lvl>
  </w:abstractNum>
  <w:abstractNum w:abstractNumId="6">
    <w:nsid w:val="77A6CEAA"/>
    <w:multiLevelType w:val="singleLevel"/>
    <w:tmpl w:val="77A6CEA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5D72C7"/>
    <w:rsid w:val="047D1717"/>
    <w:rsid w:val="051200B1"/>
    <w:rsid w:val="05545FD4"/>
    <w:rsid w:val="055A5DD8"/>
    <w:rsid w:val="06680FFF"/>
    <w:rsid w:val="070B6B66"/>
    <w:rsid w:val="07D63618"/>
    <w:rsid w:val="07E35D35"/>
    <w:rsid w:val="081E6D6D"/>
    <w:rsid w:val="083420ED"/>
    <w:rsid w:val="09F93DAC"/>
    <w:rsid w:val="0AA572D2"/>
    <w:rsid w:val="0B1D155E"/>
    <w:rsid w:val="0B2D79F3"/>
    <w:rsid w:val="0B6E5E32"/>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A8E30C5"/>
    <w:rsid w:val="1CCC06EE"/>
    <w:rsid w:val="1E0B5246"/>
    <w:rsid w:val="1E780B2E"/>
    <w:rsid w:val="1F1B063B"/>
    <w:rsid w:val="1F617814"/>
    <w:rsid w:val="1FC54BA9"/>
    <w:rsid w:val="2000568E"/>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E9D638E"/>
    <w:rsid w:val="2EA65243"/>
    <w:rsid w:val="2F104DB2"/>
    <w:rsid w:val="2FA21EAE"/>
    <w:rsid w:val="30C65728"/>
    <w:rsid w:val="30CE0A81"/>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B9C37FE"/>
    <w:rsid w:val="4C875885"/>
    <w:rsid w:val="4CD314A1"/>
    <w:rsid w:val="4D150366"/>
    <w:rsid w:val="4D9E1AAF"/>
    <w:rsid w:val="500876B4"/>
    <w:rsid w:val="50830AE8"/>
    <w:rsid w:val="511D2CEB"/>
    <w:rsid w:val="51844B18"/>
    <w:rsid w:val="51D913EF"/>
    <w:rsid w:val="52187956"/>
    <w:rsid w:val="527E4DA2"/>
    <w:rsid w:val="52BD6B2D"/>
    <w:rsid w:val="545F7ABE"/>
    <w:rsid w:val="546724CF"/>
    <w:rsid w:val="54A42C38"/>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CB77C93"/>
    <w:rsid w:val="5D080CF3"/>
    <w:rsid w:val="5D331AE8"/>
    <w:rsid w:val="5DF179D9"/>
    <w:rsid w:val="5E4E6BDA"/>
    <w:rsid w:val="5F334021"/>
    <w:rsid w:val="5F926F9A"/>
    <w:rsid w:val="60235E44"/>
    <w:rsid w:val="602D6CC3"/>
    <w:rsid w:val="60841FFE"/>
    <w:rsid w:val="608A337D"/>
    <w:rsid w:val="60A12E65"/>
    <w:rsid w:val="60AA0313"/>
    <w:rsid w:val="60D31618"/>
    <w:rsid w:val="618648DC"/>
    <w:rsid w:val="61B41449"/>
    <w:rsid w:val="61CB0541"/>
    <w:rsid w:val="63E8362C"/>
    <w:rsid w:val="641E2BAA"/>
    <w:rsid w:val="64287ECD"/>
    <w:rsid w:val="64535652"/>
    <w:rsid w:val="64DB5A2C"/>
    <w:rsid w:val="65037931"/>
    <w:rsid w:val="655D3BA6"/>
    <w:rsid w:val="65BC6B1F"/>
    <w:rsid w:val="66A870A3"/>
    <w:rsid w:val="678B49FB"/>
    <w:rsid w:val="67BF46A4"/>
    <w:rsid w:val="683926A8"/>
    <w:rsid w:val="684D7F02"/>
    <w:rsid w:val="685E210F"/>
    <w:rsid w:val="68D128E1"/>
    <w:rsid w:val="693D54D2"/>
    <w:rsid w:val="6A1D1B56"/>
    <w:rsid w:val="6A272B3B"/>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E0C47"/>
    <w:rsid w:val="6FB24AEE"/>
    <w:rsid w:val="71A87F57"/>
    <w:rsid w:val="726A7902"/>
    <w:rsid w:val="728C5ACB"/>
    <w:rsid w:val="73CF79E1"/>
    <w:rsid w:val="747B5DF7"/>
    <w:rsid w:val="7487654A"/>
    <w:rsid w:val="75BF7F65"/>
    <w:rsid w:val="782A00B9"/>
    <w:rsid w:val="786372CE"/>
    <w:rsid w:val="78DA7590"/>
    <w:rsid w:val="79421BF7"/>
    <w:rsid w:val="797F3C93"/>
    <w:rsid w:val="798219D5"/>
    <w:rsid w:val="79B53B59"/>
    <w:rsid w:val="79D55FA9"/>
    <w:rsid w:val="7AD16771"/>
    <w:rsid w:val="7B42766E"/>
    <w:rsid w:val="7B474C85"/>
    <w:rsid w:val="7B784E3E"/>
    <w:rsid w:val="7B7B492E"/>
    <w:rsid w:val="7B8E1B67"/>
    <w:rsid w:val="7BF32717"/>
    <w:rsid w:val="7C52740B"/>
    <w:rsid w:val="7C5B0E2F"/>
    <w:rsid w:val="7CA62390"/>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 w:type="character" w:styleId="14">
    <w:name w:val="page number"/>
    <w:basedOn w:val="1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2913</Words>
  <Characters>3012</Characters>
  <Lines>9</Lines>
  <Paragraphs>2</Paragraphs>
  <TotalTime>2</TotalTime>
  <ScaleCrop>false</ScaleCrop>
  <LinksUpToDate>false</LinksUpToDate>
  <CharactersWithSpaces>3014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2025-09-16T11:34:29Z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12280E02622B425CB2F3124DF924A6CD_13</vt:lpwstr>
  </property>
  <property fmtid="{D5CDD505-2E9C-101B-9397-08002B2CF9AE}" pid="4" name="KSOTemplateDocerSaveRecord">
    <vt:lpwstr>eyJoZGlkIjoiYWJlMTc4NGIxMGQzZGM3ZTI0N2NkOWFkZjAxZDY0MjciLCJ1c2VySWQiOiIzODg4NjQwMzAifQ==</vt:lpwstr>
  </property>
</Properties>
</file>