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648" w:type="dxa"/>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590"/>
        <w:gridCol w:w="1455"/>
        <w:gridCol w:w="1785"/>
        <w:gridCol w:w="1575"/>
        <w:gridCol w:w="1665"/>
      </w:tblGrid>
      <w:tr w14:paraId="00FB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exact"/>
        </w:trPr>
        <w:tc>
          <w:tcPr>
            <w:tcW w:w="1578" w:type="dxa"/>
            <w:vAlign w:val="center"/>
          </w:tcPr>
          <w:p w14:paraId="34458970">
            <w:pPr>
              <w:snapToGrid w:val="0"/>
              <w:spacing w:line="300" w:lineRule="auto"/>
              <w:jc w:val="center"/>
              <w:rPr>
                <w:rFonts w:hint="eastAsia" w:ascii="宋体" w:hAnsi="宋体"/>
                <w:color w:val="auto"/>
                <w:kern w:val="0"/>
                <w:sz w:val="20"/>
              </w:rPr>
            </w:pPr>
            <w:r>
              <w:rPr>
                <w:rFonts w:hint="eastAsia" w:ascii="宋体" w:hAnsi="宋体"/>
                <w:color w:val="auto"/>
                <w:kern w:val="0"/>
                <w:sz w:val="20"/>
              </w:rPr>
              <w:t>文件名称</w:t>
            </w:r>
          </w:p>
        </w:tc>
        <w:tc>
          <w:tcPr>
            <w:tcW w:w="3045" w:type="dxa"/>
            <w:gridSpan w:val="2"/>
            <w:tcBorders>
              <w:top w:val="single" w:color="auto" w:sz="4" w:space="0"/>
              <w:bottom w:val="single" w:color="auto" w:sz="4" w:space="0"/>
              <w:right w:val="single" w:color="auto" w:sz="4" w:space="0"/>
            </w:tcBorders>
            <w:vAlign w:val="center"/>
          </w:tcPr>
          <w:p w14:paraId="7B270770">
            <w:pPr>
              <w:snapToGrid w:val="0"/>
              <w:spacing w:line="300" w:lineRule="auto"/>
              <w:jc w:val="center"/>
              <w:rPr>
                <w:rFonts w:ascii="宋体" w:hAnsi="宋体"/>
                <w:b/>
                <w:color w:val="auto"/>
                <w:kern w:val="0"/>
                <w:sz w:val="24"/>
                <w:szCs w:val="24"/>
              </w:rPr>
            </w:pPr>
            <w:r>
              <w:rPr>
                <w:rFonts w:hint="eastAsia" w:ascii="宋体" w:hAnsi="宋体"/>
                <w:b/>
                <w:color w:val="auto"/>
                <w:kern w:val="0"/>
                <w:sz w:val="24"/>
                <w:szCs w:val="24"/>
              </w:rPr>
              <w:t>科研项目立项报告书</w:t>
            </w:r>
          </w:p>
        </w:tc>
        <w:tc>
          <w:tcPr>
            <w:tcW w:w="1785" w:type="dxa"/>
            <w:tcBorders>
              <w:left w:val="single" w:color="auto" w:sz="4" w:space="0"/>
            </w:tcBorders>
            <w:vAlign w:val="center"/>
          </w:tcPr>
          <w:p w14:paraId="6F644874">
            <w:pPr>
              <w:snapToGrid w:val="0"/>
              <w:spacing w:line="300" w:lineRule="auto"/>
              <w:jc w:val="center"/>
              <w:rPr>
                <w:rFonts w:hint="eastAsia" w:ascii="宋体" w:hAnsi="宋体"/>
                <w:color w:val="auto"/>
                <w:kern w:val="0"/>
                <w:sz w:val="20"/>
              </w:rPr>
            </w:pPr>
            <w:r>
              <w:rPr>
                <w:rFonts w:hint="eastAsia" w:ascii="宋体" w:hAnsi="宋体"/>
                <w:color w:val="auto"/>
                <w:kern w:val="0"/>
                <w:sz w:val="20"/>
              </w:rPr>
              <w:t>立项编号</w:t>
            </w:r>
          </w:p>
        </w:tc>
        <w:tc>
          <w:tcPr>
            <w:tcW w:w="3240" w:type="dxa"/>
            <w:gridSpan w:val="2"/>
            <w:tcBorders>
              <w:bottom w:val="single" w:color="auto" w:sz="4" w:space="0"/>
            </w:tcBorders>
            <w:vAlign w:val="center"/>
          </w:tcPr>
          <w:p w14:paraId="7AF074F5">
            <w:pPr>
              <w:snapToGrid w:val="0"/>
              <w:spacing w:line="300" w:lineRule="auto"/>
              <w:jc w:val="center"/>
              <w:rPr>
                <w:rFonts w:hint="default" w:ascii="宋体" w:hAnsi="宋体"/>
                <w:color w:val="auto"/>
                <w:kern w:val="0"/>
                <w:sz w:val="20"/>
                <w:lang w:val="en-US"/>
              </w:rPr>
            </w:pPr>
            <w:r>
              <w:rPr>
                <w:rFonts w:hint="eastAsia" w:ascii="宋体" w:hAnsi="宋体"/>
                <w:color w:val="auto"/>
                <w:kern w:val="0"/>
                <w:sz w:val="20"/>
                <w:lang w:val="en-US" w:eastAsia="zh-CN"/>
              </w:rPr>
              <w:t>RD02</w:t>
            </w:r>
          </w:p>
        </w:tc>
      </w:tr>
      <w:tr w14:paraId="5E24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exact"/>
        </w:trPr>
        <w:tc>
          <w:tcPr>
            <w:tcW w:w="1578" w:type="dxa"/>
            <w:vAlign w:val="center"/>
          </w:tcPr>
          <w:p w14:paraId="489EDD20">
            <w:pPr>
              <w:snapToGrid w:val="0"/>
              <w:spacing w:line="300" w:lineRule="auto"/>
              <w:jc w:val="center"/>
              <w:rPr>
                <w:rFonts w:hint="eastAsia" w:ascii="宋体" w:hAnsi="宋体"/>
                <w:color w:val="auto"/>
                <w:kern w:val="0"/>
                <w:sz w:val="20"/>
              </w:rPr>
            </w:pPr>
            <w:r>
              <w:rPr>
                <w:rFonts w:hint="eastAsia" w:ascii="宋体" w:hAnsi="宋体"/>
                <w:color w:val="auto"/>
                <w:kern w:val="0"/>
                <w:sz w:val="20"/>
              </w:rPr>
              <w:t>制定人</w:t>
            </w:r>
          </w:p>
        </w:tc>
        <w:tc>
          <w:tcPr>
            <w:tcW w:w="1590" w:type="dxa"/>
            <w:tcBorders>
              <w:top w:val="single" w:color="auto" w:sz="4" w:space="0"/>
            </w:tcBorders>
            <w:vAlign w:val="center"/>
          </w:tcPr>
          <w:p w14:paraId="4E6BA217">
            <w:pPr>
              <w:snapToGrid w:val="0"/>
              <w:spacing w:line="300" w:lineRule="auto"/>
              <w:jc w:val="center"/>
              <w:rPr>
                <w:rFonts w:hint="eastAsia" w:ascii="宋体" w:hAnsi="宋体" w:eastAsia="宋体"/>
                <w:color w:val="auto"/>
                <w:kern w:val="0"/>
                <w:sz w:val="20"/>
                <w:szCs w:val="21"/>
                <w:lang w:val="en-US" w:eastAsia="zh-CN"/>
              </w:rPr>
            </w:pPr>
            <w:r>
              <w:rPr>
                <w:rFonts w:hint="eastAsia" w:ascii="宋体" w:hAnsi="宋体"/>
                <w:color w:val="auto"/>
                <w:kern w:val="0"/>
                <w:sz w:val="20"/>
                <w:szCs w:val="21"/>
                <w:lang w:val="en-US" w:eastAsia="zh-CN"/>
              </w:rPr>
              <w:t>研发部</w:t>
            </w:r>
          </w:p>
        </w:tc>
        <w:tc>
          <w:tcPr>
            <w:tcW w:w="1455" w:type="dxa"/>
            <w:tcBorders>
              <w:top w:val="single" w:color="auto" w:sz="4" w:space="0"/>
            </w:tcBorders>
            <w:vAlign w:val="center"/>
          </w:tcPr>
          <w:p w14:paraId="64C002DD">
            <w:pPr>
              <w:snapToGrid w:val="0"/>
              <w:spacing w:line="300" w:lineRule="auto"/>
              <w:jc w:val="center"/>
              <w:rPr>
                <w:rFonts w:hint="eastAsia" w:ascii="宋体" w:hAnsi="宋体"/>
                <w:color w:val="auto"/>
                <w:kern w:val="0"/>
                <w:sz w:val="20"/>
              </w:rPr>
            </w:pPr>
            <w:r>
              <w:rPr>
                <w:rFonts w:hint="eastAsia" w:ascii="宋体" w:hAnsi="宋体"/>
                <w:color w:val="auto"/>
                <w:kern w:val="0"/>
                <w:sz w:val="20"/>
              </w:rPr>
              <w:t>审批人</w:t>
            </w:r>
          </w:p>
        </w:tc>
        <w:tc>
          <w:tcPr>
            <w:tcW w:w="1785" w:type="dxa"/>
            <w:tcBorders>
              <w:right w:val="single" w:color="auto" w:sz="4" w:space="0"/>
            </w:tcBorders>
            <w:vAlign w:val="center"/>
          </w:tcPr>
          <w:p w14:paraId="7A64DA92">
            <w:pPr>
              <w:snapToGrid w:val="0"/>
              <w:spacing w:line="300" w:lineRule="auto"/>
              <w:jc w:val="center"/>
              <w:rPr>
                <w:rFonts w:hint="default" w:ascii="宋体" w:hAnsi="宋体" w:eastAsia="宋体"/>
                <w:color w:val="auto"/>
                <w:kern w:val="0"/>
                <w:sz w:val="20"/>
                <w:lang w:val="en-US" w:eastAsia="zh-CN"/>
              </w:rPr>
            </w:pPr>
            <w:r>
              <w:rPr>
                <w:rFonts w:hint="default" w:ascii="宋体" w:hAnsi="宋体" w:eastAsia="宋体"/>
                <w:color w:val="auto"/>
                <w:kern w:val="0"/>
                <w:sz w:val="20"/>
                <w:lang w:val="en-US" w:eastAsia="zh-CN"/>
              </w:rPr>
              <w:t>倪进</w:t>
            </w:r>
          </w:p>
        </w:tc>
        <w:tc>
          <w:tcPr>
            <w:tcW w:w="1575" w:type="dxa"/>
            <w:tcBorders>
              <w:top w:val="single" w:color="auto" w:sz="4" w:space="0"/>
              <w:left w:val="single" w:color="auto" w:sz="4" w:space="0"/>
              <w:bottom w:val="single" w:color="auto" w:sz="4" w:space="0"/>
              <w:right w:val="single" w:color="auto" w:sz="4" w:space="0"/>
            </w:tcBorders>
            <w:vAlign w:val="center"/>
          </w:tcPr>
          <w:p w14:paraId="3A3D8890">
            <w:pPr>
              <w:snapToGrid w:val="0"/>
              <w:spacing w:line="300" w:lineRule="auto"/>
              <w:ind w:right="-409" w:rightChars="-195"/>
              <w:jc w:val="center"/>
              <w:rPr>
                <w:rFonts w:hint="eastAsia" w:ascii="宋体" w:hAnsi="宋体"/>
                <w:color w:val="auto"/>
                <w:kern w:val="0"/>
                <w:sz w:val="20"/>
              </w:rPr>
            </w:pPr>
            <w:r>
              <w:rPr>
                <w:rFonts w:hint="eastAsia" w:ascii="宋体" w:hAnsi="宋体"/>
                <w:color w:val="auto"/>
                <w:kern w:val="0"/>
                <w:sz w:val="20"/>
              </w:rPr>
              <w:t>签批人</w:t>
            </w:r>
          </w:p>
        </w:tc>
        <w:tc>
          <w:tcPr>
            <w:tcW w:w="1665" w:type="dxa"/>
            <w:tcBorders>
              <w:top w:val="single" w:color="auto" w:sz="4" w:space="0"/>
              <w:left w:val="single" w:color="auto" w:sz="4" w:space="0"/>
              <w:bottom w:val="single" w:color="auto" w:sz="4" w:space="0"/>
            </w:tcBorders>
            <w:vAlign w:val="center"/>
          </w:tcPr>
          <w:p w14:paraId="4337A846">
            <w:pPr>
              <w:snapToGrid w:val="0"/>
              <w:spacing w:line="300" w:lineRule="auto"/>
              <w:jc w:val="center"/>
              <w:rPr>
                <w:rFonts w:ascii="宋体" w:hAnsi="宋体"/>
                <w:color w:val="auto"/>
                <w:kern w:val="0"/>
                <w:sz w:val="20"/>
              </w:rPr>
            </w:pPr>
            <w:r>
              <w:rPr>
                <w:rFonts w:hint="eastAsia" w:ascii="宋体" w:hAnsi="宋体"/>
                <w:color w:val="auto"/>
                <w:kern w:val="0"/>
                <w:sz w:val="20"/>
              </w:rPr>
              <w:t>杜雪良</w:t>
            </w:r>
          </w:p>
        </w:tc>
      </w:tr>
    </w:tbl>
    <w:p w14:paraId="70BF6A16">
      <w:pPr>
        <w:snapToGrid w:val="0"/>
        <w:jc w:val="center"/>
        <w:rPr>
          <w:rFonts w:hint="eastAsia" w:ascii="仿宋_GB2312" w:hAnsi="宋体" w:eastAsia="仿宋_GB2312"/>
          <w:color w:val="auto"/>
          <w:sz w:val="28"/>
          <w:szCs w:val="28"/>
        </w:rPr>
      </w:pPr>
    </w:p>
    <w:p w14:paraId="2923D9BB">
      <w:pPr>
        <w:snapToGrid w:val="0"/>
        <w:jc w:val="center"/>
        <w:rPr>
          <w:rFonts w:hint="eastAsia" w:ascii="仿宋_GB2312" w:hAnsi="宋体" w:eastAsia="仿宋_GB2312"/>
          <w:color w:val="auto"/>
          <w:sz w:val="28"/>
          <w:szCs w:val="28"/>
        </w:rPr>
      </w:pPr>
    </w:p>
    <w:p w14:paraId="19B7885B">
      <w:pPr>
        <w:snapToGrid w:val="0"/>
        <w:jc w:val="center"/>
        <w:rPr>
          <w:rFonts w:hint="eastAsia" w:ascii="仿宋_GB2312" w:hAnsi="宋体" w:eastAsia="仿宋_GB2312"/>
          <w:color w:val="auto"/>
          <w:sz w:val="28"/>
          <w:szCs w:val="28"/>
        </w:rPr>
      </w:pPr>
    </w:p>
    <w:p w14:paraId="45A5E4AC">
      <w:pPr>
        <w:snapToGrid w:val="0"/>
        <w:jc w:val="center"/>
        <w:rPr>
          <w:rFonts w:hint="eastAsia" w:ascii="仿宋_GB2312" w:hAnsi="宋体" w:eastAsia="仿宋_GB2312"/>
          <w:color w:val="auto"/>
          <w:sz w:val="28"/>
          <w:szCs w:val="28"/>
        </w:rPr>
      </w:pPr>
    </w:p>
    <w:p w14:paraId="65C55AD2">
      <w:pPr>
        <w:snapToGrid w:val="0"/>
        <w:jc w:val="center"/>
        <w:rPr>
          <w:rFonts w:hint="eastAsia" w:ascii="仿宋_GB2312" w:hAnsi="宋体" w:eastAsia="仿宋_GB2312"/>
          <w:color w:val="auto"/>
          <w:sz w:val="28"/>
          <w:szCs w:val="28"/>
        </w:rPr>
      </w:pPr>
      <w:r>
        <w:rPr>
          <w:rFonts w:hint="eastAsia" w:ascii="宋体" w:hAnsi="宋体" w:cs="宋体"/>
          <w:color w:val="auto"/>
          <w:sz w:val="32"/>
          <w:szCs w:val="32"/>
        </w:rPr>
        <w:pict>
          <v:shape id="_x0000_i1025" o:spt="75" alt="b718d151-a529-424b-9f16-4005debe9ad9" type="#_x0000_t75" style="height:58.4pt;width:133.35pt;" filled="f" o:preferrelative="t" stroked="f" coordsize="21600,21600">
            <v:path/>
            <v:fill on="f" focussize="0,0"/>
            <v:stroke on="f"/>
            <v:imagedata r:id="rId5" cropbottom="8133f" chromakey="#FFFFFF" o:title="b718d151-a529-424b-9f16-4005debe9ad9"/>
            <o:lock v:ext="edit" aspectratio="t"/>
            <w10:wrap type="none"/>
            <w10:anchorlock/>
          </v:shape>
        </w:pict>
      </w:r>
    </w:p>
    <w:p w14:paraId="4689FEA5">
      <w:pPr>
        <w:rPr>
          <w:rFonts w:hint="eastAsia"/>
          <w:color w:val="auto"/>
        </w:rPr>
      </w:pPr>
    </w:p>
    <w:p w14:paraId="5325BDCC">
      <w:pPr>
        <w:rPr>
          <w:rFonts w:hint="eastAsia"/>
          <w:color w:val="auto"/>
        </w:rPr>
      </w:pPr>
    </w:p>
    <w:p w14:paraId="79FE3F88">
      <w:pPr>
        <w:rPr>
          <w:rFonts w:hint="eastAsia"/>
          <w:color w:val="auto"/>
        </w:rPr>
      </w:pPr>
    </w:p>
    <w:p w14:paraId="4CC00A63">
      <w:pPr>
        <w:pStyle w:val="2"/>
        <w:snapToGrid w:val="0"/>
        <w:spacing w:before="120" w:after="312" w:afterLines="100" w:line="240" w:lineRule="auto"/>
        <w:ind w:firstLine="0"/>
        <w:jc w:val="center"/>
        <w:rPr>
          <w:rFonts w:hint="eastAsia" w:ascii="宋体" w:hAnsi="宋体" w:eastAsia="宋体"/>
          <w:color w:val="auto"/>
          <w:sz w:val="72"/>
          <w:szCs w:val="72"/>
        </w:rPr>
      </w:pPr>
      <w:r>
        <w:rPr>
          <w:rFonts w:hint="eastAsia" w:ascii="宋体" w:hAnsi="宋体" w:eastAsia="宋体"/>
          <w:color w:val="auto"/>
          <w:sz w:val="72"/>
          <w:szCs w:val="72"/>
        </w:rPr>
        <w:t>《科研项目立项报告书》</w:t>
      </w:r>
    </w:p>
    <w:p w14:paraId="785E1E3B">
      <w:pPr>
        <w:rPr>
          <w:rFonts w:hint="eastAsia"/>
          <w:color w:val="auto"/>
        </w:rPr>
      </w:pPr>
    </w:p>
    <w:p w14:paraId="52076639">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项目名称：无磕碰与粘连的高精准铝制品的研发</w:t>
      </w:r>
    </w:p>
    <w:p w14:paraId="06FF93B7">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所属领域：新材料--金属材料--铝、铜、镁、钛合金清洁生产与深加工技术</w:t>
      </w:r>
    </w:p>
    <w:p w14:paraId="3270473A">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b/>
          <w:color w:val="auto"/>
          <w:sz w:val="32"/>
          <w:szCs w:val="32"/>
        </w:rPr>
        <w:t>承担单位：</w:t>
      </w:r>
      <w:r>
        <w:rPr>
          <w:rFonts w:hint="eastAsia" w:ascii="仿宋_GB2312" w:hAnsi="宋体" w:eastAsia="仿宋_GB2312" w:cs="Arial"/>
          <w:b/>
          <w:color w:val="auto"/>
          <w:sz w:val="32"/>
          <w:szCs w:val="32"/>
          <w:lang w:val="en-US" w:eastAsia="zh-CN"/>
        </w:rPr>
        <w:t>上海舜斯新材料科技有限公司</w:t>
      </w:r>
    </w:p>
    <w:p w14:paraId="4667C105">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lang w:val="en-US" w:eastAsia="zh-CN"/>
        </w:rPr>
      </w:pPr>
      <w:r>
        <w:rPr>
          <w:rFonts w:hint="eastAsia" w:ascii="仿宋_GB2312" w:hAnsi="宋体" w:eastAsia="仿宋_GB2312"/>
          <w:b/>
          <w:color w:val="auto"/>
          <w:sz w:val="32"/>
          <w:szCs w:val="32"/>
        </w:rPr>
        <w:t>管理</w:t>
      </w:r>
      <w:r>
        <w:rPr>
          <w:rFonts w:hint="eastAsia" w:ascii="仿宋_GB2312" w:hAnsi="宋体" w:eastAsia="仿宋_GB2312"/>
          <w:b/>
          <w:color w:val="auto"/>
          <w:sz w:val="32"/>
          <w:szCs w:val="32"/>
          <w:lang w:val="en-US" w:eastAsia="zh-CN"/>
        </w:rPr>
        <w:t>部门</w:t>
      </w:r>
      <w:r>
        <w:rPr>
          <w:rFonts w:hint="eastAsia" w:ascii="仿宋_GB2312" w:hAnsi="宋体" w:eastAsia="仿宋_GB2312"/>
          <w:b/>
          <w:color w:val="auto"/>
          <w:sz w:val="32"/>
          <w:szCs w:val="32"/>
        </w:rPr>
        <w:t>：</w:t>
      </w:r>
      <w:r>
        <w:rPr>
          <w:rFonts w:hint="eastAsia" w:ascii="仿宋_GB2312" w:hAnsi="宋体" w:eastAsia="仿宋_GB2312" w:cs="Arial"/>
          <w:b/>
          <w:color w:val="auto"/>
          <w:sz w:val="32"/>
          <w:szCs w:val="32"/>
          <w:lang w:val="en-US" w:eastAsia="zh-CN"/>
        </w:rPr>
        <w:t>研发部</w:t>
      </w:r>
    </w:p>
    <w:p w14:paraId="0FD3966D">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cs="Arial"/>
          <w:b/>
          <w:color w:val="auto"/>
          <w:sz w:val="32"/>
          <w:szCs w:val="32"/>
        </w:rPr>
        <w:t>起止时间：</w:t>
      </w:r>
      <w:r>
        <w:rPr>
          <w:rFonts w:hint="eastAsia" w:ascii="仿宋_GB2312" w:hAnsi="宋体" w:eastAsia="仿宋_GB2312" w:cs="Arial"/>
          <w:b/>
          <w:color w:val="auto"/>
          <w:sz w:val="32"/>
          <w:szCs w:val="32"/>
          <w:lang w:val="en-US" w:eastAsia="zh-CN"/>
        </w:rPr>
        <w:t>2022</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w:t>
      </w:r>
      <w:r>
        <w:rPr>
          <w:rFonts w:hint="eastAsia" w:ascii="仿宋_GB2312" w:hAnsi="宋体" w:eastAsia="仿宋_GB2312" w:cs="Arial"/>
          <w:b/>
          <w:color w:val="auto"/>
          <w:sz w:val="32"/>
          <w:szCs w:val="32"/>
        </w:rPr>
        <w:t>月-</w:t>
      </w:r>
      <w:r>
        <w:rPr>
          <w:rFonts w:hint="eastAsia" w:ascii="仿宋_GB2312" w:hAnsi="宋体" w:eastAsia="仿宋_GB2312" w:cs="Arial"/>
          <w:b/>
          <w:color w:val="auto"/>
          <w:sz w:val="32"/>
          <w:szCs w:val="32"/>
          <w:lang w:val="en-US" w:eastAsia="zh-CN"/>
        </w:rPr>
        <w:t>2022</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12</w:t>
      </w:r>
      <w:r>
        <w:rPr>
          <w:rFonts w:hint="eastAsia" w:ascii="仿宋_GB2312" w:hAnsi="宋体" w:eastAsia="仿宋_GB2312" w:cs="Arial"/>
          <w:b/>
          <w:color w:val="auto"/>
          <w:sz w:val="32"/>
          <w:szCs w:val="32"/>
        </w:rPr>
        <w:t>月</w:t>
      </w:r>
    </w:p>
    <w:p w14:paraId="238FAB44">
      <w:pPr>
        <w:snapToGrid w:val="0"/>
        <w:spacing w:after="312" w:afterLines="100" w:line="300" w:lineRule="auto"/>
        <w:ind w:left="1008" w:leftChars="480"/>
        <w:rPr>
          <w:rFonts w:hint="eastAsia" w:ascii="仿宋_GB2312" w:hAnsi="宋体" w:eastAsia="仿宋_GB2312" w:cs="Arial"/>
          <w:color w:val="auto"/>
          <w:sz w:val="28"/>
          <w:szCs w:val="28"/>
        </w:rPr>
      </w:pPr>
    </w:p>
    <w:p w14:paraId="2E8414D7">
      <w:pPr>
        <w:snapToGrid w:val="0"/>
        <w:spacing w:after="312" w:afterLines="100" w:line="300" w:lineRule="auto"/>
        <w:jc w:val="center"/>
        <w:rPr>
          <w:rFonts w:hint="eastAsia" w:ascii="仿宋_GB2312" w:hAnsi="宋体" w:eastAsia="仿宋_GB2312" w:cs="Arial"/>
          <w:color w:val="auto"/>
          <w:sz w:val="28"/>
          <w:szCs w:val="28"/>
        </w:rPr>
      </w:pPr>
      <w:r>
        <w:rPr>
          <w:rFonts w:hint="eastAsia" w:ascii="仿宋_GB2312" w:hAnsi="宋体" w:eastAsia="仿宋_GB2312" w:cs="Arial"/>
          <w:color w:val="auto"/>
          <w:sz w:val="28"/>
          <w:szCs w:val="28"/>
        </w:rPr>
        <w:t>上海舜斯新材料科技有限公司</w:t>
      </w:r>
    </w:p>
    <w:p w14:paraId="65ADDD98">
      <w:pPr>
        <w:snapToGrid w:val="0"/>
        <w:spacing w:after="312" w:afterLines="100" w:line="300" w:lineRule="auto"/>
        <w:jc w:val="center"/>
        <w:rPr>
          <w:rFonts w:ascii="Times New Roman" w:hAnsi="Times New Roman"/>
          <w:color w:val="auto"/>
        </w:rPr>
      </w:pPr>
      <w:r>
        <w:rPr>
          <w:rFonts w:hint="eastAsia" w:ascii="Times New Roman" w:hAnsi="Times New Roman"/>
          <w:color w:val="auto"/>
          <w:lang w:val="en-US" w:eastAsia="zh-CN"/>
        </w:rPr>
        <w:t>2022年</w:t>
      </w:r>
    </w:p>
    <w:p w14:paraId="6F6D9045">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一、项目背景</w:t>
      </w:r>
    </w:p>
    <w:p w14:paraId="7FED47E0">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我国是全球最大的铝材生产与消费国，202</w:t>
      </w:r>
      <w:r>
        <w:rPr>
          <w:rFonts w:hint="eastAsia" w:ascii="Times New Roman" w:hAnsi="Times New Roman"/>
          <w:color w:val="auto"/>
          <w:sz w:val="22"/>
          <w:lang w:val="en-US" w:eastAsia="zh-CN"/>
        </w:rPr>
        <w:t>1</w:t>
      </w:r>
      <w:r>
        <w:rPr>
          <w:rFonts w:hint="eastAsia" w:ascii="Times New Roman" w:hAnsi="Times New Roman"/>
          <w:color w:val="auto"/>
          <w:sz w:val="22"/>
        </w:rPr>
        <w:t>年铝材产量已突破</w:t>
      </w:r>
      <w:r>
        <w:rPr>
          <w:rFonts w:hint="eastAsia" w:ascii="Times New Roman" w:hAnsi="Times New Roman"/>
          <w:color w:val="auto"/>
          <w:sz w:val="22"/>
          <w:lang w:val="en-US" w:eastAsia="zh-CN"/>
        </w:rPr>
        <w:t>5</w:t>
      </w:r>
      <w:r>
        <w:rPr>
          <w:rFonts w:hint="eastAsia" w:ascii="Times New Roman" w:hAnsi="Times New Roman"/>
          <w:color w:val="auto"/>
          <w:sz w:val="22"/>
        </w:rPr>
        <w:t>000万吨。在新能源汽车、消费电子、建筑装饰等下游产业快速发展的推动下，市场对铝制品的外观质量、尺寸精度及表面完整性提出了日益严苛的要求。</w:t>
      </w:r>
    </w:p>
    <w:p w14:paraId="303181BE">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然而，在铝制品的搬运与存储环节，磕碰损伤与板材粘连等问题长期存在，严重影响产品良率和客户满意度。统计显示，因搬运不当导致的铝锭表面损伤率约为3%至5%，而铝板在堆叠存放过程中易发生粘连，造成分张困难，不仅影响后续加工效率，还显著增加了生产成本。</w:t>
      </w:r>
    </w:p>
    <w:p w14:paraId="1401716E">
      <w:pPr>
        <w:spacing w:line="360" w:lineRule="auto"/>
        <w:ind w:firstLine="440" w:firstLineChars="200"/>
        <w:rPr>
          <w:rFonts w:ascii="Times New Roman" w:hAnsi="Times New Roman"/>
          <w:color w:val="auto"/>
          <w:sz w:val="22"/>
          <w:szCs w:val="22"/>
        </w:rPr>
      </w:pPr>
      <w:r>
        <w:rPr>
          <w:rFonts w:hint="eastAsia" w:ascii="Times New Roman" w:hAnsi="Times New Roman"/>
          <w:color w:val="auto"/>
          <w:sz w:val="22"/>
        </w:rPr>
        <w:t>相比之下，发达国家在铝制品物流环节已逐步实现自动化与智能化升级：日本部分领先铝企采用配备气动缓冲装置的智能搬运设备，可自动调节夹持压力，有效降低运输过程中的冲击损伤；德国一些现代化仓储系统引入电磁分离技术，显著提升了金属板材的分离效率，防止粘连；美国部分工厂则应用模块化存储结构，具备自适应定位功能，可灵活应对不同规格铝板的存放需求。这些先进技术的应用，不仅提升了物流效率与产品品质，也为我国铝加工行业的智能化转型提供了有益借鉴。</w:t>
      </w:r>
    </w:p>
    <w:p w14:paraId="1873E12D">
      <w:pPr>
        <w:spacing w:line="360" w:lineRule="auto"/>
        <w:ind w:firstLine="440" w:firstLineChars="200"/>
        <w:rPr>
          <w:rFonts w:ascii="Times New Roman" w:hAnsi="Times New Roman"/>
          <w:color w:val="auto"/>
          <w:sz w:val="22"/>
          <w:szCs w:val="22"/>
        </w:rPr>
      </w:pPr>
      <w:r>
        <w:rPr>
          <w:rFonts w:ascii="Times New Roman" w:hAnsi="Times New Roman"/>
          <w:color w:val="auto"/>
          <w:sz w:val="22"/>
        </w:rPr>
        <w:t>随着我国制造业向高质量、高附加值方向转型，铝制品搬运与存储过程中的表面保护与防粘连问题已成为提升产品竞争力的关键环节。本项目基于公司现有</w:t>
      </w:r>
      <w:bookmarkStart w:id="0" w:name="_GoBack"/>
      <w:bookmarkEnd w:id="0"/>
      <w:r>
        <w:rPr>
          <w:rFonts w:ascii="Times New Roman" w:hAnsi="Times New Roman"/>
          <w:color w:val="auto"/>
          <w:sz w:val="22"/>
        </w:rPr>
        <w:t>技术，研发具备高精准保护能力的铝制品搬运与存放系统，有助于提升铝材成品率、降低加工损耗，符合行业绿色化、精细化发展趋势。</w:t>
      </w:r>
    </w:p>
    <w:p w14:paraId="3476A3B8">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二、项目目标</w:t>
      </w:r>
    </w:p>
    <w:p w14:paraId="158F414D">
      <w:pPr>
        <w:spacing w:line="360" w:lineRule="auto"/>
        <w:ind w:left="420" w:leftChars="200"/>
        <w:rPr>
          <w:rFonts w:ascii="Times New Roman" w:hAnsi="Times New Roman" w:cs="Segoe UI"/>
          <w:color w:val="auto"/>
          <w:sz w:val="22"/>
          <w:szCs w:val="22"/>
        </w:rPr>
      </w:pPr>
      <w:r>
        <w:rPr>
          <w:rFonts w:ascii="Times New Roman" w:hAnsi="Times New Roman"/>
          <w:color w:val="auto"/>
          <w:sz w:val="22"/>
        </w:rPr>
        <w:t>本项目围绕铝制品搬运与存储过程中的表面保护与防粘连问题，开展高精准、无磕碰铝制品的研发工作，具体技术目标如下：</w:t>
      </w:r>
    </w:p>
    <w:p w14:paraId="6525A923">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设计具备缓冲限位功能的搬运装置，降低搬运过程中的震动与冲击；</w:t>
      </w:r>
    </w:p>
    <w:p w14:paraId="2472998C">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开发铝锭搬运减摩保护技术；</w:t>
      </w:r>
    </w:p>
    <w:p w14:paraId="1625C843">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实现铝板防粘连接触控制技术，提升铝制品成品率；</w:t>
      </w:r>
    </w:p>
    <w:p w14:paraId="0ACDF269">
      <w:pPr>
        <w:numPr>
          <w:ilvl w:val="0"/>
          <w:numId w:val="1"/>
        </w:numPr>
        <w:spacing w:line="360" w:lineRule="auto"/>
        <w:ind w:left="0" w:firstLine="440" w:firstLineChars="200"/>
        <w:rPr>
          <w:rFonts w:ascii="Times New Roman" w:hAnsi="Times New Roman" w:cs="Segoe UI"/>
          <w:color w:val="auto"/>
          <w:sz w:val="22"/>
          <w:szCs w:val="22"/>
        </w:rPr>
      </w:pPr>
      <w:r>
        <w:rPr>
          <w:rFonts w:hint="eastAsia" w:ascii="Times New Roman" w:hAnsi="Times New Roman"/>
          <w:color w:val="auto"/>
          <w:sz w:val="22"/>
          <w:lang w:val="en-US" w:eastAsia="zh-CN"/>
        </w:rPr>
        <w:t>实现</w:t>
      </w:r>
      <w:r>
        <w:rPr>
          <w:rFonts w:ascii="Times New Roman" w:hAnsi="Times New Roman"/>
          <w:color w:val="auto"/>
          <w:sz w:val="22"/>
        </w:rPr>
        <w:t>铝板防粘连位置调节技术，支持多种铝制品的通用性。</w:t>
      </w:r>
    </w:p>
    <w:p w14:paraId="1001953E">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三、预期效益与挑战</w:t>
      </w:r>
    </w:p>
    <w:p w14:paraId="18F66A7E">
      <w:pPr>
        <w:spacing w:line="360" w:lineRule="auto"/>
        <w:rPr>
          <w:rFonts w:ascii="Times New Roman" w:hAnsi="Times New Roman"/>
          <w:color w:val="auto"/>
          <w:sz w:val="22"/>
          <w:szCs w:val="22"/>
        </w:rPr>
      </w:pPr>
      <w:r>
        <w:rPr>
          <w:rFonts w:hint="eastAsia" w:ascii="Times New Roman" w:hAnsi="Times New Roman"/>
          <w:color w:val="auto"/>
          <w:sz w:val="22"/>
          <w:szCs w:val="22"/>
        </w:rPr>
        <w:t>（一）预期效益</w:t>
      </w:r>
    </w:p>
    <w:p w14:paraId="4F736C72">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经济效益：减少搬运与存放过程中的损耗，提升铝制品一次合格率；降低返工与修磨成本。</w:t>
      </w:r>
    </w:p>
    <w:p w14:paraId="66A17E2C">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社会效益：推动铝加工行业向绿色、安全、高效方向发展，减少资源浪费。</w:t>
      </w:r>
    </w:p>
    <w:p w14:paraId="62E1BD74">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技术效益：提升铝制品搬运与存储过程的稳定性与适应性，增强产品市场竞争力。</w:t>
      </w:r>
    </w:p>
    <w:p w14:paraId="22C78437">
      <w:pPr>
        <w:spacing w:line="360" w:lineRule="auto"/>
        <w:rPr>
          <w:rFonts w:ascii="Times New Roman" w:hAnsi="Times New Roman" w:eastAsia="Segoe UI" w:cs="Segoe UI"/>
          <w:color w:val="auto"/>
          <w:sz w:val="22"/>
          <w:szCs w:val="22"/>
        </w:rPr>
      </w:pPr>
      <w:r>
        <w:rPr>
          <w:rFonts w:hint="eastAsia" w:ascii="Times New Roman" w:hAnsi="Times New Roman" w:eastAsia="Segoe UI" w:cs="Segoe UI"/>
          <w:color w:val="auto"/>
          <w:sz w:val="22"/>
          <w:szCs w:val="22"/>
        </w:rPr>
        <w:t>（二）面临的挑战</w:t>
      </w:r>
    </w:p>
    <w:p w14:paraId="76A6D2E0">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技术适配性：不同铝制品的尺寸、形状差异较大，需优化结构设计以提高通用性；</w:t>
      </w:r>
    </w:p>
    <w:p w14:paraId="6BF0BB1F">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成本控制：在保证功能性的前提下，需合理控制材料与制造成本；</w:t>
      </w:r>
    </w:p>
    <w:p w14:paraId="3CA2F804">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工艺集成难度：搬运与存放装置需与现有生产线良好衔接，对系统兼容性提出一定要求；</w:t>
      </w:r>
    </w:p>
    <w:p w14:paraId="79123EF9">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项目预算：根据初步估算，项目总预算为</w:t>
      </w:r>
      <w:r>
        <w:rPr>
          <w:rFonts w:hint="eastAsia" w:ascii="Times New Roman" w:hAnsi="Times New Roman"/>
          <w:color w:val="auto"/>
          <w:sz w:val="22"/>
          <w:lang w:val="en-US" w:eastAsia="zh-CN"/>
        </w:rPr>
        <w:t>350</w:t>
      </w:r>
      <w:r>
        <w:rPr>
          <w:rFonts w:ascii="Times New Roman" w:hAnsi="Times New Roman"/>
          <w:color w:val="auto"/>
          <w:sz w:val="22"/>
        </w:rPr>
        <w:t>万元（具体金额待细化后公布）。</w:t>
      </w:r>
    </w:p>
    <w:p w14:paraId="02F2E4D0">
      <w:pPr>
        <w:spacing w:line="360" w:lineRule="auto"/>
        <w:jc w:val="right"/>
        <w:rPr>
          <w:rFonts w:ascii="Times New Roman" w:hAnsi="Times New Roman"/>
          <w:color w:val="auto"/>
          <w:sz w:val="22"/>
          <w:szCs w:val="22"/>
        </w:rPr>
      </w:pPr>
    </w:p>
    <w:p w14:paraId="353D9BFA">
      <w:pPr>
        <w:spacing w:line="360" w:lineRule="auto"/>
        <w:jc w:val="right"/>
        <w:rPr>
          <w:rFonts w:hint="eastAsia" w:ascii="Times New Roman" w:hAnsi="Times New Roman" w:eastAsia="宋体"/>
          <w:color w:val="auto"/>
          <w:sz w:val="22"/>
          <w:szCs w:val="22"/>
          <w:lang w:eastAsia="zh-CN"/>
        </w:rPr>
      </w:pPr>
      <w:r>
        <w:rPr>
          <w:rFonts w:hint="eastAsia" w:ascii="Times New Roman" w:hAnsi="Times New Roman"/>
          <w:color w:val="auto"/>
          <w:sz w:val="22"/>
          <w:szCs w:val="22"/>
          <w:lang w:eastAsia="zh-CN"/>
        </w:rPr>
        <w:t>上海舜斯新材料科技有限公司</w:t>
      </w:r>
    </w:p>
    <w:p w14:paraId="3D497919">
      <w:pPr>
        <w:spacing w:line="360" w:lineRule="auto"/>
        <w:jc w:val="right"/>
        <w:rPr>
          <w:rFonts w:hint="eastAsia" w:ascii="Times New Roman" w:hAnsi="Times New Roman"/>
          <w:color w:val="auto"/>
          <w:sz w:val="22"/>
          <w:szCs w:val="22"/>
        </w:rPr>
      </w:pPr>
      <w:r>
        <w:rPr>
          <w:rFonts w:hint="eastAsia" w:ascii="Times New Roman" w:hAnsi="Times New Roman"/>
          <w:color w:val="auto"/>
          <w:sz w:val="22"/>
          <w:szCs w:val="22"/>
          <w:lang w:eastAsia="zh-CN"/>
        </w:rPr>
        <w:t>2022年</w:t>
      </w:r>
      <w:r>
        <w:rPr>
          <w:rFonts w:hint="eastAsia" w:ascii="Times New Roman" w:hAnsi="Times New Roman"/>
          <w:color w:val="auto"/>
          <w:sz w:val="22"/>
          <w:szCs w:val="22"/>
        </w:rPr>
        <w:t>1月4日</w:t>
      </w:r>
    </w:p>
    <w:p w14:paraId="1E248578">
      <w:pPr>
        <w:pStyle w:val="3"/>
        <w:jc w:val="center"/>
        <w:rPr>
          <w:rFonts w:ascii="Times New Roman" w:hAnsi="Times New Roman"/>
          <w:color w:val="auto"/>
          <w:sz w:val="36"/>
          <w:szCs w:val="28"/>
        </w:rPr>
      </w:pPr>
      <w:r>
        <w:rPr>
          <w:rFonts w:hint="eastAsia" w:ascii="Times New Roman" w:hAnsi="Times New Roman"/>
          <w:color w:val="auto"/>
          <w:sz w:val="22"/>
          <w:szCs w:val="22"/>
        </w:rPr>
        <w:br w:type="page"/>
      </w:r>
      <w:r>
        <w:rPr>
          <w:rFonts w:hint="eastAsia" w:ascii="Times New Roman" w:hAnsi="Times New Roman"/>
          <w:color w:val="auto"/>
          <w:sz w:val="36"/>
          <w:szCs w:val="28"/>
        </w:rPr>
        <w:t>项目立项通知</w:t>
      </w:r>
    </w:p>
    <w:p w14:paraId="59BD3D64">
      <w:pPr>
        <w:spacing w:line="360" w:lineRule="auto"/>
        <w:rPr>
          <w:rFonts w:ascii="Times New Roman" w:hAnsi="Times New Roman"/>
          <w:color w:val="auto"/>
          <w:sz w:val="22"/>
          <w:szCs w:val="28"/>
        </w:rPr>
      </w:pPr>
      <w:r>
        <w:rPr>
          <w:rFonts w:hint="eastAsia" w:ascii="Times New Roman" w:hAnsi="Times New Roman"/>
          <w:color w:val="auto"/>
          <w:sz w:val="22"/>
          <w:szCs w:val="28"/>
        </w:rPr>
        <w:t>各部门：</w:t>
      </w:r>
    </w:p>
    <w:p w14:paraId="037DF0DB">
      <w:pPr>
        <w:spacing w:line="360" w:lineRule="auto"/>
        <w:ind w:firstLine="440" w:firstLineChars="200"/>
        <w:rPr>
          <w:rFonts w:ascii="Times New Roman" w:hAnsi="Times New Roman"/>
          <w:color w:val="auto"/>
          <w:sz w:val="22"/>
          <w:szCs w:val="28"/>
        </w:rPr>
      </w:pPr>
      <w:r>
        <w:rPr>
          <w:rFonts w:ascii="Times New Roman" w:hAnsi="Times New Roman"/>
          <w:color w:val="auto"/>
          <w:sz w:val="22"/>
        </w:rPr>
        <w:t>随着铝制品在工业制造中的广泛应用，对产品表面质量和搬运存储效率的要求不断提高。当前在铝制品的搬运和存放过程中，普遍存在磕碰损伤与粘连等问题，影响产品成品率和后续加工质量。为提升铝制品搬运及存储过程中的稳定性与安全性，我司决定立项研发“无磕碰与粘连的高精准铝制品的研发”项目。请项目负责人</w:t>
      </w:r>
      <w:r>
        <w:rPr>
          <w:rFonts w:hint="eastAsia" w:ascii="Times New Roman" w:hAnsi="Times New Roman"/>
          <w:color w:val="auto"/>
          <w:sz w:val="22"/>
          <w:lang w:eastAsia="zh-CN"/>
        </w:rPr>
        <w:t>倪进</w:t>
      </w:r>
      <w:r>
        <w:rPr>
          <w:rFonts w:ascii="Times New Roman" w:hAnsi="Times New Roman"/>
          <w:color w:val="auto"/>
          <w:sz w:val="22"/>
        </w:rPr>
        <w:t>及团队成员严格按照项目计划执行，确保项目按时、按质、按量完成。同时，公司各相关部门应给予全力支持和配合，共同推动项目的顺利实施。</w:t>
      </w:r>
    </w:p>
    <w:p w14:paraId="1EE7F49B">
      <w:pPr>
        <w:spacing w:line="360" w:lineRule="auto"/>
        <w:ind w:firstLine="440" w:firstLineChars="200"/>
        <w:rPr>
          <w:rFonts w:ascii="Times New Roman" w:hAnsi="Times New Roman"/>
          <w:color w:val="auto"/>
          <w:sz w:val="22"/>
          <w:szCs w:val="28"/>
        </w:rPr>
      </w:pPr>
    </w:p>
    <w:p w14:paraId="7E758CB5">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一、项目信息</w:t>
      </w:r>
    </w:p>
    <w:p w14:paraId="3E56FB62">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rPr>
        <w:t>立项编号：</w:t>
      </w:r>
      <w:r>
        <w:rPr>
          <w:rFonts w:hint="eastAsia" w:ascii="Times New Roman" w:hAnsi="Times New Roman"/>
          <w:color w:val="auto"/>
          <w:sz w:val="22"/>
          <w:szCs w:val="28"/>
          <w:lang w:val="en-US" w:eastAsia="zh-CN"/>
        </w:rPr>
        <w:t>RD02</w:t>
      </w:r>
    </w:p>
    <w:p w14:paraId="4D6A81D8">
      <w:pPr>
        <w:spacing w:line="360" w:lineRule="auto"/>
        <w:rPr>
          <w:rFonts w:ascii="Times New Roman" w:hAnsi="Times New Roman"/>
          <w:color w:val="auto"/>
          <w:sz w:val="22"/>
          <w:szCs w:val="28"/>
        </w:rPr>
      </w:pPr>
      <w:r>
        <w:rPr>
          <w:rFonts w:hint="eastAsia" w:ascii="Times New Roman" w:hAnsi="Times New Roman"/>
          <w:color w:val="auto"/>
          <w:sz w:val="22"/>
          <w:szCs w:val="28"/>
        </w:rPr>
        <w:t>发文日期：</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1月5日</w:t>
      </w:r>
    </w:p>
    <w:p w14:paraId="770CFD48">
      <w:pPr>
        <w:spacing w:line="360" w:lineRule="auto"/>
        <w:rPr>
          <w:rFonts w:ascii="Times New Roman" w:hAnsi="Times New Roman"/>
          <w:color w:val="auto"/>
          <w:sz w:val="22"/>
          <w:szCs w:val="28"/>
        </w:rPr>
      </w:pPr>
      <w:r>
        <w:rPr>
          <w:rFonts w:hint="eastAsia" w:ascii="Times New Roman" w:hAnsi="Times New Roman"/>
          <w:color w:val="auto"/>
          <w:sz w:val="22"/>
          <w:szCs w:val="28"/>
        </w:rPr>
        <w:t>项目名称：</w:t>
      </w:r>
      <w:r>
        <w:rPr>
          <w:rFonts w:ascii="Times New Roman" w:hAnsi="Times New Roman"/>
          <w:color w:val="auto"/>
          <w:sz w:val="22"/>
        </w:rPr>
        <w:t>无磕碰与粘连的高精准铝制品的研发</w:t>
      </w:r>
    </w:p>
    <w:p w14:paraId="66843304">
      <w:pPr>
        <w:spacing w:line="360" w:lineRule="auto"/>
        <w:rPr>
          <w:rFonts w:hint="default" w:ascii="Times New Roman" w:hAnsi="Times New Roman"/>
          <w:color w:val="auto"/>
          <w:sz w:val="22"/>
          <w:lang w:val="en-US"/>
        </w:rPr>
      </w:pPr>
      <w:r>
        <w:rPr>
          <w:rFonts w:hint="eastAsia" w:ascii="Times New Roman" w:hAnsi="Times New Roman"/>
          <w:color w:val="auto"/>
          <w:sz w:val="22"/>
        </w:rPr>
        <w:t>项目团队：</w:t>
      </w:r>
      <w:r>
        <w:rPr>
          <w:rFonts w:hint="eastAsia" w:ascii="Times New Roman" w:hAnsi="Times New Roman"/>
          <w:color w:val="auto"/>
          <w:sz w:val="22"/>
          <w:lang w:eastAsia="zh-CN"/>
        </w:rPr>
        <w:t>倪进、</w:t>
      </w:r>
      <w:r>
        <w:rPr>
          <w:rFonts w:hint="eastAsia" w:ascii="Times New Roman" w:hAnsi="Times New Roman"/>
          <w:color w:val="auto"/>
          <w:sz w:val="22"/>
          <w:lang w:val="en-US" w:eastAsia="zh-CN"/>
        </w:rPr>
        <w:t>严天元、夏冬飞、杜雪良、丁小花、聂泽慧、龚久林、何琳琳、芦银行、胡代红、姜华、刘庆磊、路小珠、孙海梅、王丽霞、王平、倪先根、裴建斌、王志远、吴红艳、薛进刚、杨怀亮、张国强、张贤宝、杨通友、邸允浩、丁传彬</w:t>
      </w:r>
    </w:p>
    <w:p w14:paraId="4457B361">
      <w:pPr>
        <w:spacing w:line="360" w:lineRule="auto"/>
        <w:rPr>
          <w:rFonts w:ascii="Times New Roman" w:hAnsi="Times New Roman"/>
          <w:color w:val="auto"/>
          <w:sz w:val="22"/>
          <w:szCs w:val="28"/>
        </w:rPr>
      </w:pPr>
      <w:r>
        <w:rPr>
          <w:rFonts w:hint="eastAsia" w:ascii="Times New Roman" w:hAnsi="Times New Roman"/>
          <w:color w:val="auto"/>
          <w:sz w:val="22"/>
          <w:szCs w:val="28"/>
        </w:rPr>
        <w:t>项目周期：</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01月04日至</w:t>
      </w:r>
      <w:r>
        <w:rPr>
          <w:rFonts w:hint="eastAsia" w:ascii="Times New Roman" w:hAnsi="Times New Roman"/>
          <w:color w:val="auto"/>
          <w:sz w:val="22"/>
          <w:szCs w:val="28"/>
          <w:lang w:eastAsia="zh-CN"/>
        </w:rPr>
        <w:t>2022年</w:t>
      </w:r>
      <w:r>
        <w:rPr>
          <w:rFonts w:hint="eastAsia" w:ascii="Times New Roman" w:hAnsi="Times New Roman"/>
          <w:color w:val="auto"/>
          <w:sz w:val="22"/>
          <w:szCs w:val="28"/>
        </w:rPr>
        <w:t>12月31日</w:t>
      </w:r>
    </w:p>
    <w:p w14:paraId="0EF38818">
      <w:pPr>
        <w:spacing w:line="360" w:lineRule="auto"/>
        <w:rPr>
          <w:rFonts w:ascii="Times New Roman" w:hAnsi="Times New Roman"/>
          <w:color w:val="auto"/>
          <w:sz w:val="22"/>
          <w:szCs w:val="28"/>
        </w:rPr>
      </w:pPr>
      <w:r>
        <w:rPr>
          <w:rFonts w:hint="eastAsia" w:ascii="Times New Roman" w:hAnsi="Times New Roman"/>
          <w:color w:val="auto"/>
          <w:sz w:val="22"/>
          <w:szCs w:val="28"/>
        </w:rPr>
        <w:t>项目预算：根据初步估算，项目总预算为</w:t>
      </w:r>
      <w:r>
        <w:rPr>
          <w:rFonts w:hint="eastAsia" w:ascii="Times New Roman" w:hAnsi="Times New Roman"/>
          <w:color w:val="auto"/>
          <w:sz w:val="22"/>
          <w:szCs w:val="28"/>
          <w:lang w:val="en-US" w:eastAsia="zh-CN"/>
        </w:rPr>
        <w:t>350</w:t>
      </w:r>
      <w:r>
        <w:rPr>
          <w:rFonts w:hint="eastAsia" w:ascii="Times New Roman" w:hAnsi="Times New Roman"/>
          <w:color w:val="auto"/>
          <w:sz w:val="22"/>
          <w:szCs w:val="28"/>
        </w:rPr>
        <w:t>万元（具体金额待细化后公布）</w:t>
      </w:r>
    </w:p>
    <w:p w14:paraId="5B4DB755">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二、工作要求</w:t>
      </w:r>
    </w:p>
    <w:p w14:paraId="4FA1927E">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项目团队成员需严格按照项目进度安排开展工作，确保各阶段任务按时完成。</w:t>
      </w:r>
    </w:p>
    <w:p w14:paraId="6DA14230">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项目负责人需定期向相关部门及领导汇报项目进展情况，及时协调解决项目中的问题。</w:t>
      </w:r>
    </w:p>
    <w:p w14:paraId="5F91A7B3">
      <w:pPr>
        <w:spacing w:line="360" w:lineRule="auto"/>
        <w:ind w:firstLine="440" w:firstLineChars="200"/>
        <w:rPr>
          <w:rFonts w:ascii="Times New Roman" w:hAnsi="Times New Roman"/>
          <w:color w:val="auto"/>
          <w:sz w:val="22"/>
          <w:szCs w:val="28"/>
        </w:rPr>
      </w:pPr>
      <w:r>
        <w:rPr>
          <w:rFonts w:ascii="Times New Roman" w:hAnsi="Times New Roman"/>
          <w:color w:val="auto"/>
          <w:sz w:val="22"/>
        </w:rPr>
        <w:t>相关部门需积极配合项目团队的工作，提供必要的支持和协助。</w:t>
      </w:r>
    </w:p>
    <w:p w14:paraId="683C1F76">
      <w:pPr>
        <w:spacing w:line="360" w:lineRule="auto"/>
        <w:ind w:firstLine="440" w:firstLineChars="200"/>
        <w:rPr>
          <w:rFonts w:ascii="Times New Roman" w:hAnsi="Times New Roman"/>
          <w:color w:val="auto"/>
          <w:sz w:val="22"/>
          <w:szCs w:val="28"/>
        </w:rPr>
      </w:pPr>
      <w:r>
        <w:rPr>
          <w:rFonts w:ascii="Times New Roman" w:hAnsi="Times New Roman"/>
          <w:color w:val="auto"/>
          <w:sz w:val="22"/>
        </w:rPr>
        <w:t>请项目团队成员及相关部门认真阅读以上内容，并按照要求开展工作。让我们共同努力，确保项目的顺利实施和圆满成功!</w:t>
      </w:r>
    </w:p>
    <w:p w14:paraId="654C1717">
      <w:pPr>
        <w:spacing w:line="360" w:lineRule="auto"/>
        <w:rPr>
          <w:rFonts w:ascii="Times New Roman" w:hAnsi="Times New Roman"/>
          <w:color w:val="auto"/>
          <w:sz w:val="22"/>
          <w:szCs w:val="28"/>
        </w:rPr>
      </w:pPr>
    </w:p>
    <w:p w14:paraId="6BAD2583">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s="宋体"/>
          <w:color w:val="auto"/>
          <w:sz w:val="24"/>
          <w:lang w:eastAsia="zh-CN"/>
        </w:rPr>
        <w:t>上海舜斯新材料科技有限公司</w:t>
      </w:r>
    </w:p>
    <w:p w14:paraId="3918552C">
      <w:pPr>
        <w:spacing w:line="360" w:lineRule="auto"/>
        <w:jc w:val="right"/>
        <w:rPr>
          <w:rFonts w:hint="eastAsia" w:ascii="Times New Roman" w:hAnsi="Times New Roman"/>
          <w:color w:val="auto"/>
          <w:sz w:val="22"/>
          <w:szCs w:val="28"/>
        </w:rPr>
      </w:pPr>
      <w:r>
        <w:rPr>
          <w:rFonts w:hint="eastAsia" w:ascii="Times New Roman" w:hAnsi="Times New Roman"/>
          <w:color w:val="auto"/>
          <w:sz w:val="22"/>
          <w:szCs w:val="28"/>
          <w:lang w:eastAsia="zh-CN"/>
        </w:rPr>
        <w:t>2022年</w:t>
      </w:r>
      <w:r>
        <w:rPr>
          <w:rFonts w:hint="eastAsia" w:ascii="Times New Roman" w:hAnsi="Times New Roman"/>
          <w:color w:val="auto"/>
          <w:sz w:val="22"/>
          <w:szCs w:val="28"/>
        </w:rPr>
        <w:t>1月5日</w:t>
      </w:r>
    </w:p>
    <w:p w14:paraId="072C181F">
      <w:pPr>
        <w:pStyle w:val="3"/>
        <w:spacing w:line="360" w:lineRule="auto"/>
        <w:jc w:val="center"/>
        <w:rPr>
          <w:rFonts w:ascii="Times New Roman" w:hAnsi="Times New Roman"/>
          <w:color w:val="auto"/>
          <w:sz w:val="36"/>
          <w:szCs w:val="28"/>
        </w:rPr>
      </w:pPr>
      <w:r>
        <w:rPr>
          <w:rFonts w:hint="eastAsia" w:ascii="Times New Roman" w:hAnsi="Times New Roman"/>
          <w:color w:val="auto"/>
          <w:sz w:val="22"/>
          <w:szCs w:val="28"/>
        </w:rPr>
        <w:br w:type="page"/>
      </w:r>
      <w:r>
        <w:rPr>
          <w:rFonts w:hint="eastAsia" w:ascii="Times New Roman" w:hAnsi="Times New Roman"/>
          <w:color w:val="auto"/>
          <w:sz w:val="36"/>
          <w:szCs w:val="28"/>
        </w:rPr>
        <w:t>项目验收报告</w:t>
      </w:r>
    </w:p>
    <w:p w14:paraId="32370A49">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一、项目概况</w:t>
      </w:r>
    </w:p>
    <w:p w14:paraId="43489F86">
      <w:pPr>
        <w:spacing w:line="360" w:lineRule="auto"/>
        <w:ind w:firstLine="440" w:firstLineChars="200"/>
        <w:rPr>
          <w:rFonts w:ascii="Times New Roman" w:hAnsi="Times New Roman"/>
          <w:color w:val="auto"/>
          <w:sz w:val="22"/>
          <w:szCs w:val="28"/>
        </w:rPr>
      </w:pPr>
      <w:r>
        <w:rPr>
          <w:rFonts w:ascii="Times New Roman" w:hAnsi="Times New Roman"/>
          <w:color w:val="auto"/>
          <w:sz w:val="22"/>
        </w:rPr>
        <w:t>“无磕碰与粘连的高精准铝制品的研发”项目围绕铝制品在搬运和存放过程中容易出现磕碰损伤和表面粘连的问题，开展针对性技术研发与设备优化。项目研发过程中，重点围绕铝锭搬运与铝板存放两个关键环节，开发了具备缓冲限位、防滑减震、防粘连调节等功能的专用装置，形成了两项实用新型专利成果，分别为“一种铝锭搬运装置ZL202222939332.9”和“一种防粘连铝板存放装置ZL202320901205.1”。上述知识产权成果为项目核心技术的集中体现，支撑了项目目标的实现。</w:t>
      </w:r>
    </w:p>
    <w:p w14:paraId="098216D3">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二、项目目标与完成情况</w:t>
      </w:r>
    </w:p>
    <w:p w14:paraId="50C37137">
      <w:pPr>
        <w:spacing w:line="360" w:lineRule="auto"/>
        <w:ind w:firstLine="440" w:firstLineChars="200"/>
        <w:rPr>
          <w:rFonts w:ascii="Times New Roman" w:hAnsi="Times New Roman"/>
          <w:color w:val="auto"/>
          <w:sz w:val="22"/>
          <w:szCs w:val="28"/>
        </w:rPr>
      </w:pPr>
      <w:r>
        <w:rPr>
          <w:rFonts w:ascii="Times New Roman" w:hAnsi="Times New Roman"/>
          <w:color w:val="auto"/>
          <w:sz w:val="22"/>
        </w:rPr>
        <w:t>本项目旨在解决铝制品在生产加工、搬运及存储环节中常见的物理损伤与表面粘连问题，提升铝制品成品率与表面质量。通过结构优化设计与功能模块集成，项目实现了铝锭搬运过程中的稳定限位与缓冲防护，以及铝板存放过程中的自动防粘连控制。项目所涉及的搬运与存放装置均已通过实际工况测试，具备良好的适用性与稳定性，相关技术指标满足预期要求，项目整体目标达成。</w:t>
      </w:r>
    </w:p>
    <w:p w14:paraId="562A0264">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三、项目核心技术点与创新点</w:t>
      </w:r>
    </w:p>
    <w:p w14:paraId="74DCF210">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1. 核心技术点</w:t>
      </w:r>
    </w:p>
    <w:p w14:paraId="6FA15ADA">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铝锭搬运缓冲限位技术：通过设置压制限位机构与弹性缓冲垫，结合限位杆、螺纹杆与转动盘的联动结构，实现铝锭在搬运过程中的上下限位与动态压制，有效防止因颠簸造成的铝锭晃动与磕碰。</w:t>
      </w:r>
    </w:p>
    <w:p w14:paraId="49F0B11A">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铝锭搬运减摩保护技术：采用滚动栏板机构，通过卡接销、固定销限位套等部件实现栏板的快速展开与定位，配合滚动套与橡胶保护套，降低铝锭搬运过程中的摩擦阻力并保护表面质量。</w:t>
      </w:r>
    </w:p>
    <w:p w14:paraId="1F540D4F">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铝板防粘连接触控制技术：基于弹簧、电磁铁与半圆头结构，实现对铝板侧端面的柔性接触，在吊运过程中通过橡胶套抵触粘连铝板下表面，使粘连铝板受力脱落，达到防粘连效果。</w:t>
      </w:r>
    </w:p>
    <w:p w14:paraId="02B103B2">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铝板防粘连位置调节技术：通过螺杆与滑轨的配合结构，实现半圆头接触位置的灵活调节，适应不同形状与尺寸铝板的防粘连需求，提升装置通用性。</w:t>
      </w:r>
    </w:p>
    <w:p w14:paraId="48DD6648">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2. 创新点</w:t>
      </w:r>
    </w:p>
    <w:p w14:paraId="32D3A20D">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动态压制限位结构：在铝锭搬运装置中引入压制限位机构，通过转动盘控制螺纹杆带动压制限位栅移动，实现对铝锭的动态压制限位，提升搬运过程中的稳定性。</w:t>
      </w:r>
    </w:p>
    <w:p w14:paraId="7FF743B9">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滚动减摩与快速装卸设计：通过滚动栏板机构实现铝锭的快速上下料，同时减少搬运过程中的摩擦损伤，提升搬运效率与安全性。</w:t>
      </w:r>
    </w:p>
    <w:p w14:paraId="227F665F">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自适应防粘连调节机制：在铝板存放装置中采用可调式半圆头结构，结合电磁铁控制，实现防粘连装置在存放与防粘状态之间的切换，增强装置适应性与实用性。</w:t>
      </w:r>
    </w:p>
    <w:p w14:paraId="255A3E79">
      <w:pPr>
        <w:numPr>
          <w:ilvl w:val="0"/>
          <w:numId w:val="6"/>
        </w:num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项目经费统计</w:t>
      </w:r>
    </w:p>
    <w:tbl>
      <w:tblPr>
        <w:tblStyle w:val="10"/>
        <w:tblW w:w="79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2660"/>
        <w:gridCol w:w="2660"/>
      </w:tblGrid>
      <w:tr w14:paraId="3519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2660" w:type="dxa"/>
            <w:vMerge w:val="restart"/>
            <w:shd w:val="clear" w:color="auto" w:fill="auto"/>
            <w:vAlign w:val="center"/>
          </w:tcPr>
          <w:p w14:paraId="7463EFDC">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经费统计</w:t>
            </w:r>
          </w:p>
        </w:tc>
        <w:tc>
          <w:tcPr>
            <w:tcW w:w="2660" w:type="dxa"/>
            <w:shd w:val="clear" w:color="auto" w:fill="auto"/>
            <w:vAlign w:val="center"/>
          </w:tcPr>
          <w:p w14:paraId="192B0167">
            <w:pPr>
              <w:spacing w:line="360" w:lineRule="auto"/>
              <w:rPr>
                <w:rFonts w:ascii="Times New Roman" w:hAnsi="Times New Roman"/>
                <w:color w:val="auto"/>
                <w:sz w:val="22"/>
                <w:szCs w:val="28"/>
              </w:rPr>
            </w:pPr>
            <w:r>
              <w:rPr>
                <w:rFonts w:hint="eastAsia" w:ascii="Times New Roman" w:hAnsi="Times New Roman"/>
                <w:color w:val="auto"/>
                <w:sz w:val="22"/>
                <w:szCs w:val="28"/>
              </w:rPr>
              <w:t>人员人工费用</w:t>
            </w:r>
          </w:p>
        </w:tc>
        <w:tc>
          <w:tcPr>
            <w:tcW w:w="2660" w:type="dxa"/>
            <w:shd w:val="clear" w:color="auto" w:fill="auto"/>
            <w:vAlign w:val="center"/>
          </w:tcPr>
          <w:p w14:paraId="3571AC42">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104.57万</w:t>
            </w:r>
            <w:r>
              <w:rPr>
                <w:rFonts w:hint="eastAsia" w:ascii="Times New Roman" w:hAnsi="Times New Roman"/>
                <w:color w:val="auto"/>
                <w:sz w:val="22"/>
                <w:szCs w:val="28"/>
              </w:rPr>
              <w:t>元</w:t>
            </w:r>
          </w:p>
        </w:tc>
      </w:tr>
      <w:tr w14:paraId="7E1E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2660" w:type="dxa"/>
            <w:vMerge w:val="continue"/>
            <w:shd w:val="clear" w:color="auto" w:fill="auto"/>
            <w:vAlign w:val="center"/>
          </w:tcPr>
          <w:p w14:paraId="239A3738">
            <w:pPr>
              <w:spacing w:line="360" w:lineRule="auto"/>
              <w:jc w:val="center"/>
              <w:rPr>
                <w:rFonts w:ascii="Times New Roman" w:hAnsi="Times New Roman"/>
                <w:color w:val="auto"/>
                <w:sz w:val="22"/>
                <w:szCs w:val="28"/>
              </w:rPr>
            </w:pPr>
          </w:p>
        </w:tc>
        <w:tc>
          <w:tcPr>
            <w:tcW w:w="2660" w:type="dxa"/>
            <w:shd w:val="clear" w:color="auto" w:fill="auto"/>
            <w:vAlign w:val="center"/>
          </w:tcPr>
          <w:p w14:paraId="3263B340">
            <w:pPr>
              <w:spacing w:line="360" w:lineRule="auto"/>
              <w:rPr>
                <w:rFonts w:ascii="Times New Roman" w:hAnsi="Times New Roman"/>
                <w:color w:val="auto"/>
                <w:sz w:val="22"/>
                <w:szCs w:val="28"/>
              </w:rPr>
            </w:pPr>
            <w:r>
              <w:rPr>
                <w:rFonts w:hint="eastAsia" w:ascii="Times New Roman" w:hAnsi="Times New Roman"/>
                <w:color w:val="auto"/>
                <w:sz w:val="22"/>
                <w:szCs w:val="28"/>
              </w:rPr>
              <w:t>直接投入费用</w:t>
            </w:r>
          </w:p>
        </w:tc>
        <w:tc>
          <w:tcPr>
            <w:tcW w:w="2660" w:type="dxa"/>
            <w:shd w:val="clear" w:color="auto" w:fill="auto"/>
            <w:vAlign w:val="center"/>
          </w:tcPr>
          <w:p w14:paraId="3C4F557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129.42万</w:t>
            </w:r>
            <w:r>
              <w:rPr>
                <w:rFonts w:hint="eastAsia" w:ascii="Times New Roman" w:hAnsi="Times New Roman"/>
                <w:color w:val="auto"/>
                <w:sz w:val="22"/>
                <w:szCs w:val="28"/>
              </w:rPr>
              <w:t>元</w:t>
            </w:r>
          </w:p>
        </w:tc>
      </w:tr>
      <w:tr w14:paraId="5A54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2660" w:type="dxa"/>
            <w:vMerge w:val="continue"/>
            <w:shd w:val="clear" w:color="auto" w:fill="auto"/>
            <w:vAlign w:val="center"/>
          </w:tcPr>
          <w:p w14:paraId="4F275BDA">
            <w:pPr>
              <w:spacing w:line="360" w:lineRule="auto"/>
              <w:jc w:val="center"/>
              <w:rPr>
                <w:rFonts w:ascii="Times New Roman" w:hAnsi="Times New Roman"/>
                <w:color w:val="auto"/>
                <w:sz w:val="22"/>
                <w:szCs w:val="28"/>
              </w:rPr>
            </w:pPr>
          </w:p>
        </w:tc>
        <w:tc>
          <w:tcPr>
            <w:tcW w:w="2660" w:type="dxa"/>
            <w:shd w:val="clear" w:color="auto" w:fill="auto"/>
            <w:vAlign w:val="center"/>
          </w:tcPr>
          <w:p w14:paraId="03A94C5B">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折旧费用</w:t>
            </w:r>
          </w:p>
        </w:tc>
        <w:tc>
          <w:tcPr>
            <w:tcW w:w="2660" w:type="dxa"/>
            <w:shd w:val="clear" w:color="auto" w:fill="auto"/>
            <w:vAlign w:val="center"/>
          </w:tcPr>
          <w:p w14:paraId="5580B92D">
            <w:pPr>
              <w:spacing w:line="360" w:lineRule="auto"/>
              <w:jc w:val="center"/>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111.23万元</w:t>
            </w:r>
          </w:p>
        </w:tc>
      </w:tr>
      <w:tr w14:paraId="539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2660" w:type="dxa"/>
            <w:vMerge w:val="continue"/>
            <w:shd w:val="clear" w:color="auto" w:fill="auto"/>
            <w:vAlign w:val="center"/>
          </w:tcPr>
          <w:p w14:paraId="30593DA3">
            <w:pPr>
              <w:spacing w:line="360" w:lineRule="auto"/>
              <w:jc w:val="center"/>
              <w:rPr>
                <w:rFonts w:ascii="Times New Roman" w:hAnsi="Times New Roman"/>
                <w:color w:val="auto"/>
                <w:sz w:val="22"/>
                <w:szCs w:val="28"/>
              </w:rPr>
            </w:pPr>
          </w:p>
        </w:tc>
        <w:tc>
          <w:tcPr>
            <w:tcW w:w="2660" w:type="dxa"/>
            <w:shd w:val="clear" w:color="auto" w:fill="auto"/>
            <w:vAlign w:val="center"/>
          </w:tcPr>
          <w:p w14:paraId="4A1B62E1">
            <w:pPr>
              <w:spacing w:line="360" w:lineRule="auto"/>
              <w:rPr>
                <w:rFonts w:ascii="Times New Roman" w:hAnsi="Times New Roman"/>
                <w:color w:val="auto"/>
                <w:sz w:val="22"/>
                <w:szCs w:val="28"/>
              </w:rPr>
            </w:pPr>
            <w:r>
              <w:rPr>
                <w:rFonts w:hint="eastAsia" w:ascii="Times New Roman" w:hAnsi="Times New Roman"/>
                <w:color w:val="auto"/>
                <w:sz w:val="22"/>
                <w:szCs w:val="28"/>
              </w:rPr>
              <w:t>其他费用</w:t>
            </w:r>
          </w:p>
        </w:tc>
        <w:tc>
          <w:tcPr>
            <w:tcW w:w="2660" w:type="dxa"/>
            <w:shd w:val="clear" w:color="auto" w:fill="auto"/>
            <w:vAlign w:val="center"/>
          </w:tcPr>
          <w:p w14:paraId="4D9BF2BF">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1</w:t>
            </w:r>
            <w:r>
              <w:rPr>
                <w:rFonts w:hint="eastAsia" w:ascii="Times New Roman" w:hAnsi="Times New Roman"/>
                <w:color w:val="auto"/>
                <w:sz w:val="22"/>
                <w:szCs w:val="28"/>
                <w:lang w:val="en-US" w:eastAsia="zh-CN"/>
              </w:rPr>
              <w:t>.24万</w:t>
            </w:r>
            <w:r>
              <w:rPr>
                <w:rFonts w:hint="eastAsia" w:ascii="Times New Roman" w:hAnsi="Times New Roman"/>
                <w:color w:val="auto"/>
                <w:sz w:val="22"/>
                <w:szCs w:val="28"/>
              </w:rPr>
              <w:t>元</w:t>
            </w:r>
          </w:p>
        </w:tc>
      </w:tr>
      <w:tr w14:paraId="3E4E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jc w:val="center"/>
        </w:trPr>
        <w:tc>
          <w:tcPr>
            <w:tcW w:w="2660" w:type="dxa"/>
            <w:vMerge w:val="continue"/>
            <w:shd w:val="clear" w:color="auto" w:fill="auto"/>
            <w:vAlign w:val="center"/>
          </w:tcPr>
          <w:p w14:paraId="13EA9A30">
            <w:pPr>
              <w:spacing w:line="360" w:lineRule="auto"/>
              <w:jc w:val="center"/>
              <w:rPr>
                <w:rFonts w:ascii="Times New Roman" w:hAnsi="Times New Roman"/>
                <w:color w:val="auto"/>
                <w:sz w:val="22"/>
                <w:szCs w:val="28"/>
              </w:rPr>
            </w:pPr>
          </w:p>
        </w:tc>
        <w:tc>
          <w:tcPr>
            <w:tcW w:w="2660" w:type="dxa"/>
            <w:shd w:val="clear" w:color="auto" w:fill="auto"/>
            <w:vAlign w:val="center"/>
          </w:tcPr>
          <w:p w14:paraId="76A91F63">
            <w:pPr>
              <w:spacing w:line="360" w:lineRule="auto"/>
              <w:rPr>
                <w:rFonts w:ascii="Times New Roman" w:hAnsi="Times New Roman"/>
                <w:color w:val="auto"/>
                <w:sz w:val="22"/>
                <w:szCs w:val="28"/>
              </w:rPr>
            </w:pPr>
            <w:r>
              <w:rPr>
                <w:rFonts w:hint="eastAsia" w:ascii="Times New Roman" w:hAnsi="Times New Roman"/>
                <w:color w:val="auto"/>
                <w:sz w:val="22"/>
                <w:szCs w:val="28"/>
              </w:rPr>
              <w:t>总计</w:t>
            </w:r>
          </w:p>
        </w:tc>
        <w:tc>
          <w:tcPr>
            <w:tcW w:w="2660" w:type="dxa"/>
            <w:shd w:val="clear" w:color="auto" w:fill="auto"/>
            <w:vAlign w:val="center"/>
          </w:tcPr>
          <w:p w14:paraId="1BF4FB0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346.46万</w:t>
            </w:r>
            <w:r>
              <w:rPr>
                <w:rFonts w:hint="eastAsia" w:ascii="Times New Roman" w:hAnsi="Times New Roman"/>
                <w:color w:val="auto"/>
                <w:sz w:val="22"/>
                <w:szCs w:val="28"/>
              </w:rPr>
              <w:t>元</w:t>
            </w:r>
          </w:p>
        </w:tc>
      </w:tr>
    </w:tbl>
    <w:p w14:paraId="0733CF0F">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经统计，项目经费符合预算要求。</w:t>
      </w:r>
    </w:p>
    <w:p w14:paraId="24BB1019">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五、项目验收情况</w:t>
      </w:r>
    </w:p>
    <w:p w14:paraId="524B21D2">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（一）验收内容</w:t>
      </w:r>
    </w:p>
    <w:p w14:paraId="797B4955">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功能性验收：对铝锭搬运装置的限位、缓冲、减摩功能进行实际操作测试，验证其在不同搬运场景下的适用性；对铝板存放装置的防粘连效果、接触调节功能进行模拟吊运测试，评估其在不同铝板尺寸与表面状态下的表现。</w:t>
      </w:r>
    </w:p>
    <w:p w14:paraId="77E126E7">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安全性验收：检查搬运装置的结构稳定性与防滑设计，确保在搬运过程中不会发生铝锭滑落或倾覆风险；评估存放装置中电磁铁与弹簧组件的安全性能，确保操作过程安全可靠。</w:t>
      </w:r>
    </w:p>
    <w:p w14:paraId="785F2857">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工艺适配性验收：验证项目成果在现有铝制品生产工艺流程中的兼容性，包括搬运与存放装置与现有生产线设备的对接匹配情况。</w:t>
      </w:r>
    </w:p>
    <w:p w14:paraId="2A4B5EAB">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（二）验收结论</w:t>
      </w:r>
    </w:p>
    <w:p w14:paraId="6DB70788">
      <w:pPr>
        <w:spacing w:line="360" w:lineRule="auto"/>
        <w:ind w:firstLine="440" w:firstLineChars="200"/>
        <w:rPr>
          <w:rFonts w:ascii="Times New Roman" w:hAnsi="Times New Roman"/>
          <w:color w:val="auto"/>
          <w:sz w:val="22"/>
          <w:szCs w:val="28"/>
        </w:rPr>
      </w:pPr>
      <w:r>
        <w:rPr>
          <w:rFonts w:ascii="Times New Roman" w:hAnsi="Times New Roman"/>
          <w:color w:val="auto"/>
          <w:sz w:val="22"/>
        </w:rPr>
        <w:t>经过功能性、安全性与工艺适配性等方面的全面验收，“无磕碰与粘连的高精准铝制品的研发”项目各项技术指标均达到预期目标，具备良好的实际应用价值。项目成果已在公司内部完成试用验证，运行稳定，效果良好，符合验收标准，项目顺利通过验收，具备推广应用条件。</w:t>
      </w:r>
    </w:p>
    <w:p w14:paraId="32523EAF">
      <w:pPr>
        <w:spacing w:line="360" w:lineRule="auto"/>
        <w:ind w:firstLine="440" w:firstLineChars="200"/>
        <w:rPr>
          <w:rFonts w:ascii="Times New Roman" w:hAnsi="Times New Roman"/>
          <w:color w:val="auto"/>
          <w:sz w:val="22"/>
          <w:szCs w:val="28"/>
        </w:rPr>
      </w:pPr>
    </w:p>
    <w:p w14:paraId="5E4D6117">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olor w:val="auto"/>
          <w:sz w:val="22"/>
          <w:szCs w:val="28"/>
          <w:lang w:eastAsia="zh-CN"/>
        </w:rPr>
        <w:t>上海舜斯新材料科技有限公司</w:t>
      </w:r>
    </w:p>
    <w:p w14:paraId="21239952">
      <w:pPr>
        <w:spacing w:line="360" w:lineRule="auto"/>
        <w:jc w:val="right"/>
        <w:rPr>
          <w:rFonts w:ascii="Times New Roman" w:hAnsi="Times New Roman"/>
          <w:color w:val="auto"/>
          <w:sz w:val="22"/>
          <w:szCs w:val="28"/>
        </w:rPr>
      </w:pPr>
      <w:r>
        <w:rPr>
          <w:rFonts w:hint="eastAsia" w:ascii="Times New Roman" w:hAnsi="Times New Roman"/>
          <w:color w:val="auto"/>
          <w:sz w:val="22"/>
          <w:szCs w:val="28"/>
          <w:lang w:eastAsia="zh-CN"/>
        </w:rPr>
        <w:t>2022年</w:t>
      </w:r>
      <w:r>
        <w:rPr>
          <w:rFonts w:hint="eastAsia" w:ascii="Times New Roman" w:hAnsi="Times New Roman"/>
          <w:color w:val="auto"/>
          <w:sz w:val="22"/>
          <w:szCs w:val="28"/>
        </w:rPr>
        <w:t>12月29日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D7224">
    <w:pPr>
      <w:pStyle w:val="9"/>
      <w:widowControl/>
      <w:jc w:val="distribu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17BD62"/>
    <w:multiLevelType w:val="singleLevel"/>
    <w:tmpl w:val="9D17BD62"/>
    <w:lvl w:ilvl="0" w:tentative="0">
      <w:start w:val="1"/>
      <w:numFmt w:val="decimal"/>
      <w:lvlText w:val="(%1)"/>
      <w:lvlJc w:val="left"/>
      <w:pPr>
        <w:ind w:left="425" w:hanging="425"/>
      </w:pPr>
      <w:rPr>
        <w:rFonts w:hint="default"/>
      </w:rPr>
    </w:lvl>
  </w:abstractNum>
  <w:abstractNum w:abstractNumId="1">
    <w:nsid w:val="A31363C1"/>
    <w:multiLevelType w:val="singleLevel"/>
    <w:tmpl w:val="A31363C1"/>
    <w:lvl w:ilvl="0" w:tentative="0">
      <w:start w:val="1"/>
      <w:numFmt w:val="decimal"/>
      <w:lvlText w:val="(%1)"/>
      <w:lvlJc w:val="left"/>
      <w:pPr>
        <w:ind w:left="425" w:hanging="425"/>
      </w:pPr>
      <w:rPr>
        <w:rFonts w:hint="default"/>
      </w:rPr>
    </w:lvl>
  </w:abstractNum>
  <w:abstractNum w:abstractNumId="2">
    <w:nsid w:val="D9DBAEED"/>
    <w:multiLevelType w:val="singleLevel"/>
    <w:tmpl w:val="D9DBAEED"/>
    <w:lvl w:ilvl="0" w:tentative="0">
      <w:start w:val="4"/>
      <w:numFmt w:val="chineseCounting"/>
      <w:suff w:val="nothing"/>
      <w:lvlText w:val="%1、"/>
      <w:lvlJc w:val="left"/>
      <w:rPr>
        <w:rFonts w:hint="eastAsia"/>
      </w:rPr>
    </w:lvl>
  </w:abstractNum>
  <w:abstractNum w:abstractNumId="3">
    <w:nsid w:val="E8744EF6"/>
    <w:multiLevelType w:val="singleLevel"/>
    <w:tmpl w:val="E8744EF6"/>
    <w:lvl w:ilvl="0" w:tentative="0">
      <w:start w:val="1"/>
      <w:numFmt w:val="decimal"/>
      <w:lvlText w:val="(%1)"/>
      <w:lvlJc w:val="left"/>
      <w:pPr>
        <w:ind w:left="425" w:hanging="425"/>
      </w:pPr>
      <w:rPr>
        <w:rFonts w:hint="default"/>
      </w:rPr>
    </w:lvl>
  </w:abstractNum>
  <w:abstractNum w:abstractNumId="4">
    <w:nsid w:val="36AE33EB"/>
    <w:multiLevelType w:val="singleLevel"/>
    <w:tmpl w:val="36AE33EB"/>
    <w:lvl w:ilvl="0" w:tentative="0">
      <w:start w:val="1"/>
      <w:numFmt w:val="decimal"/>
      <w:lvlText w:val="(%1)"/>
      <w:lvlJc w:val="left"/>
      <w:pPr>
        <w:ind w:left="425" w:hanging="425"/>
      </w:pPr>
      <w:rPr>
        <w:rFonts w:hint="default"/>
      </w:rPr>
    </w:lvl>
  </w:abstractNum>
  <w:abstractNum w:abstractNumId="5">
    <w:nsid w:val="72CCA1C2"/>
    <w:multiLevelType w:val="singleLevel"/>
    <w:tmpl w:val="72CCA1C2"/>
    <w:lvl w:ilvl="0" w:tentative="0">
      <w:start w:val="1"/>
      <w:numFmt w:val="decimal"/>
      <w:lvlText w:val="(%1)"/>
      <w:lvlJc w:val="left"/>
      <w:pPr>
        <w:ind w:left="425" w:hanging="425"/>
      </w:pPr>
      <w:rPr>
        <w:rFonts w:hint="default"/>
      </w:rPr>
    </w:lvl>
  </w:abstractNum>
  <w:abstractNum w:abstractNumId="6">
    <w:nsid w:val="77A6CEAA"/>
    <w:multiLevelType w:val="singleLevel"/>
    <w:tmpl w:val="77A6CEAA"/>
    <w:lvl w:ilvl="0" w:tentative="0">
      <w:start w:val="1"/>
      <w:numFmt w:val="decimal"/>
      <w:lvlText w:val="(%1)"/>
      <w:lvlJc w:val="left"/>
      <w:pPr>
        <w:ind w:left="425" w:hanging="425"/>
      </w:pPr>
      <w:rPr>
        <w:rFonts w:hint="default"/>
      </w:rPr>
    </w:lvl>
  </w:abstractNum>
  <w:num w:numId="1">
    <w:abstractNumId w:val="0"/>
  </w:num>
  <w:num w:numId="2">
    <w:abstractNumId w:val="4"/>
  </w:num>
  <w:num w:numId="3">
    <w:abstractNumId w:val="1"/>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2C0477"/>
    <w:rsid w:val="0033114D"/>
    <w:rsid w:val="00425A1B"/>
    <w:rsid w:val="005C37D8"/>
    <w:rsid w:val="006038E5"/>
    <w:rsid w:val="00617ED8"/>
    <w:rsid w:val="007D16B8"/>
    <w:rsid w:val="008248FA"/>
    <w:rsid w:val="008875A8"/>
    <w:rsid w:val="00936276"/>
    <w:rsid w:val="009D476B"/>
    <w:rsid w:val="009E3E1B"/>
    <w:rsid w:val="00B71F36"/>
    <w:rsid w:val="00C21A53"/>
    <w:rsid w:val="00D12CCD"/>
    <w:rsid w:val="00DA49F5"/>
    <w:rsid w:val="00DD3395"/>
    <w:rsid w:val="00E1589E"/>
    <w:rsid w:val="00E41409"/>
    <w:rsid w:val="00E568F2"/>
    <w:rsid w:val="00ED4C7B"/>
    <w:rsid w:val="00F16D0A"/>
    <w:rsid w:val="00FB6327"/>
    <w:rsid w:val="00FE2B5A"/>
    <w:rsid w:val="01E0373D"/>
    <w:rsid w:val="02BA3F8E"/>
    <w:rsid w:val="032B6C3A"/>
    <w:rsid w:val="03F4702C"/>
    <w:rsid w:val="04293179"/>
    <w:rsid w:val="047D1717"/>
    <w:rsid w:val="051200B1"/>
    <w:rsid w:val="05545FD4"/>
    <w:rsid w:val="06680FFF"/>
    <w:rsid w:val="070B6B66"/>
    <w:rsid w:val="070D2737"/>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5BF7042"/>
    <w:rsid w:val="25FC0296"/>
    <w:rsid w:val="26C2328E"/>
    <w:rsid w:val="27805908"/>
    <w:rsid w:val="27A26C1B"/>
    <w:rsid w:val="289E0ED0"/>
    <w:rsid w:val="296A5517"/>
    <w:rsid w:val="29F574D6"/>
    <w:rsid w:val="2A224043"/>
    <w:rsid w:val="2C9F16FD"/>
    <w:rsid w:val="2D7B07E4"/>
    <w:rsid w:val="2E9D638E"/>
    <w:rsid w:val="2EA65243"/>
    <w:rsid w:val="2F104DB2"/>
    <w:rsid w:val="2FA21EAE"/>
    <w:rsid w:val="30C65728"/>
    <w:rsid w:val="31097D0B"/>
    <w:rsid w:val="311B1C02"/>
    <w:rsid w:val="31554CFE"/>
    <w:rsid w:val="31AC0DC2"/>
    <w:rsid w:val="326A47D9"/>
    <w:rsid w:val="32BB6DE3"/>
    <w:rsid w:val="33174961"/>
    <w:rsid w:val="3334124E"/>
    <w:rsid w:val="339A4C4A"/>
    <w:rsid w:val="33A87367"/>
    <w:rsid w:val="34076784"/>
    <w:rsid w:val="35001221"/>
    <w:rsid w:val="351F7AFD"/>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98008D"/>
    <w:rsid w:val="47E10C42"/>
    <w:rsid w:val="491C4628"/>
    <w:rsid w:val="49866F54"/>
    <w:rsid w:val="499E6DEB"/>
    <w:rsid w:val="49C10D2B"/>
    <w:rsid w:val="49E93701"/>
    <w:rsid w:val="4A3D4856"/>
    <w:rsid w:val="4B2E21B9"/>
    <w:rsid w:val="4C875885"/>
    <w:rsid w:val="4CD314A1"/>
    <w:rsid w:val="4D150366"/>
    <w:rsid w:val="4D9E1AAF"/>
    <w:rsid w:val="500876B4"/>
    <w:rsid w:val="50830AE8"/>
    <w:rsid w:val="511205D2"/>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BF238A1"/>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67429DE"/>
    <w:rsid w:val="678B49FB"/>
    <w:rsid w:val="67BF46A4"/>
    <w:rsid w:val="683926A8"/>
    <w:rsid w:val="684D7F02"/>
    <w:rsid w:val="685E210F"/>
    <w:rsid w:val="68D128E1"/>
    <w:rsid w:val="693D54D2"/>
    <w:rsid w:val="6A1D1B56"/>
    <w:rsid w:val="6AD018B4"/>
    <w:rsid w:val="6B036F9E"/>
    <w:rsid w:val="6B5B0B88"/>
    <w:rsid w:val="6B662E80"/>
    <w:rsid w:val="6BE0108D"/>
    <w:rsid w:val="6C7434BE"/>
    <w:rsid w:val="6C753814"/>
    <w:rsid w:val="6CC8224D"/>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0B180E"/>
    <w:rsid w:val="7C52740B"/>
    <w:rsid w:val="7C5B0E2F"/>
    <w:rsid w:val="7CAA7279"/>
    <w:rsid w:val="7D0D15B6"/>
    <w:rsid w:val="7D2C67A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3146</Words>
  <Characters>3258</Characters>
  <Lines>9</Lines>
  <Paragraphs>2</Paragraphs>
  <TotalTime>0</TotalTime>
  <ScaleCrop>false</ScaleCrop>
  <LinksUpToDate>false</LinksUpToDate>
  <CharactersWithSpaces>3260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2025-09-16T11:40:33Z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C67A45026BA94D0CBE700EEF9AFD0F07_13</vt:lpwstr>
  </property>
  <property fmtid="{D5CDD505-2E9C-101B-9397-08002B2CF9AE}" pid="4" name="KSOTemplateDocerSaveRecord">
    <vt:lpwstr>eyJoZGlkIjoiYWJlMTc4NGIxMGQzZGM3ZTI0N2NkOWFkZjAxZDY0MjciLCJ1c2VySWQiOiIzODg4NjQwMzAifQ==</vt:lpwstr>
  </property>
</Properties>
</file>