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9648" w:type="dxa"/>
        <w:tblInd w:w="-4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590"/>
        <w:gridCol w:w="1455"/>
        <w:gridCol w:w="1785"/>
        <w:gridCol w:w="1575"/>
        <w:gridCol w:w="1665"/>
      </w:tblGrid>
      <w:tr w14:paraId="00FB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exact"/>
        </w:trPr>
        <w:tc>
          <w:tcPr>
            <w:tcW w:w="1578" w:type="dxa"/>
            <w:vAlign w:val="center"/>
          </w:tcPr>
          <w:p w14:paraId="34458970">
            <w:pPr>
              <w:snapToGrid w:val="0"/>
              <w:spacing w:line="300" w:lineRule="auto"/>
              <w:jc w:val="center"/>
              <w:rPr>
                <w:rFonts w:hint="eastAsia" w:ascii="宋体" w:hAnsi="宋体"/>
                <w:color w:val="auto"/>
                <w:kern w:val="0"/>
                <w:sz w:val="20"/>
              </w:rPr>
            </w:pPr>
            <w:r>
              <w:rPr>
                <w:rFonts w:hint="eastAsia" w:ascii="宋体" w:hAnsi="宋体"/>
                <w:color w:val="auto"/>
                <w:kern w:val="0"/>
                <w:sz w:val="20"/>
              </w:rPr>
              <w:t>文件名称</w:t>
            </w:r>
          </w:p>
        </w:tc>
        <w:tc>
          <w:tcPr>
            <w:tcW w:w="3045" w:type="dxa"/>
            <w:gridSpan w:val="2"/>
            <w:tcBorders>
              <w:top w:val="single" w:color="auto" w:sz="4" w:space="0"/>
              <w:bottom w:val="single" w:color="auto" w:sz="4" w:space="0"/>
              <w:right w:val="single" w:color="auto" w:sz="4" w:space="0"/>
            </w:tcBorders>
            <w:vAlign w:val="center"/>
          </w:tcPr>
          <w:p w14:paraId="7B270770">
            <w:pPr>
              <w:snapToGrid w:val="0"/>
              <w:spacing w:line="300" w:lineRule="auto"/>
              <w:jc w:val="center"/>
              <w:rPr>
                <w:rFonts w:ascii="宋体" w:hAnsi="宋体"/>
                <w:b/>
                <w:color w:val="auto"/>
                <w:kern w:val="0"/>
                <w:sz w:val="24"/>
                <w:szCs w:val="24"/>
              </w:rPr>
            </w:pPr>
            <w:r>
              <w:rPr>
                <w:rFonts w:hint="eastAsia" w:ascii="宋体" w:hAnsi="宋体"/>
                <w:b/>
                <w:color w:val="auto"/>
                <w:kern w:val="0"/>
                <w:sz w:val="24"/>
                <w:szCs w:val="24"/>
              </w:rPr>
              <w:t>科研项目立项报告书</w:t>
            </w:r>
          </w:p>
        </w:tc>
        <w:tc>
          <w:tcPr>
            <w:tcW w:w="1785" w:type="dxa"/>
            <w:tcBorders>
              <w:left w:val="single" w:color="auto" w:sz="4" w:space="0"/>
            </w:tcBorders>
            <w:vAlign w:val="center"/>
          </w:tcPr>
          <w:p w14:paraId="6F644874">
            <w:pPr>
              <w:snapToGrid w:val="0"/>
              <w:spacing w:line="300" w:lineRule="auto"/>
              <w:jc w:val="center"/>
              <w:rPr>
                <w:rFonts w:hint="eastAsia" w:ascii="宋体" w:hAnsi="宋体"/>
                <w:color w:val="auto"/>
                <w:kern w:val="0"/>
                <w:sz w:val="20"/>
              </w:rPr>
            </w:pPr>
            <w:r>
              <w:rPr>
                <w:rFonts w:hint="eastAsia" w:ascii="宋体" w:hAnsi="宋体"/>
                <w:color w:val="auto"/>
                <w:kern w:val="0"/>
                <w:sz w:val="20"/>
              </w:rPr>
              <w:t>立项编号</w:t>
            </w:r>
          </w:p>
        </w:tc>
        <w:tc>
          <w:tcPr>
            <w:tcW w:w="3240" w:type="dxa"/>
            <w:gridSpan w:val="2"/>
            <w:tcBorders>
              <w:bottom w:val="single" w:color="auto" w:sz="4" w:space="0"/>
            </w:tcBorders>
            <w:vAlign w:val="center"/>
          </w:tcPr>
          <w:p w14:paraId="7AF074F5">
            <w:pPr>
              <w:snapToGrid w:val="0"/>
              <w:spacing w:line="300" w:lineRule="auto"/>
              <w:jc w:val="center"/>
              <w:rPr>
                <w:rFonts w:hint="default" w:ascii="宋体" w:hAnsi="宋体"/>
                <w:color w:val="auto"/>
                <w:kern w:val="0"/>
                <w:sz w:val="20"/>
                <w:lang w:val="en-US"/>
              </w:rPr>
            </w:pPr>
            <w:r>
              <w:rPr>
                <w:rFonts w:hint="eastAsia" w:ascii="宋体" w:hAnsi="宋体"/>
                <w:color w:val="auto"/>
                <w:kern w:val="0"/>
                <w:sz w:val="20"/>
                <w:lang w:val="en-US" w:eastAsia="zh-CN"/>
              </w:rPr>
              <w:t>RD03</w:t>
            </w:r>
          </w:p>
        </w:tc>
      </w:tr>
      <w:tr w14:paraId="5E24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exact"/>
        </w:trPr>
        <w:tc>
          <w:tcPr>
            <w:tcW w:w="1578" w:type="dxa"/>
            <w:vAlign w:val="center"/>
          </w:tcPr>
          <w:p w14:paraId="489EDD20">
            <w:pPr>
              <w:snapToGrid w:val="0"/>
              <w:spacing w:line="300" w:lineRule="auto"/>
              <w:jc w:val="center"/>
              <w:rPr>
                <w:rFonts w:hint="eastAsia" w:ascii="宋体" w:hAnsi="宋体"/>
                <w:color w:val="auto"/>
                <w:kern w:val="0"/>
                <w:sz w:val="20"/>
              </w:rPr>
            </w:pPr>
            <w:r>
              <w:rPr>
                <w:rFonts w:hint="eastAsia" w:ascii="宋体" w:hAnsi="宋体"/>
                <w:color w:val="auto"/>
                <w:kern w:val="0"/>
                <w:sz w:val="20"/>
              </w:rPr>
              <w:t>制定人</w:t>
            </w:r>
          </w:p>
        </w:tc>
        <w:tc>
          <w:tcPr>
            <w:tcW w:w="1590" w:type="dxa"/>
            <w:tcBorders>
              <w:top w:val="single" w:color="auto" w:sz="4" w:space="0"/>
            </w:tcBorders>
            <w:vAlign w:val="center"/>
          </w:tcPr>
          <w:p w14:paraId="4E6BA217">
            <w:pPr>
              <w:snapToGrid w:val="0"/>
              <w:spacing w:line="300" w:lineRule="auto"/>
              <w:jc w:val="center"/>
              <w:rPr>
                <w:rFonts w:hint="eastAsia" w:ascii="宋体" w:hAnsi="宋体" w:eastAsia="宋体"/>
                <w:color w:val="auto"/>
                <w:kern w:val="0"/>
                <w:sz w:val="20"/>
                <w:szCs w:val="21"/>
                <w:lang w:val="en-US" w:eastAsia="zh-CN"/>
              </w:rPr>
            </w:pPr>
            <w:r>
              <w:rPr>
                <w:rFonts w:hint="eastAsia" w:ascii="宋体" w:hAnsi="宋体"/>
                <w:color w:val="auto"/>
                <w:kern w:val="0"/>
                <w:sz w:val="20"/>
                <w:szCs w:val="21"/>
                <w:lang w:val="en-US" w:eastAsia="zh-CN"/>
              </w:rPr>
              <w:t>研发部</w:t>
            </w:r>
          </w:p>
        </w:tc>
        <w:tc>
          <w:tcPr>
            <w:tcW w:w="1455" w:type="dxa"/>
            <w:tcBorders>
              <w:top w:val="single" w:color="auto" w:sz="4" w:space="0"/>
            </w:tcBorders>
            <w:vAlign w:val="center"/>
          </w:tcPr>
          <w:p w14:paraId="64C002DD">
            <w:pPr>
              <w:snapToGrid w:val="0"/>
              <w:spacing w:line="300" w:lineRule="auto"/>
              <w:jc w:val="center"/>
              <w:rPr>
                <w:rFonts w:hint="eastAsia" w:ascii="宋体" w:hAnsi="宋体"/>
                <w:color w:val="auto"/>
                <w:kern w:val="0"/>
                <w:sz w:val="20"/>
              </w:rPr>
            </w:pPr>
            <w:r>
              <w:rPr>
                <w:rFonts w:hint="eastAsia" w:ascii="宋体" w:hAnsi="宋体"/>
                <w:color w:val="auto"/>
                <w:kern w:val="0"/>
                <w:sz w:val="20"/>
              </w:rPr>
              <w:t>审批人</w:t>
            </w:r>
          </w:p>
        </w:tc>
        <w:tc>
          <w:tcPr>
            <w:tcW w:w="1785" w:type="dxa"/>
            <w:tcBorders>
              <w:right w:val="single" w:color="auto" w:sz="4" w:space="0"/>
            </w:tcBorders>
            <w:vAlign w:val="center"/>
          </w:tcPr>
          <w:p w14:paraId="7A64DA92">
            <w:pPr>
              <w:snapToGrid w:val="0"/>
              <w:spacing w:line="300" w:lineRule="auto"/>
              <w:jc w:val="center"/>
              <w:rPr>
                <w:rFonts w:hint="default" w:ascii="宋体" w:hAnsi="宋体" w:eastAsia="宋体"/>
                <w:color w:val="auto"/>
                <w:kern w:val="0"/>
                <w:sz w:val="20"/>
                <w:lang w:val="en-US" w:eastAsia="zh-CN"/>
              </w:rPr>
            </w:pPr>
            <w:r>
              <w:rPr>
                <w:rFonts w:hint="default" w:ascii="宋体" w:hAnsi="宋体" w:eastAsia="宋体"/>
                <w:color w:val="auto"/>
                <w:kern w:val="0"/>
                <w:sz w:val="20"/>
                <w:lang w:val="en-US" w:eastAsia="zh-CN"/>
              </w:rPr>
              <w:t>倪进</w:t>
            </w:r>
          </w:p>
        </w:tc>
        <w:tc>
          <w:tcPr>
            <w:tcW w:w="1575" w:type="dxa"/>
            <w:tcBorders>
              <w:top w:val="single" w:color="auto" w:sz="4" w:space="0"/>
              <w:left w:val="single" w:color="auto" w:sz="4" w:space="0"/>
              <w:bottom w:val="single" w:color="auto" w:sz="4" w:space="0"/>
              <w:right w:val="single" w:color="auto" w:sz="4" w:space="0"/>
            </w:tcBorders>
            <w:vAlign w:val="center"/>
          </w:tcPr>
          <w:p w14:paraId="3A3D8890">
            <w:pPr>
              <w:snapToGrid w:val="0"/>
              <w:spacing w:line="300" w:lineRule="auto"/>
              <w:ind w:right="-409" w:rightChars="-195"/>
              <w:jc w:val="center"/>
              <w:rPr>
                <w:rFonts w:hint="eastAsia" w:ascii="宋体" w:hAnsi="宋体"/>
                <w:color w:val="auto"/>
                <w:kern w:val="0"/>
                <w:sz w:val="20"/>
              </w:rPr>
            </w:pPr>
            <w:r>
              <w:rPr>
                <w:rFonts w:hint="eastAsia" w:ascii="宋体" w:hAnsi="宋体"/>
                <w:color w:val="auto"/>
                <w:kern w:val="0"/>
                <w:sz w:val="20"/>
              </w:rPr>
              <w:t>签批人</w:t>
            </w:r>
          </w:p>
        </w:tc>
        <w:tc>
          <w:tcPr>
            <w:tcW w:w="1665" w:type="dxa"/>
            <w:tcBorders>
              <w:top w:val="single" w:color="auto" w:sz="4" w:space="0"/>
              <w:left w:val="single" w:color="auto" w:sz="4" w:space="0"/>
              <w:bottom w:val="single" w:color="auto" w:sz="4" w:space="0"/>
            </w:tcBorders>
            <w:vAlign w:val="center"/>
          </w:tcPr>
          <w:p w14:paraId="4337A846">
            <w:pPr>
              <w:snapToGrid w:val="0"/>
              <w:spacing w:line="300" w:lineRule="auto"/>
              <w:jc w:val="center"/>
              <w:rPr>
                <w:rFonts w:ascii="宋体" w:hAnsi="宋体"/>
                <w:color w:val="auto"/>
                <w:kern w:val="0"/>
                <w:sz w:val="20"/>
              </w:rPr>
            </w:pPr>
            <w:r>
              <w:rPr>
                <w:rFonts w:hint="eastAsia" w:ascii="宋体" w:hAnsi="宋体"/>
                <w:color w:val="auto"/>
                <w:kern w:val="0"/>
                <w:sz w:val="20"/>
              </w:rPr>
              <w:t>杜雪良</w:t>
            </w:r>
          </w:p>
        </w:tc>
      </w:tr>
    </w:tbl>
    <w:p w14:paraId="70BF6A16">
      <w:pPr>
        <w:snapToGrid w:val="0"/>
        <w:jc w:val="center"/>
        <w:rPr>
          <w:rFonts w:hint="eastAsia" w:ascii="仿宋_GB2312" w:hAnsi="宋体" w:eastAsia="仿宋_GB2312"/>
          <w:color w:val="auto"/>
          <w:sz w:val="28"/>
          <w:szCs w:val="28"/>
        </w:rPr>
      </w:pPr>
    </w:p>
    <w:p w14:paraId="2923D9BB">
      <w:pPr>
        <w:snapToGrid w:val="0"/>
        <w:jc w:val="center"/>
        <w:rPr>
          <w:rFonts w:hint="eastAsia" w:ascii="仿宋_GB2312" w:hAnsi="宋体" w:eastAsia="仿宋_GB2312"/>
          <w:color w:val="auto"/>
          <w:sz w:val="28"/>
          <w:szCs w:val="28"/>
        </w:rPr>
      </w:pPr>
    </w:p>
    <w:p w14:paraId="19B7885B">
      <w:pPr>
        <w:snapToGrid w:val="0"/>
        <w:jc w:val="center"/>
        <w:rPr>
          <w:rFonts w:hint="eastAsia" w:ascii="仿宋_GB2312" w:hAnsi="宋体" w:eastAsia="仿宋_GB2312"/>
          <w:color w:val="auto"/>
          <w:sz w:val="28"/>
          <w:szCs w:val="28"/>
        </w:rPr>
      </w:pPr>
    </w:p>
    <w:p w14:paraId="45A5E4AC">
      <w:pPr>
        <w:snapToGrid w:val="0"/>
        <w:jc w:val="center"/>
        <w:rPr>
          <w:rFonts w:hint="eastAsia" w:ascii="仿宋_GB2312" w:hAnsi="宋体" w:eastAsia="仿宋_GB2312"/>
          <w:color w:val="auto"/>
          <w:sz w:val="28"/>
          <w:szCs w:val="28"/>
        </w:rPr>
      </w:pPr>
    </w:p>
    <w:p w14:paraId="65C55AD2">
      <w:pPr>
        <w:snapToGrid w:val="0"/>
        <w:jc w:val="center"/>
        <w:rPr>
          <w:rFonts w:hint="eastAsia" w:ascii="仿宋_GB2312" w:hAnsi="宋体" w:eastAsia="仿宋_GB2312"/>
          <w:color w:val="auto"/>
          <w:sz w:val="28"/>
          <w:szCs w:val="28"/>
        </w:rPr>
      </w:pPr>
      <w:r>
        <w:rPr>
          <w:rFonts w:hint="eastAsia" w:ascii="宋体" w:hAnsi="宋体" w:cs="宋体"/>
          <w:color w:val="auto"/>
          <w:sz w:val="32"/>
          <w:szCs w:val="32"/>
        </w:rPr>
        <w:pict>
          <v:shape id="_x0000_i1025" o:spt="75" alt="b718d151-a529-424b-9f16-4005debe9ad9" type="#_x0000_t75" style="height:58.4pt;width:133.35pt;" filled="f" o:preferrelative="t" stroked="f" coordsize="21600,21600">
            <v:path/>
            <v:fill on="f" focussize="0,0"/>
            <v:stroke on="f"/>
            <v:imagedata r:id="rId5" cropbottom="8133f" chromakey="#FFFFFF" o:title="b718d151-a529-424b-9f16-4005debe9ad9"/>
            <o:lock v:ext="edit" aspectratio="t"/>
            <w10:wrap type="none"/>
            <w10:anchorlock/>
          </v:shape>
        </w:pict>
      </w:r>
    </w:p>
    <w:p w14:paraId="4689FEA5">
      <w:pPr>
        <w:rPr>
          <w:rFonts w:hint="eastAsia"/>
          <w:color w:val="auto"/>
        </w:rPr>
      </w:pPr>
    </w:p>
    <w:p w14:paraId="5325BDCC">
      <w:pPr>
        <w:rPr>
          <w:rFonts w:hint="eastAsia"/>
          <w:color w:val="auto"/>
        </w:rPr>
      </w:pPr>
    </w:p>
    <w:p w14:paraId="79FE3F88">
      <w:pPr>
        <w:rPr>
          <w:rFonts w:hint="eastAsia"/>
          <w:color w:val="auto"/>
        </w:rPr>
      </w:pPr>
    </w:p>
    <w:p w14:paraId="4CC00A63">
      <w:pPr>
        <w:pStyle w:val="2"/>
        <w:snapToGrid w:val="0"/>
        <w:spacing w:before="120" w:after="312" w:afterLines="100" w:line="240" w:lineRule="auto"/>
        <w:ind w:firstLine="0"/>
        <w:jc w:val="center"/>
        <w:rPr>
          <w:rFonts w:hint="eastAsia" w:ascii="宋体" w:hAnsi="宋体" w:eastAsia="宋体"/>
          <w:color w:val="auto"/>
          <w:sz w:val="72"/>
          <w:szCs w:val="72"/>
        </w:rPr>
      </w:pPr>
      <w:r>
        <w:rPr>
          <w:rFonts w:hint="eastAsia" w:ascii="宋体" w:hAnsi="宋体" w:eastAsia="宋体"/>
          <w:color w:val="auto"/>
          <w:sz w:val="72"/>
          <w:szCs w:val="72"/>
        </w:rPr>
        <w:t>《科研项目立项报告书》</w:t>
      </w:r>
    </w:p>
    <w:p w14:paraId="785E1E3B">
      <w:pPr>
        <w:rPr>
          <w:rFonts w:hint="eastAsia"/>
          <w:color w:val="auto"/>
        </w:rPr>
      </w:pPr>
    </w:p>
    <w:p w14:paraId="52076639">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b/>
          <w:color w:val="auto"/>
          <w:sz w:val="32"/>
          <w:szCs w:val="32"/>
        </w:rPr>
      </w:pPr>
      <w:r>
        <w:rPr>
          <w:rFonts w:hint="eastAsia" w:ascii="仿宋_GB2312" w:hAnsi="宋体" w:eastAsia="仿宋_GB2312"/>
          <w:b/>
          <w:color w:val="auto"/>
          <w:sz w:val="32"/>
          <w:szCs w:val="32"/>
        </w:rPr>
        <w:t>项目名称：抗静电水性环氧树脂涂料的制备与应用研发</w:t>
      </w:r>
    </w:p>
    <w:p w14:paraId="06FF93B7">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b/>
          <w:color w:val="auto"/>
          <w:sz w:val="32"/>
          <w:szCs w:val="32"/>
        </w:rPr>
      </w:pPr>
      <w:r>
        <w:rPr>
          <w:rFonts w:hint="eastAsia" w:ascii="仿宋_GB2312" w:hAnsi="宋体" w:eastAsia="仿宋_GB2312"/>
          <w:b/>
          <w:color w:val="auto"/>
          <w:sz w:val="32"/>
          <w:szCs w:val="32"/>
        </w:rPr>
        <w:t>所属领域：新材料--金属材料--铝、铜、镁、钛合金清洁生产与深加工技术</w:t>
      </w:r>
    </w:p>
    <w:p w14:paraId="3270473A">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rPr>
      </w:pPr>
      <w:r>
        <w:rPr>
          <w:rFonts w:hint="eastAsia" w:ascii="仿宋_GB2312" w:hAnsi="宋体" w:eastAsia="仿宋_GB2312"/>
          <w:b/>
          <w:color w:val="auto"/>
          <w:sz w:val="32"/>
          <w:szCs w:val="32"/>
        </w:rPr>
        <w:t>承担单位：</w:t>
      </w:r>
      <w:r>
        <w:rPr>
          <w:rFonts w:hint="eastAsia" w:ascii="仿宋_GB2312" w:hAnsi="宋体" w:eastAsia="仿宋_GB2312" w:cs="Arial"/>
          <w:b/>
          <w:color w:val="auto"/>
          <w:sz w:val="32"/>
          <w:szCs w:val="32"/>
          <w:lang w:val="en-US" w:eastAsia="zh-CN"/>
        </w:rPr>
        <w:t>上海舜斯新材料科技有限公司</w:t>
      </w:r>
    </w:p>
    <w:p w14:paraId="4667C105">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lang w:val="en-US" w:eastAsia="zh-CN"/>
        </w:rPr>
      </w:pPr>
      <w:r>
        <w:rPr>
          <w:rFonts w:hint="eastAsia" w:ascii="仿宋_GB2312" w:hAnsi="宋体" w:eastAsia="仿宋_GB2312"/>
          <w:b/>
          <w:color w:val="auto"/>
          <w:sz w:val="32"/>
          <w:szCs w:val="32"/>
        </w:rPr>
        <w:t>管理</w:t>
      </w:r>
      <w:r>
        <w:rPr>
          <w:rFonts w:hint="eastAsia" w:ascii="仿宋_GB2312" w:hAnsi="宋体" w:eastAsia="仿宋_GB2312"/>
          <w:b/>
          <w:color w:val="auto"/>
          <w:sz w:val="32"/>
          <w:szCs w:val="32"/>
          <w:lang w:val="en-US" w:eastAsia="zh-CN"/>
        </w:rPr>
        <w:t>部门</w:t>
      </w:r>
      <w:r>
        <w:rPr>
          <w:rFonts w:hint="eastAsia" w:ascii="仿宋_GB2312" w:hAnsi="宋体" w:eastAsia="仿宋_GB2312"/>
          <w:b/>
          <w:color w:val="auto"/>
          <w:sz w:val="32"/>
          <w:szCs w:val="32"/>
        </w:rPr>
        <w:t>：</w:t>
      </w:r>
      <w:r>
        <w:rPr>
          <w:rFonts w:hint="eastAsia" w:ascii="仿宋_GB2312" w:hAnsi="宋体" w:eastAsia="仿宋_GB2312" w:cs="Arial"/>
          <w:b/>
          <w:color w:val="auto"/>
          <w:sz w:val="32"/>
          <w:szCs w:val="32"/>
          <w:lang w:val="en-US" w:eastAsia="zh-CN"/>
        </w:rPr>
        <w:t>研发部</w:t>
      </w:r>
    </w:p>
    <w:p w14:paraId="0FD3966D">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rPr>
      </w:pPr>
      <w:r>
        <w:rPr>
          <w:rFonts w:hint="eastAsia" w:ascii="仿宋_GB2312" w:hAnsi="宋体" w:eastAsia="仿宋_GB2312" w:cs="Arial"/>
          <w:b/>
          <w:color w:val="auto"/>
          <w:sz w:val="32"/>
          <w:szCs w:val="32"/>
        </w:rPr>
        <w:t>起止时间：</w:t>
      </w:r>
      <w:r>
        <w:rPr>
          <w:rFonts w:hint="eastAsia" w:ascii="仿宋_GB2312" w:hAnsi="宋体" w:eastAsia="仿宋_GB2312" w:cs="Arial"/>
          <w:b/>
          <w:color w:val="auto"/>
          <w:sz w:val="32"/>
          <w:szCs w:val="32"/>
          <w:lang w:val="en-US" w:eastAsia="zh-CN"/>
        </w:rPr>
        <w:t>2022</w:t>
      </w:r>
      <w:r>
        <w:rPr>
          <w:rFonts w:hint="eastAsia" w:ascii="仿宋_GB2312" w:hAnsi="宋体" w:eastAsia="仿宋_GB2312" w:cs="Arial"/>
          <w:b/>
          <w:color w:val="auto"/>
          <w:sz w:val="32"/>
          <w:szCs w:val="32"/>
        </w:rPr>
        <w:t>年</w:t>
      </w:r>
      <w:r>
        <w:rPr>
          <w:rFonts w:hint="eastAsia" w:ascii="仿宋_GB2312" w:hAnsi="宋体" w:eastAsia="仿宋_GB2312" w:cs="Arial"/>
          <w:b/>
          <w:color w:val="auto"/>
          <w:sz w:val="32"/>
          <w:szCs w:val="32"/>
          <w:lang w:val="en-US" w:eastAsia="zh-CN"/>
        </w:rPr>
        <w:t>1</w:t>
      </w:r>
      <w:r>
        <w:rPr>
          <w:rFonts w:hint="eastAsia" w:ascii="仿宋_GB2312" w:hAnsi="宋体" w:eastAsia="仿宋_GB2312" w:cs="Arial"/>
          <w:b/>
          <w:color w:val="auto"/>
          <w:sz w:val="32"/>
          <w:szCs w:val="32"/>
        </w:rPr>
        <w:t>月-</w:t>
      </w:r>
      <w:r>
        <w:rPr>
          <w:rFonts w:hint="eastAsia" w:ascii="仿宋_GB2312" w:hAnsi="宋体" w:eastAsia="仿宋_GB2312" w:cs="Arial"/>
          <w:b/>
          <w:color w:val="auto"/>
          <w:sz w:val="32"/>
          <w:szCs w:val="32"/>
          <w:lang w:val="en-US" w:eastAsia="zh-CN"/>
        </w:rPr>
        <w:t>2022</w:t>
      </w:r>
      <w:r>
        <w:rPr>
          <w:rFonts w:hint="eastAsia" w:ascii="仿宋_GB2312" w:hAnsi="宋体" w:eastAsia="仿宋_GB2312" w:cs="Arial"/>
          <w:b/>
          <w:color w:val="auto"/>
          <w:sz w:val="32"/>
          <w:szCs w:val="32"/>
        </w:rPr>
        <w:t>年</w:t>
      </w:r>
      <w:r>
        <w:rPr>
          <w:rFonts w:hint="eastAsia" w:ascii="仿宋_GB2312" w:hAnsi="宋体" w:eastAsia="仿宋_GB2312" w:cs="Arial"/>
          <w:b/>
          <w:color w:val="auto"/>
          <w:sz w:val="32"/>
          <w:szCs w:val="32"/>
          <w:lang w:val="en-US" w:eastAsia="zh-CN"/>
        </w:rPr>
        <w:t>12</w:t>
      </w:r>
      <w:r>
        <w:rPr>
          <w:rFonts w:hint="eastAsia" w:ascii="仿宋_GB2312" w:hAnsi="宋体" w:eastAsia="仿宋_GB2312" w:cs="Arial"/>
          <w:b/>
          <w:color w:val="auto"/>
          <w:sz w:val="32"/>
          <w:szCs w:val="32"/>
        </w:rPr>
        <w:t>月</w:t>
      </w:r>
    </w:p>
    <w:p w14:paraId="238FAB44">
      <w:pPr>
        <w:snapToGrid w:val="0"/>
        <w:spacing w:after="312" w:afterLines="100" w:line="300" w:lineRule="auto"/>
        <w:ind w:left="1008" w:leftChars="480"/>
        <w:rPr>
          <w:rFonts w:hint="eastAsia" w:ascii="仿宋_GB2312" w:hAnsi="宋体" w:eastAsia="仿宋_GB2312" w:cs="Arial"/>
          <w:color w:val="auto"/>
          <w:sz w:val="28"/>
          <w:szCs w:val="28"/>
        </w:rPr>
      </w:pPr>
    </w:p>
    <w:p w14:paraId="2E8414D7">
      <w:pPr>
        <w:snapToGrid w:val="0"/>
        <w:spacing w:after="312" w:afterLines="100" w:line="300" w:lineRule="auto"/>
        <w:jc w:val="center"/>
        <w:rPr>
          <w:rFonts w:hint="eastAsia" w:ascii="仿宋_GB2312" w:hAnsi="宋体" w:eastAsia="仿宋_GB2312" w:cs="Arial"/>
          <w:color w:val="auto"/>
          <w:sz w:val="28"/>
          <w:szCs w:val="28"/>
        </w:rPr>
      </w:pPr>
      <w:r>
        <w:rPr>
          <w:rFonts w:hint="eastAsia" w:ascii="仿宋_GB2312" w:hAnsi="宋体" w:eastAsia="仿宋_GB2312" w:cs="Arial"/>
          <w:color w:val="auto"/>
          <w:sz w:val="28"/>
          <w:szCs w:val="28"/>
        </w:rPr>
        <w:t>上海舜斯新材料科技有限公司</w:t>
      </w:r>
    </w:p>
    <w:p w14:paraId="65ADDD98">
      <w:pPr>
        <w:snapToGrid w:val="0"/>
        <w:spacing w:after="312" w:afterLines="100" w:line="300" w:lineRule="auto"/>
        <w:jc w:val="center"/>
        <w:rPr>
          <w:rFonts w:ascii="Times New Roman" w:hAnsi="Times New Roman"/>
          <w:color w:val="auto"/>
        </w:rPr>
      </w:pPr>
      <w:r>
        <w:rPr>
          <w:rFonts w:hint="eastAsia" w:ascii="Times New Roman" w:hAnsi="Times New Roman"/>
          <w:color w:val="auto"/>
          <w:lang w:val="en-US" w:eastAsia="zh-CN"/>
        </w:rPr>
        <w:t>2022年</w:t>
      </w:r>
    </w:p>
    <w:p w14:paraId="4BA26117">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一、项目背景</w:t>
      </w:r>
    </w:p>
    <w:p w14:paraId="30C660A6">
      <w:pPr>
        <w:spacing w:line="360" w:lineRule="auto"/>
        <w:ind w:firstLine="440" w:firstLineChars="200"/>
        <w:rPr>
          <w:rFonts w:hint="eastAsia" w:ascii="Times New Roman" w:hAnsi="Times New Roman"/>
          <w:color w:val="auto"/>
          <w:sz w:val="22"/>
        </w:rPr>
      </w:pPr>
      <w:r>
        <w:rPr>
          <w:rFonts w:hint="eastAsia" w:ascii="Times New Roman" w:hAnsi="Times New Roman"/>
          <w:color w:val="auto"/>
          <w:sz w:val="22"/>
        </w:rPr>
        <w:t>随着电子、航空航天、汽车等高新技术产业的迅猛发展，材料表面防护技术面临更高要求，尤其在抗静电性能方面的需求日益凸显。传统溶剂型环氧树脂涂料在应用过程中易产生静电积聚，不仅存在引发火灾或爆炸的安全隐患，其较高的挥发性有机化合物（VOC）排放也对环境和人体健康造成不利影响，已难以满足现代工业绿色可持续发展的需求。</w:t>
      </w:r>
    </w:p>
    <w:p w14:paraId="2998FECB">
      <w:pPr>
        <w:spacing w:line="360" w:lineRule="auto"/>
        <w:ind w:firstLine="440" w:firstLineChars="200"/>
        <w:rPr>
          <w:rFonts w:hint="eastAsia" w:ascii="Times New Roman" w:hAnsi="Times New Roman"/>
          <w:color w:val="auto"/>
          <w:sz w:val="22"/>
        </w:rPr>
      </w:pPr>
      <w:r>
        <w:rPr>
          <w:rFonts w:hint="eastAsia" w:ascii="Times New Roman" w:hAnsi="Times New Roman"/>
          <w:color w:val="auto"/>
          <w:sz w:val="22"/>
        </w:rPr>
        <w:t>在此背景下，水性环氧树脂涂料凭借低VOC排放、环保、安全等显著优势，正逐步取代传统溶剂型产品，成为涂料行业转型升级的重点方向。近年来，国家政策大力倡导绿色低碳发展，进一步加速了水性涂料的技术革新与市场推广。</w:t>
      </w:r>
    </w:p>
    <w:p w14:paraId="02EEDF98">
      <w:pPr>
        <w:spacing w:line="360" w:lineRule="auto"/>
        <w:ind w:firstLine="440" w:firstLineChars="200"/>
        <w:rPr>
          <w:rFonts w:ascii="Times New Roman" w:hAnsi="Times New Roman"/>
          <w:color w:val="auto"/>
          <w:sz w:val="22"/>
          <w:szCs w:val="22"/>
        </w:rPr>
      </w:pPr>
      <w:r>
        <w:rPr>
          <w:rFonts w:hint="eastAsia" w:ascii="Times New Roman" w:hAnsi="Times New Roman"/>
          <w:color w:val="auto"/>
          <w:sz w:val="22"/>
        </w:rPr>
        <w:t>在国际上，欧美等发达国家在水性涂料领域起步较早，已建立起较为成熟的技术体系和产业生态，并持续引领技术创新：德国企业通过在水性环氧体系中引入纳米级导电材料，有效提升了涂层的导电性能，实现了抗静电功能的长效性与稳定性；美国部分科研机构聚焦分子结构设计，通过对环氧树脂乳液的改性优化，显著增强了涂层的附着力、耐候性及综合防护性能；日本企业则将智能化配方管理系统应用于水性涂料的生产流程，实现了从原料配比到工艺控制的精准管理，大幅提升了产品的一致性与生产效率。这些先进经验为我国水性环氧抗静电涂料的技术进步和产业化发展提供了有益借鉴，也预示着高性能、环保型功能涂料将在未来工业应用中扮演愈加关键的角色</w:t>
      </w:r>
      <w:r>
        <w:rPr>
          <w:rFonts w:ascii="Times New Roman" w:hAnsi="Times New Roman"/>
          <w:color w:val="auto"/>
          <w:sz w:val="22"/>
        </w:rPr>
        <w:t>。</w:t>
      </w:r>
    </w:p>
    <w:p w14:paraId="2F4E366D">
      <w:pPr>
        <w:spacing w:line="360" w:lineRule="auto"/>
        <w:ind w:firstLine="440" w:firstLineChars="200"/>
        <w:rPr>
          <w:rFonts w:ascii="Times New Roman" w:hAnsi="Times New Roman"/>
          <w:color w:val="auto"/>
          <w:sz w:val="22"/>
          <w:szCs w:val="22"/>
        </w:rPr>
      </w:pPr>
      <w:r>
        <w:rPr>
          <w:rFonts w:ascii="Times New Roman" w:hAnsi="Times New Roman"/>
          <w:color w:val="auto"/>
          <w:sz w:val="22"/>
        </w:rPr>
        <w:t>当前，我国在抗静电水性环氧树脂涂料领域仍存在技术瓶颈，制约了其在高端制造领域的应用。本项目结合公司现有技术基础，融合绿色制造理念与智能化管理手段，开展抗静电水性环氧树脂涂料的研发与应用探索，具有重要的现实意义和产业推广价值。</w:t>
      </w:r>
    </w:p>
    <w:p w14:paraId="669171EA">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二、项目目标</w:t>
      </w:r>
    </w:p>
    <w:p w14:paraId="18761A1B">
      <w:pPr>
        <w:spacing w:line="360" w:lineRule="auto"/>
        <w:ind w:left="420" w:leftChars="200"/>
        <w:rPr>
          <w:rFonts w:ascii="Times New Roman" w:hAnsi="Times New Roman" w:cs="Segoe UI"/>
          <w:color w:val="auto"/>
          <w:sz w:val="22"/>
          <w:szCs w:val="22"/>
        </w:rPr>
      </w:pPr>
      <w:r>
        <w:rPr>
          <w:rFonts w:ascii="Times New Roman" w:hAnsi="Times New Roman"/>
          <w:color w:val="auto"/>
          <w:sz w:val="22"/>
        </w:rPr>
        <w:t>本项目聚焦于环保型功能涂料的研发，围绕抗静电水性环氧树脂涂料的制备与应用，实现以下技术目标：</w:t>
      </w:r>
    </w:p>
    <w:p w14:paraId="188EB2F1">
      <w:pPr>
        <w:numPr>
          <w:ilvl w:val="0"/>
          <w:numId w:val="1"/>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优化水性环氧乳液的制备工艺参数，提升乳液的储存稳定性与施工适应性；</w:t>
      </w:r>
    </w:p>
    <w:p w14:paraId="2DE9ADB5">
      <w:pPr>
        <w:numPr>
          <w:ilvl w:val="0"/>
          <w:numId w:val="1"/>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开发抗静电剂复合配伍技术复合体系，提升涂层的抗静电稳定性；</w:t>
      </w:r>
    </w:p>
    <w:p w14:paraId="633C5481">
      <w:pPr>
        <w:numPr>
          <w:ilvl w:val="0"/>
          <w:numId w:val="1"/>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环保型涂料配方设计，实现关键工艺参数的标准化控制；</w:t>
      </w:r>
    </w:p>
    <w:p w14:paraId="60C9104D">
      <w:pPr>
        <w:numPr>
          <w:ilvl w:val="0"/>
          <w:numId w:val="1"/>
        </w:numPr>
        <w:spacing w:line="360" w:lineRule="auto"/>
        <w:ind w:left="0" w:firstLine="440" w:firstLineChars="200"/>
        <w:rPr>
          <w:rFonts w:ascii="Times New Roman" w:hAnsi="Times New Roman" w:cs="Segoe UI"/>
          <w:color w:val="auto"/>
          <w:sz w:val="22"/>
          <w:szCs w:val="22"/>
        </w:rPr>
      </w:pPr>
      <w:r>
        <w:rPr>
          <w:rFonts w:hint="eastAsia" w:ascii="Times New Roman" w:hAnsi="Times New Roman"/>
          <w:color w:val="auto"/>
          <w:sz w:val="22"/>
          <w:lang w:val="en-US" w:eastAsia="zh-CN"/>
        </w:rPr>
        <w:t>涂</w:t>
      </w:r>
      <w:r>
        <w:rPr>
          <w:rFonts w:ascii="Times New Roman" w:hAnsi="Times New Roman"/>
          <w:color w:val="auto"/>
          <w:sz w:val="22"/>
        </w:rPr>
        <w:t>层性能调控技术</w:t>
      </w:r>
      <w:r>
        <w:rPr>
          <w:rFonts w:hint="eastAsia" w:ascii="Times New Roman" w:hAnsi="Times New Roman"/>
          <w:color w:val="auto"/>
          <w:sz w:val="22"/>
          <w:lang w:eastAsia="zh-CN"/>
        </w:rPr>
        <w:t>，</w:t>
      </w:r>
      <w:r>
        <w:rPr>
          <w:rFonts w:ascii="Times New Roman" w:hAnsi="Times New Roman"/>
          <w:color w:val="auto"/>
          <w:sz w:val="22"/>
        </w:rPr>
        <w:t>提升涂层附着力、耐腐蚀性和机械性能。</w:t>
      </w:r>
    </w:p>
    <w:p w14:paraId="37CF999D">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三、预期效益与挑战</w:t>
      </w:r>
    </w:p>
    <w:p w14:paraId="3F5BAAE8">
      <w:pPr>
        <w:spacing w:line="360" w:lineRule="auto"/>
        <w:rPr>
          <w:rFonts w:ascii="Times New Roman" w:hAnsi="Times New Roman"/>
          <w:color w:val="auto"/>
          <w:sz w:val="22"/>
          <w:szCs w:val="22"/>
        </w:rPr>
      </w:pPr>
      <w:r>
        <w:rPr>
          <w:rFonts w:hint="eastAsia" w:ascii="Times New Roman" w:hAnsi="Times New Roman"/>
          <w:color w:val="auto"/>
          <w:sz w:val="22"/>
          <w:szCs w:val="22"/>
        </w:rPr>
        <w:t>（一）预期效益</w:t>
      </w:r>
    </w:p>
    <w:p w14:paraId="64F3A5AE">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经济效益：项目完成后可实现抗静电水性环氧树脂涂料的稳定生产与市场推广，降低生产成本，提升产品附加值，预计产品毛利率可达40%以上。</w:t>
      </w:r>
    </w:p>
    <w:p w14:paraId="792C9AE1">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社会效益：推动涂料行业向环保、低VOC方向发展，减少有害物质排放，改善生产环境和空气质量。</w:t>
      </w:r>
    </w:p>
    <w:p w14:paraId="091C37D0">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技术效益：提升水性环氧树脂涂料的功能化水平，增强企业在高端涂料市场的技术竞争力，为后续产品开发提供技术基础。</w:t>
      </w:r>
    </w:p>
    <w:p w14:paraId="3B4BD200">
      <w:pPr>
        <w:spacing w:line="360" w:lineRule="auto"/>
        <w:rPr>
          <w:rFonts w:ascii="Times New Roman" w:hAnsi="Times New Roman" w:eastAsia="Segoe UI" w:cs="Segoe UI"/>
          <w:color w:val="auto"/>
          <w:sz w:val="22"/>
          <w:szCs w:val="22"/>
        </w:rPr>
      </w:pPr>
      <w:r>
        <w:rPr>
          <w:rFonts w:hint="eastAsia" w:ascii="Times New Roman" w:hAnsi="Times New Roman" w:eastAsia="Segoe UI" w:cs="Segoe UI"/>
          <w:color w:val="auto"/>
          <w:sz w:val="22"/>
          <w:szCs w:val="22"/>
        </w:rPr>
        <w:t>（二）面临的挑战</w:t>
      </w:r>
    </w:p>
    <w:p w14:paraId="7AD707AE">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技术难点：抗静电剂与水性环氧体系的相容性问题仍需进一步优化，确保涂层性能稳定。</w:t>
      </w:r>
    </w:p>
    <w:p w14:paraId="673C117D">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工艺控制：乳液制备过程中的温度、搅拌速率等参数对产品性能影响较大，需建立稳定的工艺控制体系。</w:t>
      </w:r>
    </w:p>
    <w:p w14:paraId="3F81E2E4">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市场接受度：水性涂料在部分应用领域仍面临传统溶剂型涂料的市场竞争，需加强客户教育与技术推广。</w:t>
      </w:r>
    </w:p>
    <w:p w14:paraId="17EE52E5">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项目预算：项目初步预算为</w:t>
      </w:r>
      <w:r>
        <w:rPr>
          <w:rFonts w:hint="eastAsia" w:ascii="Times New Roman" w:hAnsi="Times New Roman"/>
          <w:color w:val="auto"/>
          <w:sz w:val="22"/>
          <w:lang w:val="en-US" w:eastAsia="zh-CN"/>
        </w:rPr>
        <w:t>400</w:t>
      </w:r>
      <w:r>
        <w:rPr>
          <w:rFonts w:ascii="Times New Roman" w:hAnsi="Times New Roman"/>
          <w:color w:val="auto"/>
          <w:sz w:val="22"/>
        </w:rPr>
        <w:t>万元，主要用于原材料采购、设备调试、性能测试及系统开发等环节，具体金额将根据后续实施方案进一步明确。</w:t>
      </w:r>
    </w:p>
    <w:p w14:paraId="67A4869A">
      <w:pPr>
        <w:spacing w:line="360" w:lineRule="auto"/>
        <w:jc w:val="right"/>
        <w:rPr>
          <w:rFonts w:ascii="Times New Roman" w:hAnsi="Times New Roman"/>
          <w:color w:val="auto"/>
          <w:sz w:val="22"/>
          <w:szCs w:val="22"/>
        </w:rPr>
      </w:pPr>
    </w:p>
    <w:p w14:paraId="3687BEC8">
      <w:pPr>
        <w:spacing w:line="360" w:lineRule="auto"/>
        <w:jc w:val="right"/>
        <w:rPr>
          <w:rFonts w:hint="eastAsia" w:ascii="Times New Roman" w:hAnsi="Times New Roman" w:eastAsia="宋体"/>
          <w:color w:val="auto"/>
          <w:sz w:val="22"/>
          <w:szCs w:val="22"/>
          <w:lang w:eastAsia="zh-CN"/>
        </w:rPr>
      </w:pPr>
      <w:r>
        <w:rPr>
          <w:rFonts w:hint="eastAsia" w:ascii="Times New Roman" w:hAnsi="Times New Roman"/>
          <w:color w:val="auto"/>
          <w:sz w:val="22"/>
          <w:szCs w:val="22"/>
          <w:lang w:eastAsia="zh-CN"/>
        </w:rPr>
        <w:t>上海舜斯新材料科技有限公司</w:t>
      </w:r>
    </w:p>
    <w:p w14:paraId="36FBCD4C">
      <w:pPr>
        <w:spacing w:line="360" w:lineRule="auto"/>
        <w:jc w:val="right"/>
        <w:rPr>
          <w:rFonts w:hint="eastAsia" w:ascii="Times New Roman" w:hAnsi="Times New Roman"/>
          <w:color w:val="auto"/>
          <w:sz w:val="22"/>
          <w:szCs w:val="22"/>
        </w:rPr>
      </w:pPr>
      <w:r>
        <w:rPr>
          <w:rFonts w:hint="eastAsia" w:ascii="Times New Roman" w:hAnsi="Times New Roman"/>
          <w:color w:val="auto"/>
          <w:sz w:val="22"/>
          <w:szCs w:val="22"/>
          <w:lang w:eastAsia="zh-CN"/>
        </w:rPr>
        <w:t>2022年</w:t>
      </w:r>
      <w:r>
        <w:rPr>
          <w:rFonts w:hint="eastAsia" w:ascii="Times New Roman" w:hAnsi="Times New Roman"/>
          <w:color w:val="auto"/>
          <w:sz w:val="22"/>
          <w:szCs w:val="22"/>
        </w:rPr>
        <w:t>1月4日</w:t>
      </w:r>
    </w:p>
    <w:p w14:paraId="1D05A427">
      <w:pPr>
        <w:pStyle w:val="3"/>
        <w:jc w:val="center"/>
        <w:rPr>
          <w:rFonts w:ascii="Times New Roman" w:hAnsi="Times New Roman"/>
          <w:color w:val="auto"/>
          <w:sz w:val="36"/>
          <w:szCs w:val="28"/>
        </w:rPr>
      </w:pPr>
      <w:r>
        <w:rPr>
          <w:rFonts w:hint="eastAsia" w:ascii="Times New Roman" w:hAnsi="Times New Roman"/>
          <w:color w:val="auto"/>
          <w:sz w:val="22"/>
          <w:szCs w:val="22"/>
        </w:rPr>
        <w:br w:type="page"/>
      </w:r>
      <w:r>
        <w:rPr>
          <w:rFonts w:hint="eastAsia" w:ascii="Times New Roman" w:hAnsi="Times New Roman"/>
          <w:color w:val="auto"/>
          <w:sz w:val="36"/>
          <w:szCs w:val="28"/>
        </w:rPr>
        <w:t>项目立项通知</w:t>
      </w:r>
    </w:p>
    <w:p w14:paraId="0E7908EA">
      <w:pPr>
        <w:spacing w:line="360" w:lineRule="auto"/>
        <w:rPr>
          <w:rFonts w:ascii="Times New Roman" w:hAnsi="Times New Roman"/>
          <w:color w:val="auto"/>
          <w:sz w:val="22"/>
          <w:szCs w:val="28"/>
        </w:rPr>
      </w:pPr>
      <w:r>
        <w:rPr>
          <w:rFonts w:hint="eastAsia" w:ascii="Times New Roman" w:hAnsi="Times New Roman"/>
          <w:color w:val="auto"/>
          <w:sz w:val="22"/>
          <w:szCs w:val="28"/>
        </w:rPr>
        <w:t>各部门：</w:t>
      </w:r>
    </w:p>
    <w:p w14:paraId="5E7C1BE5">
      <w:pPr>
        <w:spacing w:line="360" w:lineRule="auto"/>
        <w:ind w:firstLine="440" w:firstLineChars="200"/>
        <w:rPr>
          <w:rFonts w:ascii="Times New Roman" w:hAnsi="Times New Roman"/>
          <w:color w:val="auto"/>
          <w:sz w:val="22"/>
          <w:szCs w:val="28"/>
        </w:rPr>
      </w:pPr>
      <w:r>
        <w:rPr>
          <w:rFonts w:ascii="Times New Roman" w:hAnsi="Times New Roman"/>
          <w:color w:val="auto"/>
          <w:sz w:val="22"/>
        </w:rPr>
        <w:t>随着工业技术的不断发展，环氧树脂涂料因其优异的性能被广泛应用于电子、航空航天、建筑等多个领域。然而，在实际应用过程中，静电的积累可能对产品性能和使用安全造成一定影响。为满足市场对材料抗静电性能的需求，同时提升涂料的环保性与适用性，我司决定立项研发“抗静电水性环氧树脂涂料的制备与应用研发”项目。请项目负责人</w:t>
      </w:r>
      <w:r>
        <w:rPr>
          <w:rFonts w:hint="eastAsia" w:ascii="Times New Roman" w:hAnsi="Times New Roman"/>
          <w:color w:val="auto"/>
          <w:sz w:val="22"/>
          <w:lang w:eastAsia="zh-CN"/>
        </w:rPr>
        <w:t>倪进</w:t>
      </w:r>
      <w:r>
        <w:rPr>
          <w:rFonts w:ascii="Times New Roman" w:hAnsi="Times New Roman"/>
          <w:color w:val="auto"/>
          <w:sz w:val="22"/>
        </w:rPr>
        <w:t>及团队成员严格按照项目计划执行，确保项目按时、按质、按量完成。同时，公司各相关部门应给予全力支持和配合，共同推动项目的顺利实施。</w:t>
      </w:r>
    </w:p>
    <w:p w14:paraId="393B4F19">
      <w:pPr>
        <w:spacing w:line="360" w:lineRule="auto"/>
        <w:ind w:firstLine="440" w:firstLineChars="200"/>
        <w:rPr>
          <w:rFonts w:ascii="Times New Roman" w:hAnsi="Times New Roman"/>
          <w:color w:val="auto"/>
          <w:sz w:val="22"/>
          <w:szCs w:val="28"/>
        </w:rPr>
      </w:pPr>
    </w:p>
    <w:p w14:paraId="3C24575F">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一、项目信息</w:t>
      </w:r>
    </w:p>
    <w:p w14:paraId="476C3A3E">
      <w:pPr>
        <w:spacing w:line="360" w:lineRule="auto"/>
        <w:rPr>
          <w:rFonts w:ascii="Times New Roman" w:hAnsi="Times New Roman"/>
          <w:color w:val="auto"/>
          <w:sz w:val="22"/>
          <w:szCs w:val="28"/>
        </w:rPr>
      </w:pPr>
      <w:r>
        <w:rPr>
          <w:rFonts w:hint="eastAsia" w:ascii="Times New Roman" w:hAnsi="Times New Roman"/>
          <w:color w:val="auto"/>
          <w:sz w:val="22"/>
          <w:szCs w:val="28"/>
        </w:rPr>
        <w:t>立项编号：</w:t>
      </w:r>
      <w:r>
        <w:rPr>
          <w:rFonts w:hint="eastAsia" w:ascii="Times New Roman" w:hAnsi="Times New Roman"/>
          <w:color w:val="auto"/>
          <w:sz w:val="22"/>
          <w:szCs w:val="28"/>
          <w:lang w:val="en-US" w:eastAsia="zh-CN"/>
        </w:rPr>
        <w:t>RD</w:t>
      </w:r>
      <w:r>
        <w:rPr>
          <w:rFonts w:hint="eastAsia" w:ascii="Times New Roman" w:hAnsi="Times New Roman"/>
          <w:color w:val="auto"/>
          <w:sz w:val="22"/>
          <w:szCs w:val="28"/>
        </w:rPr>
        <w:t>03</w:t>
      </w:r>
    </w:p>
    <w:p w14:paraId="7FF43A65">
      <w:pPr>
        <w:spacing w:line="360" w:lineRule="auto"/>
        <w:rPr>
          <w:rFonts w:ascii="Times New Roman" w:hAnsi="Times New Roman"/>
          <w:color w:val="auto"/>
          <w:sz w:val="22"/>
          <w:szCs w:val="28"/>
        </w:rPr>
      </w:pPr>
      <w:r>
        <w:rPr>
          <w:rFonts w:hint="eastAsia" w:ascii="Times New Roman" w:hAnsi="Times New Roman"/>
          <w:color w:val="auto"/>
          <w:sz w:val="22"/>
          <w:szCs w:val="28"/>
        </w:rPr>
        <w:t>发文日期：</w:t>
      </w:r>
      <w:r>
        <w:rPr>
          <w:rFonts w:hint="eastAsia" w:ascii="Times New Roman" w:hAnsi="Times New Roman"/>
          <w:color w:val="auto"/>
          <w:sz w:val="22"/>
          <w:szCs w:val="28"/>
          <w:lang w:eastAsia="zh-CN"/>
        </w:rPr>
        <w:t>2022年</w:t>
      </w:r>
      <w:r>
        <w:rPr>
          <w:rFonts w:hint="eastAsia" w:ascii="Times New Roman" w:hAnsi="Times New Roman"/>
          <w:color w:val="auto"/>
          <w:sz w:val="22"/>
          <w:szCs w:val="28"/>
        </w:rPr>
        <w:t>1月5日</w:t>
      </w:r>
    </w:p>
    <w:p w14:paraId="7D128DB7">
      <w:pPr>
        <w:spacing w:line="360" w:lineRule="auto"/>
        <w:rPr>
          <w:rFonts w:ascii="Times New Roman" w:hAnsi="Times New Roman"/>
          <w:color w:val="auto"/>
          <w:sz w:val="22"/>
          <w:szCs w:val="28"/>
        </w:rPr>
      </w:pPr>
      <w:r>
        <w:rPr>
          <w:rFonts w:hint="eastAsia" w:ascii="Times New Roman" w:hAnsi="Times New Roman"/>
          <w:color w:val="auto"/>
          <w:sz w:val="22"/>
          <w:szCs w:val="28"/>
        </w:rPr>
        <w:t>项目名称：</w:t>
      </w:r>
      <w:r>
        <w:rPr>
          <w:rFonts w:ascii="Times New Roman" w:hAnsi="Times New Roman"/>
          <w:color w:val="auto"/>
          <w:sz w:val="22"/>
        </w:rPr>
        <w:t>抗静电水性环氧树脂涂料的制备与应用研发</w:t>
      </w:r>
    </w:p>
    <w:p w14:paraId="66843304">
      <w:pPr>
        <w:spacing w:line="360" w:lineRule="auto"/>
        <w:rPr>
          <w:rFonts w:hint="default" w:ascii="Times New Roman" w:hAnsi="Times New Roman"/>
          <w:color w:val="auto"/>
          <w:sz w:val="22"/>
          <w:lang w:val="en-US"/>
        </w:rPr>
      </w:pPr>
      <w:bookmarkStart w:id="0" w:name="_GoBack"/>
      <w:bookmarkEnd w:id="0"/>
      <w:r>
        <w:rPr>
          <w:rFonts w:hint="eastAsia" w:ascii="Times New Roman" w:hAnsi="Times New Roman"/>
          <w:color w:val="auto"/>
          <w:sz w:val="22"/>
        </w:rPr>
        <w:t>项目团队：</w:t>
      </w:r>
      <w:r>
        <w:rPr>
          <w:rFonts w:hint="eastAsia" w:ascii="Times New Roman" w:hAnsi="Times New Roman"/>
          <w:color w:val="auto"/>
          <w:sz w:val="22"/>
          <w:lang w:eastAsia="zh-CN"/>
        </w:rPr>
        <w:t>倪进、</w:t>
      </w:r>
      <w:r>
        <w:rPr>
          <w:rFonts w:hint="eastAsia" w:ascii="Times New Roman" w:hAnsi="Times New Roman"/>
          <w:color w:val="auto"/>
          <w:sz w:val="22"/>
          <w:lang w:val="en-US" w:eastAsia="zh-CN"/>
        </w:rPr>
        <w:t>严天元、夏冬飞、杜雪良、丁小花、聂泽慧、龚久林、何琳琳、芦银行、胡代红、姜华、刘庆磊、路小珠、孙海梅、王丽霞、王平、倪先根、裴建斌、王志远、吴红艳、薛进刚、杨怀亮、张国强、张贤宝、杨通友、邸允浩、丁传彬</w:t>
      </w:r>
    </w:p>
    <w:p w14:paraId="61DBF887">
      <w:pPr>
        <w:spacing w:line="360" w:lineRule="auto"/>
        <w:rPr>
          <w:rFonts w:ascii="Times New Roman" w:hAnsi="Times New Roman"/>
          <w:color w:val="auto"/>
          <w:sz w:val="22"/>
          <w:szCs w:val="28"/>
        </w:rPr>
      </w:pPr>
      <w:r>
        <w:rPr>
          <w:rFonts w:hint="eastAsia" w:ascii="Times New Roman" w:hAnsi="Times New Roman"/>
          <w:color w:val="auto"/>
          <w:sz w:val="22"/>
          <w:szCs w:val="28"/>
        </w:rPr>
        <w:t>项目周期：</w:t>
      </w:r>
      <w:r>
        <w:rPr>
          <w:rFonts w:hint="eastAsia" w:ascii="Times New Roman" w:hAnsi="Times New Roman"/>
          <w:color w:val="auto"/>
          <w:sz w:val="22"/>
          <w:szCs w:val="28"/>
          <w:lang w:eastAsia="zh-CN"/>
        </w:rPr>
        <w:t>2022年</w:t>
      </w:r>
      <w:r>
        <w:rPr>
          <w:rFonts w:hint="eastAsia" w:ascii="Times New Roman" w:hAnsi="Times New Roman"/>
          <w:color w:val="auto"/>
          <w:sz w:val="22"/>
          <w:szCs w:val="28"/>
        </w:rPr>
        <w:t>01月04日至</w:t>
      </w:r>
      <w:r>
        <w:rPr>
          <w:rFonts w:hint="eastAsia" w:ascii="Times New Roman" w:hAnsi="Times New Roman"/>
          <w:color w:val="auto"/>
          <w:sz w:val="22"/>
          <w:szCs w:val="28"/>
          <w:lang w:eastAsia="zh-CN"/>
        </w:rPr>
        <w:t>2022年</w:t>
      </w:r>
      <w:r>
        <w:rPr>
          <w:rFonts w:hint="eastAsia" w:ascii="Times New Roman" w:hAnsi="Times New Roman"/>
          <w:color w:val="auto"/>
          <w:sz w:val="22"/>
          <w:szCs w:val="28"/>
        </w:rPr>
        <w:t>12月31日</w:t>
      </w:r>
    </w:p>
    <w:p w14:paraId="6A50D5A5">
      <w:pPr>
        <w:spacing w:line="360" w:lineRule="auto"/>
        <w:rPr>
          <w:rFonts w:ascii="Times New Roman" w:hAnsi="Times New Roman"/>
          <w:color w:val="auto"/>
          <w:sz w:val="22"/>
          <w:szCs w:val="28"/>
        </w:rPr>
      </w:pPr>
      <w:r>
        <w:rPr>
          <w:rFonts w:hint="eastAsia" w:ascii="Times New Roman" w:hAnsi="Times New Roman"/>
          <w:color w:val="auto"/>
          <w:sz w:val="22"/>
          <w:szCs w:val="28"/>
        </w:rPr>
        <w:t>项目预算：根据初步估算，项目总预算为</w:t>
      </w:r>
      <w:r>
        <w:rPr>
          <w:rFonts w:hint="eastAsia" w:ascii="Times New Roman" w:hAnsi="Times New Roman"/>
          <w:color w:val="auto"/>
          <w:sz w:val="22"/>
          <w:szCs w:val="28"/>
          <w:lang w:val="en-US" w:eastAsia="zh-CN"/>
        </w:rPr>
        <w:t>400</w:t>
      </w:r>
      <w:r>
        <w:rPr>
          <w:rFonts w:hint="eastAsia" w:ascii="Times New Roman" w:hAnsi="Times New Roman"/>
          <w:color w:val="auto"/>
          <w:sz w:val="22"/>
          <w:szCs w:val="28"/>
        </w:rPr>
        <w:t>万元（具体金额待细化后公布）</w:t>
      </w:r>
    </w:p>
    <w:p w14:paraId="719FAC8C">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二、工作要求</w:t>
      </w:r>
    </w:p>
    <w:p w14:paraId="7F9F5B81">
      <w:pPr>
        <w:spacing w:line="360" w:lineRule="auto"/>
        <w:ind w:firstLine="440" w:firstLineChars="200"/>
        <w:rPr>
          <w:rFonts w:ascii="Times New Roman" w:hAnsi="Times New Roman"/>
          <w:color w:val="auto"/>
          <w:sz w:val="22"/>
          <w:szCs w:val="28"/>
        </w:rPr>
      </w:pPr>
      <w:r>
        <w:rPr>
          <w:rFonts w:ascii="Times New Roman" w:hAnsi="Times New Roman"/>
          <w:color w:val="auto"/>
          <w:sz w:val="22"/>
        </w:rPr>
        <w:t>项目团队成员需严格按照项目进度安排开展工作，确保各阶段任务按时完成。</w:t>
      </w:r>
    </w:p>
    <w:p w14:paraId="579D7CD4">
      <w:pPr>
        <w:spacing w:line="360" w:lineRule="auto"/>
        <w:ind w:firstLine="440" w:firstLineChars="200"/>
        <w:rPr>
          <w:rFonts w:ascii="Times New Roman" w:hAnsi="Times New Roman"/>
          <w:color w:val="auto"/>
          <w:sz w:val="22"/>
          <w:szCs w:val="28"/>
        </w:rPr>
      </w:pPr>
      <w:r>
        <w:rPr>
          <w:rFonts w:ascii="Times New Roman" w:hAnsi="Times New Roman"/>
          <w:color w:val="auto"/>
          <w:sz w:val="22"/>
        </w:rPr>
        <w:t>项目负责人需定期向相关部门及领导汇报项目进展情况，及时协调解决项目中的问题。</w:t>
      </w:r>
    </w:p>
    <w:p w14:paraId="31543E63">
      <w:pPr>
        <w:spacing w:line="360" w:lineRule="auto"/>
        <w:ind w:firstLine="440" w:firstLineChars="200"/>
        <w:rPr>
          <w:rFonts w:ascii="Times New Roman" w:hAnsi="Times New Roman"/>
          <w:color w:val="auto"/>
          <w:sz w:val="22"/>
          <w:szCs w:val="28"/>
        </w:rPr>
      </w:pPr>
      <w:r>
        <w:rPr>
          <w:rFonts w:ascii="Times New Roman" w:hAnsi="Times New Roman"/>
          <w:color w:val="auto"/>
          <w:sz w:val="22"/>
        </w:rPr>
        <w:t>相关部门需积极配合项目团队的工作，提供必要的支持和协助。</w:t>
      </w:r>
    </w:p>
    <w:p w14:paraId="52A9B5AF">
      <w:pPr>
        <w:spacing w:line="360" w:lineRule="auto"/>
        <w:ind w:firstLine="440" w:firstLineChars="200"/>
        <w:rPr>
          <w:rFonts w:ascii="Times New Roman" w:hAnsi="Times New Roman"/>
          <w:color w:val="auto"/>
          <w:sz w:val="22"/>
          <w:szCs w:val="28"/>
        </w:rPr>
      </w:pPr>
      <w:r>
        <w:rPr>
          <w:rFonts w:ascii="Times New Roman" w:hAnsi="Times New Roman"/>
          <w:color w:val="auto"/>
          <w:sz w:val="22"/>
        </w:rPr>
        <w:t>请项目团队成员及相关部门认真阅读以上内容，并按照要求开展工作。让我们共同努力，确保项目的顺利实施和圆满成功!</w:t>
      </w:r>
    </w:p>
    <w:p w14:paraId="6A7B354F">
      <w:pPr>
        <w:spacing w:line="360" w:lineRule="auto"/>
        <w:rPr>
          <w:rFonts w:ascii="Times New Roman" w:hAnsi="Times New Roman"/>
          <w:color w:val="auto"/>
          <w:sz w:val="22"/>
          <w:szCs w:val="28"/>
        </w:rPr>
      </w:pPr>
    </w:p>
    <w:p w14:paraId="12E301D4">
      <w:pPr>
        <w:spacing w:line="360" w:lineRule="auto"/>
        <w:jc w:val="right"/>
        <w:rPr>
          <w:rFonts w:hint="eastAsia" w:ascii="Times New Roman" w:hAnsi="Times New Roman" w:eastAsia="宋体"/>
          <w:color w:val="auto"/>
          <w:sz w:val="22"/>
          <w:szCs w:val="28"/>
          <w:lang w:eastAsia="zh-CN"/>
        </w:rPr>
      </w:pPr>
      <w:r>
        <w:rPr>
          <w:rFonts w:hint="eastAsia" w:ascii="Times New Roman" w:hAnsi="Times New Roman" w:cs="宋体"/>
          <w:color w:val="auto"/>
          <w:sz w:val="24"/>
          <w:lang w:eastAsia="zh-CN"/>
        </w:rPr>
        <w:t>上海舜斯新材料科技有限公司</w:t>
      </w:r>
    </w:p>
    <w:p w14:paraId="372E9C9D">
      <w:pPr>
        <w:spacing w:line="360" w:lineRule="auto"/>
        <w:jc w:val="right"/>
        <w:rPr>
          <w:rFonts w:hint="eastAsia" w:ascii="Times New Roman" w:hAnsi="Times New Roman"/>
          <w:color w:val="auto"/>
          <w:sz w:val="22"/>
          <w:szCs w:val="28"/>
        </w:rPr>
      </w:pPr>
      <w:r>
        <w:rPr>
          <w:rFonts w:hint="eastAsia" w:ascii="Times New Roman" w:hAnsi="Times New Roman"/>
          <w:color w:val="auto"/>
          <w:sz w:val="22"/>
          <w:szCs w:val="28"/>
          <w:lang w:eastAsia="zh-CN"/>
        </w:rPr>
        <w:t>2022年</w:t>
      </w:r>
      <w:r>
        <w:rPr>
          <w:rFonts w:hint="eastAsia" w:ascii="Times New Roman" w:hAnsi="Times New Roman"/>
          <w:color w:val="auto"/>
          <w:sz w:val="22"/>
          <w:szCs w:val="28"/>
        </w:rPr>
        <w:t>1月5日</w:t>
      </w:r>
    </w:p>
    <w:p w14:paraId="5237012D">
      <w:pPr>
        <w:pStyle w:val="3"/>
        <w:spacing w:line="360" w:lineRule="auto"/>
        <w:jc w:val="center"/>
        <w:rPr>
          <w:rFonts w:ascii="Times New Roman" w:hAnsi="Times New Roman"/>
          <w:color w:val="auto"/>
          <w:sz w:val="36"/>
          <w:szCs w:val="28"/>
        </w:rPr>
      </w:pPr>
      <w:r>
        <w:rPr>
          <w:rFonts w:hint="eastAsia" w:ascii="Times New Roman" w:hAnsi="Times New Roman"/>
          <w:color w:val="auto"/>
          <w:sz w:val="22"/>
          <w:szCs w:val="28"/>
        </w:rPr>
        <w:br w:type="page"/>
      </w:r>
      <w:r>
        <w:rPr>
          <w:rFonts w:hint="eastAsia" w:ascii="Times New Roman" w:hAnsi="Times New Roman"/>
          <w:color w:val="auto"/>
          <w:sz w:val="36"/>
          <w:szCs w:val="28"/>
        </w:rPr>
        <w:t>项目验收报告</w:t>
      </w:r>
    </w:p>
    <w:p w14:paraId="4C18665F">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一、项目概况</w:t>
      </w:r>
    </w:p>
    <w:p w14:paraId="7745EADF">
      <w:pPr>
        <w:spacing w:line="360" w:lineRule="auto"/>
        <w:ind w:firstLine="440" w:firstLineChars="200"/>
        <w:rPr>
          <w:rFonts w:ascii="Times New Roman" w:hAnsi="Times New Roman"/>
          <w:color w:val="auto"/>
          <w:sz w:val="22"/>
          <w:szCs w:val="28"/>
        </w:rPr>
      </w:pPr>
      <w:r>
        <w:rPr>
          <w:rFonts w:ascii="Times New Roman" w:hAnsi="Times New Roman"/>
          <w:color w:val="auto"/>
          <w:sz w:val="22"/>
        </w:rPr>
        <w:t>“抗静电水性环氧树脂涂料的制备与应用研发”项目围绕新材料领域中环保型功能涂料的发展趋势，聚焦于开发具有抗静电性能的水性环氧树脂涂料。项目通过材料配方优化与制备工艺改进，形成了具备自主知识产权的抗静电水性环氧树脂涂料产品，并实现了小批量试制。在研发过程中，项目取得了包括“一种抗静电环氧树脂涂料的制备方法ZL201910985915.5”、“水性环氧乳液制备管理系统2024SR0196400”等在内的知识产权成果。</w:t>
      </w:r>
    </w:p>
    <w:p w14:paraId="457C2640">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二、项目目标与完成情况</w:t>
      </w:r>
    </w:p>
    <w:p w14:paraId="7BA6D1E5">
      <w:pPr>
        <w:spacing w:line="360" w:lineRule="auto"/>
        <w:ind w:firstLine="440" w:firstLineChars="200"/>
        <w:rPr>
          <w:rFonts w:ascii="Times New Roman" w:hAnsi="Times New Roman"/>
          <w:color w:val="auto"/>
          <w:sz w:val="22"/>
          <w:szCs w:val="28"/>
        </w:rPr>
      </w:pPr>
      <w:r>
        <w:rPr>
          <w:rFonts w:ascii="Times New Roman" w:hAnsi="Times New Roman"/>
          <w:color w:val="auto"/>
          <w:sz w:val="22"/>
        </w:rPr>
        <w:t>本项目旨在开发一种环保、安全、性能稳定的抗静电水性环氧树脂涂料，满足电子、航空航天、洁净车间等对静电敏感环境中的应用需求。项目从原材料选择、配方设计、制备工艺、性能测试等环节开展系统性研究，完成了抗静电剂的优选、环氧树脂体系的水性化改性、涂膜性能的综合优化等工作，达成了项目阶段性目标，初步具备工程化应用基础。</w:t>
      </w:r>
    </w:p>
    <w:p w14:paraId="7450938F">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三、项目核心技术点与创新点</w:t>
      </w:r>
    </w:p>
    <w:p w14:paraId="4A94FB9A">
      <w:pPr>
        <w:spacing w:line="360" w:lineRule="auto"/>
        <w:ind w:firstLine="442" w:firstLineChars="200"/>
        <w:rPr>
          <w:rFonts w:ascii="Times New Roman" w:hAnsi="Times New Roman"/>
          <w:b/>
          <w:bCs/>
          <w:color w:val="auto"/>
          <w:sz w:val="22"/>
          <w:szCs w:val="28"/>
        </w:rPr>
      </w:pPr>
      <w:r>
        <w:rPr>
          <w:rFonts w:ascii="Times New Roman" w:hAnsi="Times New Roman"/>
          <w:b/>
          <w:bCs/>
          <w:color w:val="auto"/>
          <w:sz w:val="22"/>
          <w:szCs w:val="28"/>
        </w:rPr>
        <w:t>1. 核心技术点</w:t>
      </w:r>
    </w:p>
    <w:p w14:paraId="01A7547D">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水性环氧树脂乳液制备技术：采用聚醚胺作为固化剂，结合有机硅偶联剂进行乳化改性，实现环氧树脂的水性化，提升了涂层的附着力与耐水性。</w:t>
      </w:r>
    </w:p>
    <w:p w14:paraId="30386C4F">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抗静电剂复合配伍技术：选用聚季铵盐类抗静电剂，通过分子结构设计与分散工艺优化，使其在涂层中形成均匀分布的导电网络，提升抗静电性能。</w:t>
      </w:r>
    </w:p>
    <w:p w14:paraId="26AC0505">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环保型涂料配方设计：采用水作为稀释剂，避免了有机溶剂的使用，降低了VOC排放，符合绿色制造的发展方向。</w:t>
      </w:r>
    </w:p>
    <w:p w14:paraId="285638C0">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涂层性能调控技术：通过添加流平剂与消泡剂，优化了涂层的表面状态与施工性能，提高了涂膜的平整性与美观性。</w:t>
      </w:r>
    </w:p>
    <w:p w14:paraId="1CC935E8">
      <w:pPr>
        <w:spacing w:line="360" w:lineRule="auto"/>
        <w:ind w:firstLine="442" w:firstLineChars="200"/>
        <w:rPr>
          <w:rFonts w:ascii="Times New Roman" w:hAnsi="Times New Roman"/>
          <w:b/>
          <w:bCs/>
          <w:color w:val="auto"/>
          <w:sz w:val="22"/>
          <w:szCs w:val="28"/>
        </w:rPr>
      </w:pPr>
      <w:r>
        <w:rPr>
          <w:rFonts w:ascii="Times New Roman" w:hAnsi="Times New Roman"/>
          <w:b/>
          <w:bCs/>
          <w:color w:val="auto"/>
          <w:sz w:val="22"/>
          <w:szCs w:val="28"/>
        </w:rPr>
        <w:t>2. 创新点</w:t>
      </w:r>
    </w:p>
    <w:p w14:paraId="2A1FB8E9">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抗静电功能与水性化技术的融合：在保证水性环氧树脂环保特性的基础上，引入抗静电功能，拓展了其在高要求工业场景中的应用范围。</w:t>
      </w:r>
    </w:p>
    <w:p w14:paraId="2F3F3422">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制备工艺的绿色化改进：采用常温反应、低能耗工艺，减少生产过程中的能源消耗与环境污染，提升了生产过程的清洁化水平。</w:t>
      </w:r>
    </w:p>
    <w:p w14:paraId="7F9C759A">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涂料性能的系统性优化：通过配方与工艺的协同优化，兼顾了涂层的机械性能、耐腐蚀性与抗静电效果，提升了产品的综合性能表现。</w:t>
      </w:r>
    </w:p>
    <w:p w14:paraId="47793412">
      <w:pPr>
        <w:numPr>
          <w:ilvl w:val="0"/>
          <w:numId w:val="6"/>
        </w:num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项目经费统计</w:t>
      </w:r>
    </w:p>
    <w:tbl>
      <w:tblPr>
        <w:tblStyle w:val="10"/>
        <w:tblW w:w="8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2686"/>
        <w:gridCol w:w="2686"/>
      </w:tblGrid>
      <w:tr w14:paraId="35194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jc w:val="center"/>
        </w:trPr>
        <w:tc>
          <w:tcPr>
            <w:tcW w:w="2686" w:type="dxa"/>
            <w:vMerge w:val="restart"/>
            <w:shd w:val="clear" w:color="auto" w:fill="auto"/>
            <w:vAlign w:val="center"/>
          </w:tcPr>
          <w:p w14:paraId="7463EFDC">
            <w:pPr>
              <w:spacing w:line="360" w:lineRule="auto"/>
              <w:jc w:val="center"/>
              <w:rPr>
                <w:rFonts w:ascii="Times New Roman" w:hAnsi="Times New Roman"/>
                <w:color w:val="auto"/>
                <w:sz w:val="22"/>
                <w:szCs w:val="28"/>
              </w:rPr>
            </w:pPr>
            <w:r>
              <w:rPr>
                <w:rFonts w:hint="eastAsia" w:ascii="Times New Roman" w:hAnsi="Times New Roman"/>
                <w:color w:val="auto"/>
                <w:sz w:val="22"/>
                <w:szCs w:val="28"/>
              </w:rPr>
              <w:t>经费统计</w:t>
            </w:r>
          </w:p>
        </w:tc>
        <w:tc>
          <w:tcPr>
            <w:tcW w:w="2686" w:type="dxa"/>
            <w:shd w:val="clear" w:color="auto" w:fill="auto"/>
            <w:vAlign w:val="center"/>
          </w:tcPr>
          <w:p w14:paraId="192B0167">
            <w:pPr>
              <w:spacing w:line="360" w:lineRule="auto"/>
              <w:rPr>
                <w:rFonts w:ascii="Times New Roman" w:hAnsi="Times New Roman"/>
                <w:color w:val="auto"/>
                <w:sz w:val="22"/>
                <w:szCs w:val="28"/>
              </w:rPr>
            </w:pPr>
            <w:r>
              <w:rPr>
                <w:rFonts w:hint="eastAsia" w:ascii="Times New Roman" w:hAnsi="Times New Roman"/>
                <w:color w:val="auto"/>
                <w:sz w:val="22"/>
                <w:szCs w:val="28"/>
              </w:rPr>
              <w:t>人员人工费用</w:t>
            </w:r>
          </w:p>
        </w:tc>
        <w:tc>
          <w:tcPr>
            <w:tcW w:w="2686" w:type="dxa"/>
            <w:shd w:val="clear" w:color="auto" w:fill="auto"/>
            <w:vAlign w:val="center"/>
          </w:tcPr>
          <w:p w14:paraId="3571AC42">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120.42万</w:t>
            </w:r>
            <w:r>
              <w:rPr>
                <w:rFonts w:hint="eastAsia" w:ascii="Times New Roman" w:hAnsi="Times New Roman"/>
                <w:color w:val="auto"/>
                <w:sz w:val="22"/>
                <w:szCs w:val="28"/>
              </w:rPr>
              <w:t>元</w:t>
            </w:r>
          </w:p>
        </w:tc>
      </w:tr>
      <w:tr w14:paraId="7E1E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jc w:val="center"/>
        </w:trPr>
        <w:tc>
          <w:tcPr>
            <w:tcW w:w="2686" w:type="dxa"/>
            <w:vMerge w:val="continue"/>
            <w:shd w:val="clear" w:color="auto" w:fill="auto"/>
            <w:vAlign w:val="center"/>
          </w:tcPr>
          <w:p w14:paraId="239A3738">
            <w:pPr>
              <w:spacing w:line="360" w:lineRule="auto"/>
              <w:jc w:val="center"/>
              <w:rPr>
                <w:rFonts w:ascii="Times New Roman" w:hAnsi="Times New Roman"/>
                <w:color w:val="auto"/>
                <w:sz w:val="22"/>
                <w:szCs w:val="28"/>
              </w:rPr>
            </w:pPr>
          </w:p>
        </w:tc>
        <w:tc>
          <w:tcPr>
            <w:tcW w:w="2686" w:type="dxa"/>
            <w:shd w:val="clear" w:color="auto" w:fill="auto"/>
            <w:vAlign w:val="center"/>
          </w:tcPr>
          <w:p w14:paraId="3263B340">
            <w:pPr>
              <w:spacing w:line="360" w:lineRule="auto"/>
              <w:rPr>
                <w:rFonts w:ascii="Times New Roman" w:hAnsi="Times New Roman"/>
                <w:color w:val="auto"/>
                <w:sz w:val="22"/>
                <w:szCs w:val="28"/>
              </w:rPr>
            </w:pPr>
            <w:r>
              <w:rPr>
                <w:rFonts w:hint="eastAsia" w:ascii="Times New Roman" w:hAnsi="Times New Roman"/>
                <w:color w:val="auto"/>
                <w:sz w:val="22"/>
                <w:szCs w:val="28"/>
              </w:rPr>
              <w:t>直接投入费用</w:t>
            </w:r>
          </w:p>
        </w:tc>
        <w:tc>
          <w:tcPr>
            <w:tcW w:w="2686" w:type="dxa"/>
            <w:shd w:val="clear" w:color="auto" w:fill="auto"/>
            <w:vAlign w:val="center"/>
          </w:tcPr>
          <w:p w14:paraId="3C4F5571">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149.03万</w:t>
            </w:r>
            <w:r>
              <w:rPr>
                <w:rFonts w:hint="eastAsia" w:ascii="Times New Roman" w:hAnsi="Times New Roman"/>
                <w:color w:val="auto"/>
                <w:sz w:val="22"/>
                <w:szCs w:val="28"/>
              </w:rPr>
              <w:t>元</w:t>
            </w:r>
          </w:p>
        </w:tc>
      </w:tr>
      <w:tr w14:paraId="5A54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jc w:val="center"/>
        </w:trPr>
        <w:tc>
          <w:tcPr>
            <w:tcW w:w="2686" w:type="dxa"/>
            <w:vMerge w:val="continue"/>
            <w:shd w:val="clear" w:color="auto" w:fill="auto"/>
            <w:vAlign w:val="center"/>
          </w:tcPr>
          <w:p w14:paraId="4F275BDA">
            <w:pPr>
              <w:spacing w:line="360" w:lineRule="auto"/>
              <w:jc w:val="center"/>
              <w:rPr>
                <w:rFonts w:ascii="Times New Roman" w:hAnsi="Times New Roman"/>
                <w:color w:val="auto"/>
                <w:sz w:val="22"/>
                <w:szCs w:val="28"/>
              </w:rPr>
            </w:pPr>
          </w:p>
        </w:tc>
        <w:tc>
          <w:tcPr>
            <w:tcW w:w="2686" w:type="dxa"/>
            <w:shd w:val="clear" w:color="auto" w:fill="auto"/>
            <w:vAlign w:val="center"/>
          </w:tcPr>
          <w:p w14:paraId="03A94C5B">
            <w:pPr>
              <w:spacing w:line="360" w:lineRule="auto"/>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lang w:val="en-US" w:eastAsia="zh-CN"/>
              </w:rPr>
              <w:t>折旧费用</w:t>
            </w:r>
          </w:p>
        </w:tc>
        <w:tc>
          <w:tcPr>
            <w:tcW w:w="2686" w:type="dxa"/>
            <w:shd w:val="clear" w:color="auto" w:fill="auto"/>
            <w:vAlign w:val="center"/>
          </w:tcPr>
          <w:p w14:paraId="5580B92D">
            <w:pPr>
              <w:spacing w:line="360" w:lineRule="auto"/>
              <w:jc w:val="center"/>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lang w:val="en-US" w:eastAsia="zh-CN"/>
              </w:rPr>
              <w:t>128.08万元</w:t>
            </w:r>
          </w:p>
        </w:tc>
      </w:tr>
      <w:tr w14:paraId="539A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jc w:val="center"/>
        </w:trPr>
        <w:tc>
          <w:tcPr>
            <w:tcW w:w="2686" w:type="dxa"/>
            <w:vMerge w:val="continue"/>
            <w:shd w:val="clear" w:color="auto" w:fill="auto"/>
            <w:vAlign w:val="center"/>
          </w:tcPr>
          <w:p w14:paraId="30593DA3">
            <w:pPr>
              <w:spacing w:line="360" w:lineRule="auto"/>
              <w:jc w:val="center"/>
              <w:rPr>
                <w:rFonts w:ascii="Times New Roman" w:hAnsi="Times New Roman"/>
                <w:color w:val="auto"/>
                <w:sz w:val="22"/>
                <w:szCs w:val="28"/>
              </w:rPr>
            </w:pPr>
          </w:p>
        </w:tc>
        <w:tc>
          <w:tcPr>
            <w:tcW w:w="2686" w:type="dxa"/>
            <w:shd w:val="clear" w:color="auto" w:fill="auto"/>
            <w:vAlign w:val="center"/>
          </w:tcPr>
          <w:p w14:paraId="4A1B62E1">
            <w:pPr>
              <w:spacing w:line="360" w:lineRule="auto"/>
              <w:rPr>
                <w:rFonts w:ascii="Times New Roman" w:hAnsi="Times New Roman"/>
                <w:color w:val="auto"/>
                <w:sz w:val="22"/>
                <w:szCs w:val="28"/>
              </w:rPr>
            </w:pPr>
            <w:r>
              <w:rPr>
                <w:rFonts w:hint="eastAsia" w:ascii="Times New Roman" w:hAnsi="Times New Roman"/>
                <w:color w:val="auto"/>
                <w:sz w:val="22"/>
                <w:szCs w:val="28"/>
              </w:rPr>
              <w:t>其他费用</w:t>
            </w:r>
          </w:p>
        </w:tc>
        <w:tc>
          <w:tcPr>
            <w:tcW w:w="2686" w:type="dxa"/>
            <w:shd w:val="clear" w:color="auto" w:fill="auto"/>
            <w:vAlign w:val="center"/>
          </w:tcPr>
          <w:p w14:paraId="4D9BF2BF">
            <w:pPr>
              <w:spacing w:line="360" w:lineRule="auto"/>
              <w:jc w:val="center"/>
              <w:rPr>
                <w:rFonts w:ascii="Times New Roman" w:hAnsi="Times New Roman"/>
                <w:color w:val="auto"/>
                <w:sz w:val="22"/>
                <w:szCs w:val="28"/>
              </w:rPr>
            </w:pPr>
            <w:r>
              <w:rPr>
                <w:rFonts w:hint="eastAsia" w:ascii="Times New Roman" w:hAnsi="Times New Roman"/>
                <w:color w:val="auto"/>
                <w:sz w:val="22"/>
                <w:szCs w:val="28"/>
              </w:rPr>
              <w:t>1</w:t>
            </w:r>
            <w:r>
              <w:rPr>
                <w:rFonts w:hint="eastAsia" w:ascii="Times New Roman" w:hAnsi="Times New Roman"/>
                <w:color w:val="auto"/>
                <w:sz w:val="22"/>
                <w:szCs w:val="28"/>
                <w:lang w:val="en-US" w:eastAsia="zh-CN"/>
              </w:rPr>
              <w:t>.43万</w:t>
            </w:r>
            <w:r>
              <w:rPr>
                <w:rFonts w:hint="eastAsia" w:ascii="Times New Roman" w:hAnsi="Times New Roman"/>
                <w:color w:val="auto"/>
                <w:sz w:val="22"/>
                <w:szCs w:val="28"/>
              </w:rPr>
              <w:t>元</w:t>
            </w:r>
          </w:p>
        </w:tc>
      </w:tr>
      <w:tr w14:paraId="3E4EA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jc w:val="center"/>
        </w:trPr>
        <w:tc>
          <w:tcPr>
            <w:tcW w:w="2686" w:type="dxa"/>
            <w:vMerge w:val="continue"/>
            <w:shd w:val="clear" w:color="auto" w:fill="auto"/>
            <w:vAlign w:val="center"/>
          </w:tcPr>
          <w:p w14:paraId="13EA9A30">
            <w:pPr>
              <w:spacing w:line="360" w:lineRule="auto"/>
              <w:jc w:val="center"/>
              <w:rPr>
                <w:rFonts w:ascii="Times New Roman" w:hAnsi="Times New Roman"/>
                <w:color w:val="auto"/>
                <w:sz w:val="22"/>
                <w:szCs w:val="28"/>
              </w:rPr>
            </w:pPr>
          </w:p>
        </w:tc>
        <w:tc>
          <w:tcPr>
            <w:tcW w:w="2686" w:type="dxa"/>
            <w:shd w:val="clear" w:color="auto" w:fill="auto"/>
            <w:vAlign w:val="center"/>
          </w:tcPr>
          <w:p w14:paraId="76A91F63">
            <w:pPr>
              <w:spacing w:line="360" w:lineRule="auto"/>
              <w:rPr>
                <w:rFonts w:ascii="Times New Roman" w:hAnsi="Times New Roman"/>
                <w:color w:val="auto"/>
                <w:sz w:val="22"/>
                <w:szCs w:val="28"/>
              </w:rPr>
            </w:pPr>
            <w:r>
              <w:rPr>
                <w:rFonts w:hint="eastAsia" w:ascii="Times New Roman" w:hAnsi="Times New Roman"/>
                <w:color w:val="auto"/>
                <w:sz w:val="22"/>
                <w:szCs w:val="28"/>
              </w:rPr>
              <w:t>总计</w:t>
            </w:r>
          </w:p>
        </w:tc>
        <w:tc>
          <w:tcPr>
            <w:tcW w:w="2686" w:type="dxa"/>
            <w:shd w:val="clear" w:color="auto" w:fill="auto"/>
            <w:vAlign w:val="center"/>
          </w:tcPr>
          <w:p w14:paraId="1BF4FB01">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398.96万</w:t>
            </w:r>
            <w:r>
              <w:rPr>
                <w:rFonts w:hint="eastAsia" w:ascii="Times New Roman" w:hAnsi="Times New Roman"/>
                <w:color w:val="auto"/>
                <w:sz w:val="22"/>
                <w:szCs w:val="28"/>
              </w:rPr>
              <w:t>元</w:t>
            </w:r>
          </w:p>
        </w:tc>
      </w:tr>
    </w:tbl>
    <w:p w14:paraId="5110B5D0">
      <w:pPr>
        <w:spacing w:line="360" w:lineRule="auto"/>
        <w:ind w:firstLine="440" w:firstLineChars="200"/>
        <w:rPr>
          <w:rFonts w:ascii="Times New Roman" w:hAnsi="Times New Roman"/>
          <w:color w:val="auto"/>
          <w:sz w:val="22"/>
          <w:szCs w:val="28"/>
        </w:rPr>
      </w:pPr>
      <w:r>
        <w:rPr>
          <w:rFonts w:hint="eastAsia" w:ascii="Times New Roman" w:hAnsi="Times New Roman"/>
          <w:color w:val="auto"/>
          <w:sz w:val="22"/>
          <w:szCs w:val="28"/>
        </w:rPr>
        <w:t>经统计，项目经费符合预算要求。</w:t>
      </w:r>
    </w:p>
    <w:p w14:paraId="5B5FA0C1">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五、项目验收情况</w:t>
      </w:r>
    </w:p>
    <w:p w14:paraId="0A97FAFF">
      <w:pPr>
        <w:spacing w:line="360" w:lineRule="auto"/>
        <w:rPr>
          <w:rFonts w:ascii="Times New Roman" w:hAnsi="Times New Roman"/>
          <w:b/>
          <w:bCs/>
          <w:color w:val="auto"/>
          <w:sz w:val="22"/>
          <w:szCs w:val="28"/>
        </w:rPr>
      </w:pPr>
      <w:r>
        <w:rPr>
          <w:rFonts w:hint="eastAsia" w:ascii="Times New Roman" w:hAnsi="Times New Roman"/>
          <w:b/>
          <w:bCs/>
          <w:color w:val="auto"/>
          <w:sz w:val="22"/>
          <w:szCs w:val="28"/>
        </w:rPr>
        <w:t>（一）验收内容</w:t>
      </w:r>
    </w:p>
    <w:p w14:paraId="1379C664">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材料性能验收：对涂层的附着力、硬度、耐水性、耐腐蚀性等基本性能进行检测，验证其是否满足预期应用需求。</w:t>
      </w:r>
    </w:p>
    <w:p w14:paraId="0A28AAB9">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抗静电性能验收：测试涂层表面电阻率及静电衰减时间，评估其抗静电功能是否稳定有效。</w:t>
      </w:r>
    </w:p>
    <w:p w14:paraId="5E184BC8">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工艺与环保性验收：审查涂料制备过程是否符合环保要求，评估其在生产过程中的VOC排放及能耗情况。</w:t>
      </w:r>
    </w:p>
    <w:p w14:paraId="78A19170">
      <w:pPr>
        <w:spacing w:line="360" w:lineRule="auto"/>
        <w:rPr>
          <w:rFonts w:ascii="Times New Roman" w:hAnsi="Times New Roman"/>
          <w:b/>
          <w:bCs/>
          <w:color w:val="auto"/>
          <w:sz w:val="22"/>
          <w:szCs w:val="28"/>
        </w:rPr>
      </w:pPr>
      <w:r>
        <w:rPr>
          <w:rFonts w:hint="eastAsia" w:ascii="Times New Roman" w:hAnsi="Times New Roman"/>
          <w:b/>
          <w:bCs/>
          <w:color w:val="auto"/>
          <w:sz w:val="22"/>
          <w:szCs w:val="28"/>
        </w:rPr>
        <w:t>（二）验收结论</w:t>
      </w:r>
    </w:p>
    <w:p w14:paraId="664AA5E6">
      <w:pPr>
        <w:spacing w:line="360" w:lineRule="auto"/>
        <w:ind w:firstLine="440" w:firstLineChars="200"/>
        <w:rPr>
          <w:rFonts w:ascii="Times New Roman" w:hAnsi="Times New Roman"/>
          <w:color w:val="auto"/>
          <w:sz w:val="22"/>
          <w:szCs w:val="28"/>
        </w:rPr>
      </w:pPr>
      <w:r>
        <w:rPr>
          <w:rFonts w:ascii="Times New Roman" w:hAnsi="Times New Roman"/>
          <w:color w:val="auto"/>
          <w:sz w:val="22"/>
        </w:rPr>
        <w:t>经过对材料性能、抗静电效果、环保性及知识产权应用等方面的全面验收，抗静电水性环氧树脂涂料的制备与应用研发项目已达到项目设定的技术目标，具备进一步推广应用的基础。项目顺利通过验收，具备进入中试及小规模应用的条件。</w:t>
      </w:r>
    </w:p>
    <w:p w14:paraId="5BD4EE19">
      <w:pPr>
        <w:spacing w:line="360" w:lineRule="auto"/>
        <w:ind w:firstLine="440" w:firstLineChars="200"/>
        <w:rPr>
          <w:rFonts w:ascii="Times New Roman" w:hAnsi="Times New Roman"/>
          <w:color w:val="auto"/>
          <w:sz w:val="22"/>
          <w:szCs w:val="28"/>
        </w:rPr>
      </w:pPr>
    </w:p>
    <w:p w14:paraId="4D8CAA98">
      <w:pPr>
        <w:spacing w:line="360" w:lineRule="auto"/>
        <w:jc w:val="right"/>
        <w:rPr>
          <w:rFonts w:hint="eastAsia" w:ascii="Times New Roman" w:hAnsi="Times New Roman" w:eastAsia="宋体"/>
          <w:color w:val="auto"/>
          <w:sz w:val="22"/>
          <w:szCs w:val="28"/>
          <w:lang w:eastAsia="zh-CN"/>
        </w:rPr>
      </w:pPr>
      <w:r>
        <w:rPr>
          <w:rFonts w:hint="eastAsia" w:ascii="Times New Roman" w:hAnsi="Times New Roman"/>
          <w:color w:val="auto"/>
          <w:sz w:val="22"/>
          <w:szCs w:val="28"/>
          <w:lang w:eastAsia="zh-CN"/>
        </w:rPr>
        <w:t>上海舜斯新材料科技有限公司</w:t>
      </w:r>
    </w:p>
    <w:p w14:paraId="490048EB">
      <w:pPr>
        <w:spacing w:line="360" w:lineRule="auto"/>
        <w:jc w:val="right"/>
        <w:rPr>
          <w:rFonts w:ascii="Times New Roman" w:hAnsi="Times New Roman"/>
          <w:color w:val="auto"/>
          <w:sz w:val="22"/>
          <w:szCs w:val="28"/>
        </w:rPr>
      </w:pPr>
      <w:r>
        <w:rPr>
          <w:rFonts w:hint="eastAsia" w:ascii="Times New Roman" w:hAnsi="Times New Roman"/>
          <w:color w:val="auto"/>
          <w:sz w:val="22"/>
          <w:szCs w:val="28"/>
          <w:lang w:eastAsia="zh-CN"/>
        </w:rPr>
        <w:t>2022年</w:t>
      </w:r>
      <w:r>
        <w:rPr>
          <w:rFonts w:hint="eastAsia" w:ascii="Times New Roman" w:hAnsi="Times New Roman"/>
          <w:color w:val="auto"/>
          <w:sz w:val="22"/>
          <w:szCs w:val="28"/>
        </w:rPr>
        <w:t>12月29日</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3E168">
    <w:pPr>
      <w:pStyle w:val="9"/>
      <w:widowControl/>
      <w:jc w:val="distribu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17BD62"/>
    <w:multiLevelType w:val="singleLevel"/>
    <w:tmpl w:val="9D17BD62"/>
    <w:lvl w:ilvl="0" w:tentative="0">
      <w:start w:val="1"/>
      <w:numFmt w:val="decimal"/>
      <w:lvlText w:val="(%1)"/>
      <w:lvlJc w:val="left"/>
      <w:pPr>
        <w:ind w:left="425" w:hanging="425"/>
      </w:pPr>
      <w:rPr>
        <w:rFonts w:hint="default"/>
      </w:rPr>
    </w:lvl>
  </w:abstractNum>
  <w:abstractNum w:abstractNumId="1">
    <w:nsid w:val="A31363C1"/>
    <w:multiLevelType w:val="singleLevel"/>
    <w:tmpl w:val="A31363C1"/>
    <w:lvl w:ilvl="0" w:tentative="0">
      <w:start w:val="1"/>
      <w:numFmt w:val="decimal"/>
      <w:lvlText w:val="(%1)"/>
      <w:lvlJc w:val="left"/>
      <w:pPr>
        <w:ind w:left="425" w:hanging="425"/>
      </w:pPr>
      <w:rPr>
        <w:rFonts w:hint="default"/>
      </w:rPr>
    </w:lvl>
  </w:abstractNum>
  <w:abstractNum w:abstractNumId="2">
    <w:nsid w:val="D9DBAEED"/>
    <w:multiLevelType w:val="singleLevel"/>
    <w:tmpl w:val="D9DBAEED"/>
    <w:lvl w:ilvl="0" w:tentative="0">
      <w:start w:val="4"/>
      <w:numFmt w:val="chineseCounting"/>
      <w:suff w:val="nothing"/>
      <w:lvlText w:val="%1、"/>
      <w:lvlJc w:val="left"/>
      <w:rPr>
        <w:rFonts w:hint="eastAsia"/>
      </w:rPr>
    </w:lvl>
  </w:abstractNum>
  <w:abstractNum w:abstractNumId="3">
    <w:nsid w:val="E8744EF6"/>
    <w:multiLevelType w:val="singleLevel"/>
    <w:tmpl w:val="E8744EF6"/>
    <w:lvl w:ilvl="0" w:tentative="0">
      <w:start w:val="1"/>
      <w:numFmt w:val="decimal"/>
      <w:lvlText w:val="(%1)"/>
      <w:lvlJc w:val="left"/>
      <w:pPr>
        <w:ind w:left="425" w:hanging="425"/>
      </w:pPr>
      <w:rPr>
        <w:rFonts w:hint="default"/>
      </w:rPr>
    </w:lvl>
  </w:abstractNum>
  <w:abstractNum w:abstractNumId="4">
    <w:nsid w:val="36AE33EB"/>
    <w:multiLevelType w:val="singleLevel"/>
    <w:tmpl w:val="36AE33EB"/>
    <w:lvl w:ilvl="0" w:tentative="0">
      <w:start w:val="1"/>
      <w:numFmt w:val="decimal"/>
      <w:lvlText w:val="(%1)"/>
      <w:lvlJc w:val="left"/>
      <w:pPr>
        <w:ind w:left="425" w:hanging="425"/>
      </w:pPr>
      <w:rPr>
        <w:rFonts w:hint="default"/>
      </w:rPr>
    </w:lvl>
  </w:abstractNum>
  <w:abstractNum w:abstractNumId="5">
    <w:nsid w:val="72CCA1C2"/>
    <w:multiLevelType w:val="singleLevel"/>
    <w:tmpl w:val="72CCA1C2"/>
    <w:lvl w:ilvl="0" w:tentative="0">
      <w:start w:val="1"/>
      <w:numFmt w:val="decimal"/>
      <w:lvlText w:val="(%1)"/>
      <w:lvlJc w:val="left"/>
      <w:pPr>
        <w:ind w:left="425" w:hanging="425"/>
      </w:pPr>
      <w:rPr>
        <w:rFonts w:hint="default"/>
      </w:rPr>
    </w:lvl>
  </w:abstractNum>
  <w:abstractNum w:abstractNumId="6">
    <w:nsid w:val="77A6CEAA"/>
    <w:multiLevelType w:val="singleLevel"/>
    <w:tmpl w:val="77A6CEAA"/>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1"/>
  </w:num>
  <w:num w:numId="4">
    <w:abstractNumId w:val="6"/>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WJlMTc4NGIxMGQzZGM3ZTI0N2NkOWFkZjAxZDY0MjcifQ=="/>
  </w:docVars>
  <w:rsids>
    <w:rsidRoot w:val="0033114D"/>
    <w:rsid w:val="002C0477"/>
    <w:rsid w:val="0033114D"/>
    <w:rsid w:val="00425A1B"/>
    <w:rsid w:val="005C37D8"/>
    <w:rsid w:val="006038E5"/>
    <w:rsid w:val="00617ED8"/>
    <w:rsid w:val="007D16B8"/>
    <w:rsid w:val="008248FA"/>
    <w:rsid w:val="00843FA8"/>
    <w:rsid w:val="008875A8"/>
    <w:rsid w:val="00936276"/>
    <w:rsid w:val="009D476B"/>
    <w:rsid w:val="009E3E1B"/>
    <w:rsid w:val="00B71F36"/>
    <w:rsid w:val="00C21A53"/>
    <w:rsid w:val="00D12CCD"/>
    <w:rsid w:val="00DA49F5"/>
    <w:rsid w:val="00DD3395"/>
    <w:rsid w:val="00E1589E"/>
    <w:rsid w:val="00E41409"/>
    <w:rsid w:val="00E568F2"/>
    <w:rsid w:val="00ED4C7B"/>
    <w:rsid w:val="00F16D0A"/>
    <w:rsid w:val="00FB6327"/>
    <w:rsid w:val="00FE2B5A"/>
    <w:rsid w:val="01E0373D"/>
    <w:rsid w:val="02BA3F8E"/>
    <w:rsid w:val="032B6C3A"/>
    <w:rsid w:val="03F4702C"/>
    <w:rsid w:val="04293179"/>
    <w:rsid w:val="047D1717"/>
    <w:rsid w:val="051200B1"/>
    <w:rsid w:val="05545FD4"/>
    <w:rsid w:val="06680FFF"/>
    <w:rsid w:val="070B6B66"/>
    <w:rsid w:val="07D63618"/>
    <w:rsid w:val="07E35D35"/>
    <w:rsid w:val="081E6D6D"/>
    <w:rsid w:val="083420ED"/>
    <w:rsid w:val="09F93DAC"/>
    <w:rsid w:val="0AA572D2"/>
    <w:rsid w:val="0B1D155E"/>
    <w:rsid w:val="0B2D79F3"/>
    <w:rsid w:val="0B995089"/>
    <w:rsid w:val="0BFE4EEC"/>
    <w:rsid w:val="0C882A07"/>
    <w:rsid w:val="0C934482"/>
    <w:rsid w:val="0CD43E9E"/>
    <w:rsid w:val="0E320E7D"/>
    <w:rsid w:val="0F4C2412"/>
    <w:rsid w:val="0FB8061F"/>
    <w:rsid w:val="105C48D7"/>
    <w:rsid w:val="108A4FA0"/>
    <w:rsid w:val="117B2B3A"/>
    <w:rsid w:val="11E22BBA"/>
    <w:rsid w:val="12DB5F87"/>
    <w:rsid w:val="134578A4"/>
    <w:rsid w:val="14123C2A"/>
    <w:rsid w:val="146E1AE5"/>
    <w:rsid w:val="148B578A"/>
    <w:rsid w:val="156C2EC6"/>
    <w:rsid w:val="16157A01"/>
    <w:rsid w:val="167F2A48"/>
    <w:rsid w:val="16BA2357"/>
    <w:rsid w:val="16F5338F"/>
    <w:rsid w:val="17143815"/>
    <w:rsid w:val="171657DF"/>
    <w:rsid w:val="186500A0"/>
    <w:rsid w:val="18ED431E"/>
    <w:rsid w:val="19B27315"/>
    <w:rsid w:val="1A705EAE"/>
    <w:rsid w:val="1CCC06EE"/>
    <w:rsid w:val="1DB418AE"/>
    <w:rsid w:val="1E0B5246"/>
    <w:rsid w:val="1E780B2E"/>
    <w:rsid w:val="1F1B063B"/>
    <w:rsid w:val="1F376720"/>
    <w:rsid w:val="1FC54BA9"/>
    <w:rsid w:val="21314E79"/>
    <w:rsid w:val="21CD59F3"/>
    <w:rsid w:val="23272B22"/>
    <w:rsid w:val="2355143D"/>
    <w:rsid w:val="23AD74CB"/>
    <w:rsid w:val="24613F68"/>
    <w:rsid w:val="247E6772"/>
    <w:rsid w:val="24952F7F"/>
    <w:rsid w:val="25B30EED"/>
    <w:rsid w:val="25BF7042"/>
    <w:rsid w:val="25FC0296"/>
    <w:rsid w:val="26C2328E"/>
    <w:rsid w:val="27A26C1B"/>
    <w:rsid w:val="289E0ED0"/>
    <w:rsid w:val="296A5517"/>
    <w:rsid w:val="29F574D6"/>
    <w:rsid w:val="2A224043"/>
    <w:rsid w:val="2C9F16FD"/>
    <w:rsid w:val="2D7B07E4"/>
    <w:rsid w:val="2E9D638E"/>
    <w:rsid w:val="2EA65243"/>
    <w:rsid w:val="2F104DB2"/>
    <w:rsid w:val="2FA21EAE"/>
    <w:rsid w:val="30C65728"/>
    <w:rsid w:val="31097D0B"/>
    <w:rsid w:val="311B1C02"/>
    <w:rsid w:val="31554CFE"/>
    <w:rsid w:val="31AC0DC2"/>
    <w:rsid w:val="326A47D9"/>
    <w:rsid w:val="32BB6DE3"/>
    <w:rsid w:val="33174961"/>
    <w:rsid w:val="339A4C4A"/>
    <w:rsid w:val="33A87367"/>
    <w:rsid w:val="34076784"/>
    <w:rsid w:val="351F7AFD"/>
    <w:rsid w:val="35F25212"/>
    <w:rsid w:val="36C00E6C"/>
    <w:rsid w:val="36DD557A"/>
    <w:rsid w:val="37B54749"/>
    <w:rsid w:val="38374A39"/>
    <w:rsid w:val="3A8B353F"/>
    <w:rsid w:val="3AFB2473"/>
    <w:rsid w:val="3B3D6F2F"/>
    <w:rsid w:val="3C5F2ED5"/>
    <w:rsid w:val="3C5F6A31"/>
    <w:rsid w:val="3CB5254A"/>
    <w:rsid w:val="3EC80563"/>
    <w:rsid w:val="3EEB27FE"/>
    <w:rsid w:val="3F9410E8"/>
    <w:rsid w:val="40BC4452"/>
    <w:rsid w:val="41456B3D"/>
    <w:rsid w:val="41957E0C"/>
    <w:rsid w:val="41B432B2"/>
    <w:rsid w:val="41CF4659"/>
    <w:rsid w:val="42AE24C0"/>
    <w:rsid w:val="42B21FB1"/>
    <w:rsid w:val="42BA70B7"/>
    <w:rsid w:val="430976F7"/>
    <w:rsid w:val="455E01CE"/>
    <w:rsid w:val="45795008"/>
    <w:rsid w:val="459E681C"/>
    <w:rsid w:val="460A2104"/>
    <w:rsid w:val="46492C2C"/>
    <w:rsid w:val="46A00372"/>
    <w:rsid w:val="47E10C42"/>
    <w:rsid w:val="491C4628"/>
    <w:rsid w:val="499E6DEB"/>
    <w:rsid w:val="49C10D2B"/>
    <w:rsid w:val="49E93701"/>
    <w:rsid w:val="4A3D4856"/>
    <w:rsid w:val="4B2E21B9"/>
    <w:rsid w:val="4C875885"/>
    <w:rsid w:val="4CD314A1"/>
    <w:rsid w:val="4D150366"/>
    <w:rsid w:val="4D9E1AAF"/>
    <w:rsid w:val="4F6C008A"/>
    <w:rsid w:val="500876B4"/>
    <w:rsid w:val="50830AE8"/>
    <w:rsid w:val="511D2CEB"/>
    <w:rsid w:val="51844B18"/>
    <w:rsid w:val="52187956"/>
    <w:rsid w:val="527E4DA2"/>
    <w:rsid w:val="545F7ABE"/>
    <w:rsid w:val="546724CF"/>
    <w:rsid w:val="54BF35C3"/>
    <w:rsid w:val="55C7591B"/>
    <w:rsid w:val="55EB785C"/>
    <w:rsid w:val="56A93273"/>
    <w:rsid w:val="56CD51B3"/>
    <w:rsid w:val="580B5F93"/>
    <w:rsid w:val="582E57DE"/>
    <w:rsid w:val="5842572D"/>
    <w:rsid w:val="58813D2B"/>
    <w:rsid w:val="5AE12FDB"/>
    <w:rsid w:val="5B084A0C"/>
    <w:rsid w:val="5B800A46"/>
    <w:rsid w:val="5B841BB9"/>
    <w:rsid w:val="5C3B2178"/>
    <w:rsid w:val="5C7F0CFE"/>
    <w:rsid w:val="5D080CF3"/>
    <w:rsid w:val="5D331AE8"/>
    <w:rsid w:val="5DF179D9"/>
    <w:rsid w:val="5E4E6BDA"/>
    <w:rsid w:val="5F334021"/>
    <w:rsid w:val="5F926F9A"/>
    <w:rsid w:val="60235E44"/>
    <w:rsid w:val="602D6CC3"/>
    <w:rsid w:val="608A337D"/>
    <w:rsid w:val="60A12E65"/>
    <w:rsid w:val="60AA0313"/>
    <w:rsid w:val="60D31618"/>
    <w:rsid w:val="618648DC"/>
    <w:rsid w:val="61B41449"/>
    <w:rsid w:val="61CB0541"/>
    <w:rsid w:val="63E8362C"/>
    <w:rsid w:val="64535652"/>
    <w:rsid w:val="64DB5A2C"/>
    <w:rsid w:val="65037931"/>
    <w:rsid w:val="655D3BA6"/>
    <w:rsid w:val="65BC6B1F"/>
    <w:rsid w:val="678B49FB"/>
    <w:rsid w:val="67BF46A4"/>
    <w:rsid w:val="683926A8"/>
    <w:rsid w:val="684D7F02"/>
    <w:rsid w:val="685E210F"/>
    <w:rsid w:val="68D128E1"/>
    <w:rsid w:val="691D4D1A"/>
    <w:rsid w:val="693D54D2"/>
    <w:rsid w:val="6A1D1B56"/>
    <w:rsid w:val="6AD018B4"/>
    <w:rsid w:val="6B036F9E"/>
    <w:rsid w:val="6B5B0B88"/>
    <w:rsid w:val="6B662E80"/>
    <w:rsid w:val="6BE0108D"/>
    <w:rsid w:val="6C7434BE"/>
    <w:rsid w:val="6CC8224D"/>
    <w:rsid w:val="6D003795"/>
    <w:rsid w:val="6D1A237D"/>
    <w:rsid w:val="6D3639D2"/>
    <w:rsid w:val="6D45564C"/>
    <w:rsid w:val="6E6935BC"/>
    <w:rsid w:val="6E7361E8"/>
    <w:rsid w:val="6F370FC4"/>
    <w:rsid w:val="6F421E67"/>
    <w:rsid w:val="6F5E0C47"/>
    <w:rsid w:val="6FB24AEE"/>
    <w:rsid w:val="71A87F57"/>
    <w:rsid w:val="728C5ACB"/>
    <w:rsid w:val="73CF79E1"/>
    <w:rsid w:val="747B5DF7"/>
    <w:rsid w:val="7487654A"/>
    <w:rsid w:val="75BF7F65"/>
    <w:rsid w:val="782A00B9"/>
    <w:rsid w:val="786372CE"/>
    <w:rsid w:val="78DA7590"/>
    <w:rsid w:val="797F3C93"/>
    <w:rsid w:val="798219D5"/>
    <w:rsid w:val="79D55FA9"/>
    <w:rsid w:val="7AD16771"/>
    <w:rsid w:val="7B42766E"/>
    <w:rsid w:val="7B474C85"/>
    <w:rsid w:val="7B784E3E"/>
    <w:rsid w:val="7B7B492E"/>
    <w:rsid w:val="7B8E1B67"/>
    <w:rsid w:val="7BF32717"/>
    <w:rsid w:val="7C52740B"/>
    <w:rsid w:val="7C5B0E2F"/>
    <w:rsid w:val="7CAA7279"/>
    <w:rsid w:val="7D0D15B6"/>
    <w:rsid w:val="7E0E55E6"/>
    <w:rsid w:val="7EFE1AFE"/>
    <w:rsid w:val="7F0F5AB9"/>
    <w:rsid w:val="7F9D4E73"/>
    <w:rsid w:val="7FF62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b/>
      <w:bCs/>
      <w:kern w:val="0"/>
      <w:sz w:val="27"/>
      <w:szCs w:val="27"/>
    </w:rPr>
  </w:style>
  <w:style w:type="paragraph" w:styleId="5">
    <w:name w:val="heading 4"/>
    <w:basedOn w:val="1"/>
    <w:next w:val="1"/>
    <w:qFormat/>
    <w:uiPriority w:val="0"/>
    <w:pPr>
      <w:spacing w:before="100" w:beforeAutospacing="1" w:after="100" w:afterAutospacing="1"/>
      <w:jc w:val="left"/>
      <w:outlineLvl w:val="3"/>
    </w:pPr>
    <w:rPr>
      <w:rFonts w:hint="eastAsia" w:ascii="宋体" w:hAnsi="宋体"/>
      <w:b/>
      <w:bCs/>
      <w:kern w:val="0"/>
      <w:sz w:val="24"/>
    </w:rPr>
  </w:style>
  <w:style w:type="paragraph" w:styleId="6">
    <w:name w:val="heading 5"/>
    <w:basedOn w:val="1"/>
    <w:next w:val="1"/>
    <w:semiHidden/>
    <w:unhideWhenUsed/>
    <w:qFormat/>
    <w:uiPriority w:val="0"/>
    <w:pPr>
      <w:spacing w:before="100" w:beforeAutospacing="1" w:after="100" w:afterAutospacing="1"/>
      <w:jc w:val="left"/>
      <w:outlineLvl w:val="4"/>
    </w:pPr>
    <w:rPr>
      <w:rFonts w:hint="eastAsia" w:ascii="宋体" w:hAnsi="宋体"/>
      <w:b/>
      <w:bCs/>
      <w:kern w:val="0"/>
      <w:sz w:val="20"/>
      <w:szCs w:val="20"/>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0"/>
    <w:pPr>
      <w:spacing w:before="100" w:beforeAutospacing="1" w:after="100" w:afterAutospacing="1"/>
      <w:jc w:val="left"/>
    </w:pPr>
    <w:rPr>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3035</Words>
  <Characters>3154</Characters>
  <Lines>9</Lines>
  <Paragraphs>2</Paragraphs>
  <TotalTime>0</TotalTime>
  <ScaleCrop>false</ScaleCrop>
  <LinksUpToDate>false</LinksUpToDate>
  <CharactersWithSpaces>3156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2025-06-13T03:08:00Z</dcterms:created>
  <dc:creator>cyipxm5</dc:creator>
  <cp:lastModifiedBy>你走啊</cp:lastModifiedBy>
  <dcterms:modified xsi:type="dcterms:W3CDTF">2025-09-12T07:10:55Z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59DA7D12E76A485A97FA6F4D23D571F8_13</vt:lpwstr>
  </property>
  <property fmtid="{D5CDD505-2E9C-101B-9397-08002B2CF9AE}" pid="4" name="KSOTemplateDocerSaveRecord">
    <vt:lpwstr>eyJoZGlkIjoiYWJlMTc4NGIxMGQzZGM3ZTI0N2NkOWFkZjAxZDY0MjciLCJ1c2VySWQiOiIzODg4NjQwMzAifQ==</vt:lpwstr>
  </property>
</Properties>
</file>