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648" w:type="dxa"/>
        <w:tblInd w:w="-4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1590"/>
        <w:gridCol w:w="1455"/>
        <w:gridCol w:w="1785"/>
        <w:gridCol w:w="1575"/>
        <w:gridCol w:w="1665"/>
      </w:tblGrid>
      <w:tr w14:paraId="00FB6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1578" w:type="dxa"/>
            <w:vAlign w:val="center"/>
          </w:tcPr>
          <w:p w14:paraId="34458970">
            <w:pPr>
              <w:snapToGrid w:val="0"/>
              <w:spacing w:line="300" w:lineRule="auto"/>
              <w:jc w:val="center"/>
              <w:rPr>
                <w:rFonts w:hint="eastAsia" w:ascii="宋体" w:hAnsi="宋体"/>
                <w:color w:val="auto"/>
                <w:kern w:val="0"/>
                <w:sz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</w:rPr>
              <w:t>文件名称</w:t>
            </w:r>
          </w:p>
        </w:tc>
        <w:tc>
          <w:tcPr>
            <w:tcW w:w="304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270770">
            <w:pPr>
              <w:snapToGrid w:val="0"/>
              <w:spacing w:line="300" w:lineRule="auto"/>
              <w:jc w:val="center"/>
              <w:rPr>
                <w:rFonts w:ascii="宋体" w:hAnsi="宋体"/>
                <w:b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24"/>
                <w:szCs w:val="24"/>
              </w:rPr>
              <w:t>科研项目立项报告书</w:t>
            </w:r>
          </w:p>
        </w:tc>
        <w:tc>
          <w:tcPr>
            <w:tcW w:w="1785" w:type="dxa"/>
            <w:tcBorders>
              <w:left w:val="single" w:color="auto" w:sz="4" w:space="0"/>
            </w:tcBorders>
            <w:vAlign w:val="center"/>
          </w:tcPr>
          <w:p w14:paraId="6F644874">
            <w:pPr>
              <w:snapToGrid w:val="0"/>
              <w:spacing w:line="300" w:lineRule="auto"/>
              <w:jc w:val="center"/>
              <w:rPr>
                <w:rFonts w:hint="eastAsia" w:ascii="宋体" w:hAnsi="宋体"/>
                <w:color w:val="auto"/>
                <w:kern w:val="0"/>
                <w:sz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</w:rPr>
              <w:t>立项编号</w:t>
            </w:r>
          </w:p>
        </w:tc>
        <w:tc>
          <w:tcPr>
            <w:tcW w:w="3240" w:type="dxa"/>
            <w:gridSpan w:val="2"/>
            <w:tcBorders>
              <w:bottom w:val="single" w:color="auto" w:sz="4" w:space="0"/>
            </w:tcBorders>
            <w:vAlign w:val="center"/>
          </w:tcPr>
          <w:p w14:paraId="7AF074F5">
            <w:pPr>
              <w:snapToGrid w:val="0"/>
              <w:spacing w:line="300" w:lineRule="auto"/>
              <w:jc w:val="center"/>
              <w:rPr>
                <w:rFonts w:hint="default" w:ascii="宋体" w:hAnsi="宋体"/>
                <w:color w:val="auto"/>
                <w:kern w:val="0"/>
                <w:sz w:val="20"/>
                <w:lang w:val="en-US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RD04</w:t>
            </w:r>
          </w:p>
        </w:tc>
      </w:tr>
      <w:tr w14:paraId="5E24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exact"/>
        </w:trPr>
        <w:tc>
          <w:tcPr>
            <w:tcW w:w="1578" w:type="dxa"/>
            <w:vAlign w:val="center"/>
          </w:tcPr>
          <w:p w14:paraId="489EDD20">
            <w:pPr>
              <w:snapToGrid w:val="0"/>
              <w:spacing w:line="300" w:lineRule="auto"/>
              <w:jc w:val="center"/>
              <w:rPr>
                <w:rFonts w:hint="eastAsia" w:ascii="宋体" w:hAnsi="宋体"/>
                <w:color w:val="auto"/>
                <w:kern w:val="0"/>
                <w:sz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</w:rPr>
              <w:t>制定人</w:t>
            </w:r>
          </w:p>
        </w:tc>
        <w:tc>
          <w:tcPr>
            <w:tcW w:w="1590" w:type="dxa"/>
            <w:tcBorders>
              <w:top w:val="single" w:color="auto" w:sz="4" w:space="0"/>
            </w:tcBorders>
            <w:vAlign w:val="center"/>
          </w:tcPr>
          <w:p w14:paraId="4E6BA217">
            <w:pPr>
              <w:snapToGrid w:val="0"/>
              <w:spacing w:line="300" w:lineRule="auto"/>
              <w:jc w:val="center"/>
              <w:rPr>
                <w:rFonts w:hint="eastAsia" w:ascii="宋体" w:hAnsi="宋体" w:eastAsia="宋体"/>
                <w:color w:val="auto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szCs w:val="21"/>
                <w:lang w:val="en-US" w:eastAsia="zh-CN"/>
              </w:rPr>
              <w:t>研发部</w:t>
            </w:r>
          </w:p>
        </w:tc>
        <w:tc>
          <w:tcPr>
            <w:tcW w:w="1455" w:type="dxa"/>
            <w:tcBorders>
              <w:top w:val="single" w:color="auto" w:sz="4" w:space="0"/>
            </w:tcBorders>
            <w:vAlign w:val="center"/>
          </w:tcPr>
          <w:p w14:paraId="64C002DD">
            <w:pPr>
              <w:snapToGrid w:val="0"/>
              <w:spacing w:line="300" w:lineRule="auto"/>
              <w:jc w:val="center"/>
              <w:rPr>
                <w:rFonts w:hint="eastAsia" w:ascii="宋体" w:hAnsi="宋体"/>
                <w:color w:val="auto"/>
                <w:kern w:val="0"/>
                <w:sz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</w:rPr>
              <w:t>审批人</w:t>
            </w:r>
          </w:p>
        </w:tc>
        <w:tc>
          <w:tcPr>
            <w:tcW w:w="1785" w:type="dxa"/>
            <w:tcBorders>
              <w:right w:val="single" w:color="auto" w:sz="4" w:space="0"/>
            </w:tcBorders>
            <w:vAlign w:val="center"/>
          </w:tcPr>
          <w:p w14:paraId="7A64DA92">
            <w:pPr>
              <w:snapToGrid w:val="0"/>
              <w:spacing w:line="300" w:lineRule="auto"/>
              <w:jc w:val="center"/>
              <w:rPr>
                <w:rFonts w:hint="default" w:ascii="宋体" w:hAnsi="宋体" w:eastAsia="宋体"/>
                <w:color w:val="auto"/>
                <w:kern w:val="0"/>
                <w:sz w:val="20"/>
                <w:lang w:val="en-US" w:eastAsia="zh-CN"/>
              </w:rPr>
            </w:pPr>
            <w:r>
              <w:rPr>
                <w:rFonts w:hint="default" w:ascii="宋体" w:hAnsi="宋体" w:eastAsia="宋体"/>
                <w:color w:val="auto"/>
                <w:kern w:val="0"/>
                <w:sz w:val="20"/>
                <w:lang w:val="en-US" w:eastAsia="zh-CN"/>
              </w:rPr>
              <w:t>倪进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D8890">
            <w:pPr>
              <w:snapToGrid w:val="0"/>
              <w:spacing w:line="300" w:lineRule="auto"/>
              <w:ind w:right="-409" w:rightChars="-195"/>
              <w:jc w:val="center"/>
              <w:rPr>
                <w:rFonts w:hint="eastAsia" w:ascii="宋体" w:hAnsi="宋体"/>
                <w:color w:val="auto"/>
                <w:kern w:val="0"/>
                <w:sz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</w:rPr>
              <w:t>签批人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337A846">
            <w:pPr>
              <w:snapToGrid w:val="0"/>
              <w:spacing w:line="300" w:lineRule="auto"/>
              <w:jc w:val="center"/>
              <w:rPr>
                <w:rFonts w:ascii="宋体" w:hAnsi="宋体"/>
                <w:color w:val="auto"/>
                <w:kern w:val="0"/>
                <w:sz w:val="20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</w:rPr>
              <w:t>杜雪良</w:t>
            </w:r>
          </w:p>
        </w:tc>
      </w:tr>
    </w:tbl>
    <w:p w14:paraId="70BF6A16">
      <w:pPr>
        <w:snapToGrid w:val="0"/>
        <w:jc w:val="center"/>
        <w:rPr>
          <w:rFonts w:hint="eastAsia" w:ascii="仿宋_GB2312" w:hAnsi="宋体" w:eastAsia="仿宋_GB2312"/>
          <w:color w:val="auto"/>
          <w:sz w:val="28"/>
          <w:szCs w:val="28"/>
        </w:rPr>
      </w:pPr>
    </w:p>
    <w:p w14:paraId="2923D9BB">
      <w:pPr>
        <w:snapToGrid w:val="0"/>
        <w:jc w:val="center"/>
        <w:rPr>
          <w:rFonts w:hint="eastAsia" w:ascii="仿宋_GB2312" w:hAnsi="宋体" w:eastAsia="仿宋_GB2312"/>
          <w:color w:val="auto"/>
          <w:sz w:val="28"/>
          <w:szCs w:val="28"/>
        </w:rPr>
      </w:pPr>
    </w:p>
    <w:p w14:paraId="19B7885B">
      <w:pPr>
        <w:snapToGrid w:val="0"/>
        <w:jc w:val="center"/>
        <w:rPr>
          <w:rFonts w:hint="eastAsia" w:ascii="仿宋_GB2312" w:hAnsi="宋体" w:eastAsia="仿宋_GB2312"/>
          <w:color w:val="auto"/>
          <w:sz w:val="28"/>
          <w:szCs w:val="28"/>
        </w:rPr>
      </w:pPr>
    </w:p>
    <w:p w14:paraId="45A5E4AC">
      <w:pPr>
        <w:snapToGrid w:val="0"/>
        <w:jc w:val="center"/>
        <w:rPr>
          <w:rFonts w:hint="eastAsia" w:ascii="仿宋_GB2312" w:hAnsi="宋体" w:eastAsia="仿宋_GB2312"/>
          <w:color w:val="auto"/>
          <w:sz w:val="28"/>
          <w:szCs w:val="28"/>
        </w:rPr>
      </w:pPr>
    </w:p>
    <w:p w14:paraId="65C55AD2">
      <w:pPr>
        <w:snapToGrid w:val="0"/>
        <w:jc w:val="center"/>
        <w:rPr>
          <w:rFonts w:hint="eastAsia" w:ascii="仿宋_GB2312" w:hAnsi="宋体" w:eastAsia="仿宋_GB2312"/>
          <w:color w:val="auto"/>
          <w:sz w:val="28"/>
          <w:szCs w:val="28"/>
        </w:rPr>
      </w:pPr>
      <w:r>
        <w:rPr>
          <w:rFonts w:hint="eastAsia" w:ascii="宋体" w:hAnsi="宋体" w:cs="宋体"/>
          <w:color w:val="auto"/>
          <w:sz w:val="32"/>
          <w:szCs w:val="32"/>
        </w:rPr>
        <w:pict>
          <v:shape id="_x0000_i1025" o:spt="75" alt="b718d151-a529-424b-9f16-4005debe9ad9" type="#_x0000_t75" style="height:58.4pt;width:133.35pt;" filled="f" o:preferrelative="t" stroked="f" coordsize="21600,21600">
            <v:path/>
            <v:fill on="f" focussize="0,0"/>
            <v:stroke on="f"/>
            <v:imagedata r:id="rId5" cropbottom="8133f" chromakey="#FFFFFF" o:title="b718d151-a529-424b-9f16-4005debe9ad9"/>
            <o:lock v:ext="edit" aspectratio="t"/>
            <w10:wrap type="none"/>
            <w10:anchorlock/>
          </v:shape>
        </w:pict>
      </w:r>
    </w:p>
    <w:p w14:paraId="4689FEA5">
      <w:pPr>
        <w:rPr>
          <w:rFonts w:hint="eastAsia"/>
          <w:color w:val="auto"/>
        </w:rPr>
      </w:pPr>
    </w:p>
    <w:p w14:paraId="5325BDCC">
      <w:pPr>
        <w:rPr>
          <w:rFonts w:hint="eastAsia"/>
          <w:color w:val="auto"/>
        </w:rPr>
      </w:pPr>
    </w:p>
    <w:p w14:paraId="79FE3F88">
      <w:pPr>
        <w:rPr>
          <w:rFonts w:hint="eastAsia"/>
          <w:color w:val="auto"/>
        </w:rPr>
      </w:pPr>
    </w:p>
    <w:p w14:paraId="4CC00A63">
      <w:pPr>
        <w:pStyle w:val="2"/>
        <w:snapToGrid w:val="0"/>
        <w:spacing w:before="120" w:after="312" w:afterLines="100" w:line="240" w:lineRule="auto"/>
        <w:ind w:firstLine="0"/>
        <w:jc w:val="center"/>
        <w:rPr>
          <w:rFonts w:hint="eastAsia" w:ascii="宋体" w:hAnsi="宋体" w:eastAsia="宋体"/>
          <w:color w:val="auto"/>
          <w:sz w:val="72"/>
          <w:szCs w:val="72"/>
        </w:rPr>
      </w:pPr>
      <w:r>
        <w:rPr>
          <w:rFonts w:hint="eastAsia" w:ascii="宋体" w:hAnsi="宋体" w:eastAsia="宋体"/>
          <w:color w:val="auto"/>
          <w:sz w:val="72"/>
          <w:szCs w:val="72"/>
        </w:rPr>
        <w:t>《科研项目立项报告书》</w:t>
      </w:r>
    </w:p>
    <w:p w14:paraId="785E1E3B">
      <w:pPr>
        <w:rPr>
          <w:rFonts w:hint="eastAsia"/>
          <w:color w:val="auto"/>
        </w:rPr>
      </w:pPr>
    </w:p>
    <w:p w14:paraId="52076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/>
          <w:b/>
          <w:color w:val="auto"/>
          <w:sz w:val="32"/>
          <w:szCs w:val="32"/>
        </w:rPr>
      </w:pPr>
      <w:r>
        <w:rPr>
          <w:rFonts w:hint="eastAsia" w:ascii="仿宋_GB2312" w:hAnsi="宋体" w:eastAsia="仿宋_GB2312"/>
          <w:b/>
          <w:color w:val="auto"/>
          <w:sz w:val="32"/>
          <w:szCs w:val="32"/>
        </w:rPr>
        <w:t>项目名称：基于高精度金属加工工艺的铝制品的研发</w:t>
      </w:r>
    </w:p>
    <w:p w14:paraId="06FF9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/>
          <w:b/>
          <w:color w:val="auto"/>
          <w:sz w:val="32"/>
          <w:szCs w:val="32"/>
        </w:rPr>
      </w:pPr>
      <w:r>
        <w:rPr>
          <w:rFonts w:hint="eastAsia" w:ascii="仿宋_GB2312" w:hAnsi="宋体" w:eastAsia="仿宋_GB2312"/>
          <w:b/>
          <w:color w:val="auto"/>
          <w:sz w:val="32"/>
          <w:szCs w:val="32"/>
        </w:rPr>
        <w:t>所属领域：新材料--金属材料--铝、铜、镁、钛合金清洁生产与深加工技术</w:t>
      </w:r>
    </w:p>
    <w:p w14:paraId="32704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 w:cs="Arial"/>
          <w:b/>
          <w:color w:val="auto"/>
          <w:sz w:val="32"/>
          <w:szCs w:val="32"/>
        </w:rPr>
      </w:pPr>
      <w:r>
        <w:rPr>
          <w:rFonts w:hint="eastAsia" w:ascii="仿宋_GB2312" w:hAnsi="宋体" w:eastAsia="仿宋_GB2312"/>
          <w:b/>
          <w:color w:val="auto"/>
          <w:sz w:val="32"/>
          <w:szCs w:val="32"/>
        </w:rPr>
        <w:t>承担单位：</w:t>
      </w:r>
      <w:r>
        <w:rPr>
          <w:rFonts w:hint="eastAsia" w:ascii="仿宋_GB2312" w:hAnsi="宋体" w:eastAsia="仿宋_GB2312" w:cs="Arial"/>
          <w:b/>
          <w:color w:val="auto"/>
          <w:sz w:val="32"/>
          <w:szCs w:val="32"/>
          <w:lang w:val="en-US" w:eastAsia="zh-CN"/>
        </w:rPr>
        <w:t>上海舜斯新材料科技有限公司</w:t>
      </w:r>
    </w:p>
    <w:p w14:paraId="4667C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 w:cs="Arial"/>
          <w:b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/>
          <w:b/>
          <w:color w:val="auto"/>
          <w:sz w:val="32"/>
          <w:szCs w:val="32"/>
        </w:rPr>
        <w:t>管理</w:t>
      </w:r>
      <w:r>
        <w:rPr>
          <w:rFonts w:hint="eastAsia" w:ascii="仿宋_GB2312" w:hAnsi="宋体" w:eastAsia="仿宋_GB2312"/>
          <w:b/>
          <w:color w:val="auto"/>
          <w:sz w:val="32"/>
          <w:szCs w:val="32"/>
          <w:lang w:val="en-US" w:eastAsia="zh-CN"/>
        </w:rPr>
        <w:t>部门</w:t>
      </w:r>
      <w:r>
        <w:rPr>
          <w:rFonts w:hint="eastAsia" w:ascii="仿宋_GB2312" w:hAnsi="宋体" w:eastAsia="仿宋_GB2312"/>
          <w:b/>
          <w:color w:val="auto"/>
          <w:sz w:val="32"/>
          <w:szCs w:val="32"/>
        </w:rPr>
        <w:t>：</w:t>
      </w:r>
      <w:r>
        <w:rPr>
          <w:rFonts w:hint="eastAsia" w:ascii="仿宋_GB2312" w:hAnsi="宋体" w:eastAsia="仿宋_GB2312" w:cs="Arial"/>
          <w:b/>
          <w:color w:val="auto"/>
          <w:sz w:val="32"/>
          <w:szCs w:val="32"/>
          <w:lang w:val="en-US" w:eastAsia="zh-CN"/>
        </w:rPr>
        <w:t>研发部</w:t>
      </w:r>
    </w:p>
    <w:p w14:paraId="0FD39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12" w:afterLines="100" w:line="360" w:lineRule="auto"/>
        <w:ind w:left="630" w:leftChars="300"/>
        <w:jc w:val="both"/>
        <w:textAlignment w:val="auto"/>
        <w:rPr>
          <w:rFonts w:hint="eastAsia" w:ascii="仿宋_GB2312" w:hAnsi="宋体" w:eastAsia="仿宋_GB2312" w:cs="Arial"/>
          <w:b/>
          <w:color w:val="auto"/>
          <w:sz w:val="32"/>
          <w:szCs w:val="32"/>
        </w:rPr>
      </w:pPr>
      <w:r>
        <w:rPr>
          <w:rFonts w:hint="eastAsia" w:ascii="仿宋_GB2312" w:hAnsi="宋体" w:eastAsia="仿宋_GB2312" w:cs="Arial"/>
          <w:b/>
          <w:color w:val="auto"/>
          <w:sz w:val="32"/>
          <w:szCs w:val="32"/>
        </w:rPr>
        <w:t>起止时间：</w:t>
      </w:r>
      <w:r>
        <w:rPr>
          <w:rFonts w:hint="eastAsia" w:ascii="仿宋_GB2312" w:hAnsi="宋体" w:eastAsia="仿宋_GB2312" w:cs="Arial"/>
          <w:b/>
          <w:color w:val="auto"/>
          <w:sz w:val="32"/>
          <w:szCs w:val="32"/>
          <w:lang w:val="en-US" w:eastAsia="zh-CN"/>
        </w:rPr>
        <w:t>2023</w:t>
      </w:r>
      <w:r>
        <w:rPr>
          <w:rFonts w:hint="eastAsia" w:ascii="仿宋_GB2312" w:hAnsi="宋体" w:eastAsia="仿宋_GB2312" w:cs="Arial"/>
          <w:b/>
          <w:color w:val="auto"/>
          <w:sz w:val="32"/>
          <w:szCs w:val="32"/>
        </w:rPr>
        <w:t>年</w:t>
      </w:r>
      <w:r>
        <w:rPr>
          <w:rFonts w:hint="eastAsia" w:ascii="仿宋_GB2312" w:hAnsi="宋体" w:eastAsia="仿宋_GB2312" w:cs="Arial"/>
          <w:b/>
          <w:color w:val="auto"/>
          <w:sz w:val="32"/>
          <w:szCs w:val="32"/>
          <w:lang w:val="en-US" w:eastAsia="zh-CN"/>
        </w:rPr>
        <w:t>1</w:t>
      </w:r>
      <w:r>
        <w:rPr>
          <w:rFonts w:hint="eastAsia" w:ascii="仿宋_GB2312" w:hAnsi="宋体" w:eastAsia="仿宋_GB2312" w:cs="Arial"/>
          <w:b/>
          <w:color w:val="auto"/>
          <w:sz w:val="32"/>
          <w:szCs w:val="32"/>
        </w:rPr>
        <w:t>月-</w:t>
      </w:r>
      <w:r>
        <w:rPr>
          <w:rFonts w:hint="eastAsia" w:ascii="仿宋_GB2312" w:hAnsi="宋体" w:eastAsia="仿宋_GB2312" w:cs="Arial"/>
          <w:b/>
          <w:color w:val="auto"/>
          <w:sz w:val="32"/>
          <w:szCs w:val="32"/>
          <w:lang w:val="en-US" w:eastAsia="zh-CN"/>
        </w:rPr>
        <w:t>2023</w:t>
      </w:r>
      <w:r>
        <w:rPr>
          <w:rFonts w:hint="eastAsia" w:ascii="仿宋_GB2312" w:hAnsi="宋体" w:eastAsia="仿宋_GB2312" w:cs="Arial"/>
          <w:b/>
          <w:color w:val="auto"/>
          <w:sz w:val="32"/>
          <w:szCs w:val="32"/>
        </w:rPr>
        <w:t>年</w:t>
      </w:r>
      <w:r>
        <w:rPr>
          <w:rFonts w:hint="eastAsia" w:ascii="仿宋_GB2312" w:hAnsi="宋体" w:eastAsia="仿宋_GB2312" w:cs="Arial"/>
          <w:b/>
          <w:color w:val="auto"/>
          <w:sz w:val="32"/>
          <w:szCs w:val="32"/>
          <w:lang w:val="en-US" w:eastAsia="zh-CN"/>
        </w:rPr>
        <w:t>12</w:t>
      </w:r>
      <w:r>
        <w:rPr>
          <w:rFonts w:hint="eastAsia" w:ascii="仿宋_GB2312" w:hAnsi="宋体" w:eastAsia="仿宋_GB2312" w:cs="Arial"/>
          <w:b/>
          <w:color w:val="auto"/>
          <w:sz w:val="32"/>
          <w:szCs w:val="32"/>
        </w:rPr>
        <w:t>月</w:t>
      </w:r>
    </w:p>
    <w:p w14:paraId="238FAB44">
      <w:pPr>
        <w:snapToGrid w:val="0"/>
        <w:spacing w:after="312" w:afterLines="100" w:line="300" w:lineRule="auto"/>
        <w:ind w:left="1008" w:leftChars="480"/>
        <w:rPr>
          <w:rFonts w:hint="eastAsia" w:ascii="仿宋_GB2312" w:hAnsi="宋体" w:eastAsia="仿宋_GB2312" w:cs="Arial"/>
          <w:color w:val="auto"/>
          <w:sz w:val="28"/>
          <w:szCs w:val="28"/>
        </w:rPr>
      </w:pPr>
    </w:p>
    <w:p w14:paraId="2E8414D7">
      <w:pPr>
        <w:snapToGrid w:val="0"/>
        <w:spacing w:after="312" w:afterLines="100" w:line="300" w:lineRule="auto"/>
        <w:jc w:val="center"/>
        <w:rPr>
          <w:rFonts w:hint="eastAsia" w:ascii="仿宋_GB2312" w:hAnsi="宋体" w:eastAsia="仿宋_GB2312" w:cs="Arial"/>
          <w:color w:val="auto"/>
          <w:sz w:val="28"/>
          <w:szCs w:val="28"/>
        </w:rPr>
      </w:pPr>
      <w:r>
        <w:rPr>
          <w:rFonts w:hint="eastAsia" w:ascii="仿宋_GB2312" w:hAnsi="宋体" w:eastAsia="仿宋_GB2312" w:cs="Arial"/>
          <w:color w:val="auto"/>
          <w:sz w:val="28"/>
          <w:szCs w:val="28"/>
        </w:rPr>
        <w:t>上海舜斯新材料科技有限公司</w:t>
      </w:r>
    </w:p>
    <w:p w14:paraId="65ADDD98">
      <w:pPr>
        <w:snapToGrid w:val="0"/>
        <w:spacing w:after="312" w:afterLines="100" w:line="300" w:lineRule="auto"/>
        <w:jc w:val="center"/>
        <w:rPr>
          <w:rFonts w:ascii="Times New Roman" w:hAnsi="Times New Roman"/>
          <w:color w:val="auto"/>
        </w:rPr>
      </w:pPr>
      <w:r>
        <w:rPr>
          <w:rFonts w:hint="eastAsia" w:ascii="Times New Roman" w:hAnsi="Times New Roman"/>
          <w:color w:val="auto"/>
          <w:lang w:val="en-US" w:eastAsia="zh-CN"/>
        </w:rPr>
        <w:t>2023年</w:t>
      </w:r>
    </w:p>
    <w:p w14:paraId="266AE96C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2"/>
        </w:rPr>
      </w:pPr>
      <w:r>
        <w:rPr>
          <w:rStyle w:val="13"/>
          <w:rFonts w:hint="eastAsia" w:ascii="Times New Roman" w:hAnsi="Times New Roman"/>
          <w:color w:val="auto"/>
          <w:sz w:val="22"/>
          <w:szCs w:val="22"/>
        </w:rPr>
        <w:t>一、项目背景</w:t>
      </w:r>
    </w:p>
    <w:p w14:paraId="1B0618A1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随着我国制造业的持续升级，铝制品在航空航天、交通运输、建筑装饰等领域的应用日益广泛。铝材以其密度小、强度高、可回收性强等优点，成为众多行业中替代传统钢材的重要材料。然而，目前我国在高精度铝材加工方面仍存在诸多瓶颈，如加工精度不高、表面处理不精细、加工过程中环境污染较大等问题。据统计，我国铝制品加工企业的整体自动化水平仍低于发达国家平均水平，加工效率和产品一致性仍有较大提升空间。</w:t>
      </w:r>
    </w:p>
    <w:p w14:paraId="0C634AE3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欧美及日本等发达国家在金属加工领域已广泛应用自动化、智能化设备，特别是在铝制品加工方面，已实现高精度、低能耗、少污染的生产模式。例如，日本采用高精度定位模具和自动化裁切设备，显著提升了铝材加工效率和产品一致性；德国通过环保型加工平台，有效控制了加工过程中产生的粉尘和有害气体排放，推动绿色制造发展。</w:t>
      </w:r>
    </w:p>
    <w:p w14:paraId="13F7F1D7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面对国内铝制品加工行业对高精度、高效率、绿色环保技术的迫切需求，本项目将</w:t>
      </w:r>
      <w:bookmarkStart w:id="0" w:name="_GoBack"/>
      <w:bookmarkEnd w:id="0"/>
      <w:r>
        <w:rPr>
          <w:rFonts w:ascii="Times New Roman" w:hAnsi="Times New Roman"/>
          <w:color w:val="auto"/>
          <w:sz w:val="22"/>
        </w:rPr>
        <w:t>研发基于高精度加工工艺的铝制品加工系统，提升加工精度、降低环境污染、提高生产效率，满足现代制造业对高品质铝材的需求，具有较强的现实意义与市场前景。</w:t>
      </w:r>
    </w:p>
    <w:p w14:paraId="345A1638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2"/>
        </w:rPr>
      </w:pPr>
      <w:r>
        <w:rPr>
          <w:rStyle w:val="13"/>
          <w:rFonts w:hint="eastAsia" w:ascii="Times New Roman" w:hAnsi="Times New Roman"/>
          <w:color w:val="auto"/>
          <w:sz w:val="22"/>
          <w:szCs w:val="22"/>
        </w:rPr>
        <w:t>二、项目目标</w:t>
      </w:r>
    </w:p>
    <w:p w14:paraId="06877ECA">
      <w:pPr>
        <w:spacing w:line="360" w:lineRule="auto"/>
        <w:ind w:left="420" w:leftChars="200"/>
        <w:rPr>
          <w:rFonts w:ascii="Times New Roman" w:hAnsi="Times New Roman" w:cs="Segoe UI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本项目围绕高精度铝制品加工技术，研发集成定位、裁切、加工为一体的智能化系统，实现以下技术目标：</w:t>
      </w:r>
    </w:p>
    <w:p w14:paraId="4E17EF43">
      <w:pPr>
        <w:numPr>
          <w:ilvl w:val="0"/>
          <w:numId w:val="1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开发具备高精度定位功能的金属加工模具，提升模具更换效率与加工一致性；</w:t>
      </w:r>
    </w:p>
    <w:p w14:paraId="77DCDA04">
      <w:pPr>
        <w:numPr>
          <w:ilvl w:val="0"/>
          <w:numId w:val="1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实现铝制品加工过程的模块化与集成化，降低人工干预，提高生产效率</w:t>
      </w:r>
      <w:r>
        <w:rPr>
          <w:rFonts w:hint="eastAsia" w:ascii="Times New Roman" w:hAnsi="Times New Roman"/>
          <w:color w:val="auto"/>
          <w:sz w:val="22"/>
          <w:lang w:eastAsia="zh-CN"/>
        </w:rPr>
        <w:t>；</w:t>
      </w:r>
    </w:p>
    <w:p w14:paraId="56E961F9">
      <w:pPr>
        <w:numPr>
          <w:ilvl w:val="0"/>
          <w:numId w:val="1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研制具备自动排气功能的铝膜裁切装置，提升铝膜贴合平整度与裁切精度；</w:t>
      </w:r>
    </w:p>
    <w:p w14:paraId="04E4F74D">
      <w:pPr>
        <w:numPr>
          <w:ilvl w:val="0"/>
          <w:numId w:val="1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构建具备移动便捷性与烟尘处理能力的金属加工平台，提升操作灵活性与环保性能；</w:t>
      </w:r>
    </w:p>
    <w:p w14:paraId="1D3681D0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2"/>
        </w:rPr>
      </w:pPr>
      <w:r>
        <w:rPr>
          <w:rStyle w:val="13"/>
          <w:rFonts w:hint="eastAsia" w:ascii="Times New Roman" w:hAnsi="Times New Roman"/>
          <w:color w:val="auto"/>
          <w:sz w:val="22"/>
          <w:szCs w:val="22"/>
        </w:rPr>
        <w:t>三、预期效益与挑战</w:t>
      </w:r>
    </w:p>
    <w:p w14:paraId="5DD0B896">
      <w:pPr>
        <w:spacing w:line="360" w:lineRule="auto"/>
        <w:rPr>
          <w:rFonts w:ascii="Times New Roman" w:hAnsi="Times New Roman"/>
          <w:color w:val="auto"/>
          <w:sz w:val="22"/>
          <w:szCs w:val="22"/>
        </w:rPr>
      </w:pPr>
      <w:r>
        <w:rPr>
          <w:rFonts w:hint="eastAsia" w:ascii="Times New Roman" w:hAnsi="Times New Roman"/>
          <w:color w:val="auto"/>
          <w:sz w:val="22"/>
          <w:szCs w:val="22"/>
        </w:rPr>
        <w:t>（一）预期效益</w:t>
      </w:r>
    </w:p>
    <w:p w14:paraId="1DAC6ABF">
      <w:pPr>
        <w:numPr>
          <w:ilvl w:val="0"/>
          <w:numId w:val="2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经济效益：提升铝制品加工效率，降低单位产品加工成本，增强企业在行业内的竞争力；</w:t>
      </w:r>
    </w:p>
    <w:p w14:paraId="19B0AC1A">
      <w:pPr>
        <w:numPr>
          <w:ilvl w:val="0"/>
          <w:numId w:val="2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社会效益：减少加工过程中产生的粉尘与有害气体排放，改善作业环境，符合绿色制造发展趋势；</w:t>
      </w:r>
    </w:p>
    <w:p w14:paraId="330571AD">
      <w:pPr>
        <w:numPr>
          <w:ilvl w:val="0"/>
          <w:numId w:val="2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技术效益：提升铝制品加工精度和一致性，满足高端制造领域对铝材性能的更高要求；</w:t>
      </w:r>
    </w:p>
    <w:p w14:paraId="08B8FDB0">
      <w:pPr>
        <w:spacing w:line="360" w:lineRule="auto"/>
        <w:rPr>
          <w:rFonts w:ascii="Times New Roman" w:hAnsi="Times New Roman" w:eastAsia="Segoe UI" w:cs="Segoe UI"/>
          <w:color w:val="auto"/>
          <w:sz w:val="22"/>
          <w:szCs w:val="22"/>
        </w:rPr>
      </w:pPr>
      <w:r>
        <w:rPr>
          <w:rFonts w:hint="eastAsia" w:ascii="Times New Roman" w:hAnsi="Times New Roman" w:eastAsia="Segoe UI" w:cs="Segoe UI"/>
          <w:color w:val="auto"/>
          <w:sz w:val="22"/>
          <w:szCs w:val="22"/>
        </w:rPr>
        <w:t>（二）面临的挑战</w:t>
      </w:r>
    </w:p>
    <w:p w14:paraId="40B19181">
      <w:pPr>
        <w:numPr>
          <w:ilvl w:val="0"/>
          <w:numId w:val="3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技术整合难度：多种功能模块之间的协同配合需进一步优化，确保系统运行稳定；</w:t>
      </w:r>
    </w:p>
    <w:p w14:paraId="2FEA41F8">
      <w:pPr>
        <w:numPr>
          <w:ilvl w:val="0"/>
          <w:numId w:val="3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市场接受度：高精度加工设备初期投入较大，部分中小企业接受度有限；</w:t>
      </w:r>
    </w:p>
    <w:p w14:paraId="65A41D0F">
      <w:pPr>
        <w:numPr>
          <w:ilvl w:val="0"/>
          <w:numId w:val="3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工艺适配性：不同铝材种类与加工工艺之间存在差异，需进行个性化调整；</w:t>
      </w:r>
    </w:p>
    <w:p w14:paraId="16747AE5">
      <w:pPr>
        <w:numPr>
          <w:ilvl w:val="0"/>
          <w:numId w:val="3"/>
        </w:numPr>
        <w:spacing w:line="360" w:lineRule="auto"/>
        <w:ind w:left="0" w:firstLine="440" w:firstLineChars="200"/>
        <w:rPr>
          <w:rFonts w:ascii="Times New Roman" w:hAnsi="Times New Roman" w:cs="Segoe UI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</w:rPr>
        <w:t>项目预算：根据初步测算，项目总预算预计在</w:t>
      </w:r>
      <w:r>
        <w:rPr>
          <w:rFonts w:hint="eastAsia" w:ascii="Times New Roman" w:hAnsi="Times New Roman"/>
          <w:color w:val="auto"/>
          <w:sz w:val="22"/>
          <w:lang w:val="en-US" w:eastAsia="zh-CN"/>
        </w:rPr>
        <w:t>550</w:t>
      </w:r>
      <w:r>
        <w:rPr>
          <w:rFonts w:ascii="Times New Roman" w:hAnsi="Times New Roman"/>
          <w:color w:val="auto"/>
          <w:sz w:val="22"/>
        </w:rPr>
        <w:t>万元左右（具体金额待进一步细化）。</w:t>
      </w:r>
    </w:p>
    <w:p w14:paraId="001CDE2D">
      <w:pPr>
        <w:spacing w:line="360" w:lineRule="auto"/>
        <w:jc w:val="right"/>
        <w:rPr>
          <w:rFonts w:ascii="Times New Roman" w:hAnsi="Times New Roman"/>
          <w:color w:val="auto"/>
          <w:sz w:val="22"/>
          <w:szCs w:val="22"/>
        </w:rPr>
      </w:pPr>
    </w:p>
    <w:p w14:paraId="27C9E684">
      <w:pPr>
        <w:spacing w:line="360" w:lineRule="auto"/>
        <w:jc w:val="right"/>
        <w:rPr>
          <w:rFonts w:hint="eastAsia" w:ascii="Times New Roman" w:hAnsi="Times New Roman" w:eastAsia="宋体"/>
          <w:color w:val="auto"/>
          <w:sz w:val="22"/>
          <w:szCs w:val="22"/>
          <w:lang w:eastAsia="zh-CN"/>
        </w:rPr>
      </w:pPr>
      <w:r>
        <w:rPr>
          <w:rFonts w:hint="eastAsia" w:ascii="Times New Roman" w:hAnsi="Times New Roman"/>
          <w:color w:val="auto"/>
          <w:sz w:val="22"/>
          <w:szCs w:val="22"/>
          <w:lang w:eastAsia="zh-CN"/>
        </w:rPr>
        <w:t>上海舜斯新材料科技有限公司</w:t>
      </w:r>
    </w:p>
    <w:p w14:paraId="01F0D6AF">
      <w:pPr>
        <w:spacing w:line="360" w:lineRule="auto"/>
        <w:jc w:val="right"/>
        <w:rPr>
          <w:rFonts w:hint="eastAsia" w:ascii="Times New Roman" w:hAnsi="Times New Roman"/>
          <w:color w:val="auto"/>
          <w:sz w:val="22"/>
          <w:szCs w:val="22"/>
        </w:rPr>
      </w:pPr>
      <w:r>
        <w:rPr>
          <w:rFonts w:hint="eastAsia" w:ascii="Times New Roman" w:hAnsi="Times New Roman"/>
          <w:color w:val="auto"/>
          <w:sz w:val="22"/>
          <w:szCs w:val="22"/>
          <w:lang w:eastAsia="zh-CN"/>
        </w:rPr>
        <w:t>2023年</w:t>
      </w:r>
      <w:r>
        <w:rPr>
          <w:rFonts w:hint="eastAsia" w:ascii="Times New Roman" w:hAnsi="Times New Roman"/>
          <w:color w:val="auto"/>
          <w:sz w:val="22"/>
          <w:szCs w:val="22"/>
        </w:rPr>
        <w:t>1月4日</w:t>
      </w:r>
    </w:p>
    <w:p w14:paraId="4449C213">
      <w:pPr>
        <w:pStyle w:val="3"/>
        <w:jc w:val="center"/>
        <w:rPr>
          <w:rFonts w:ascii="Times New Roman" w:hAnsi="Times New Roman"/>
          <w:color w:val="auto"/>
          <w:sz w:val="36"/>
          <w:szCs w:val="28"/>
        </w:rPr>
      </w:pPr>
      <w:r>
        <w:rPr>
          <w:rFonts w:hint="eastAsia" w:ascii="Times New Roman" w:hAnsi="Times New Roman"/>
          <w:color w:val="auto"/>
          <w:sz w:val="22"/>
          <w:szCs w:val="22"/>
        </w:rPr>
        <w:br w:type="page"/>
      </w:r>
      <w:r>
        <w:rPr>
          <w:rFonts w:hint="eastAsia" w:ascii="Times New Roman" w:hAnsi="Times New Roman"/>
          <w:color w:val="auto"/>
          <w:sz w:val="36"/>
          <w:szCs w:val="28"/>
        </w:rPr>
        <w:t>项目立项通知</w:t>
      </w:r>
    </w:p>
    <w:p w14:paraId="3533563B">
      <w:pPr>
        <w:spacing w:line="360" w:lineRule="auto"/>
        <w:rPr>
          <w:rFonts w:ascii="Times New Roman" w:hAnsi="Times New Roman"/>
          <w:color w:val="auto"/>
          <w:sz w:val="22"/>
          <w:szCs w:val="28"/>
        </w:rPr>
      </w:pPr>
      <w:r>
        <w:rPr>
          <w:rFonts w:hint="eastAsia" w:ascii="Times New Roman" w:hAnsi="Times New Roman"/>
          <w:color w:val="auto"/>
          <w:sz w:val="22"/>
          <w:szCs w:val="28"/>
        </w:rPr>
        <w:t>各部门：</w:t>
      </w:r>
    </w:p>
    <w:p w14:paraId="6EA35AC7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随着工业制造对铝制品精度和性能要求的提升，传统加工工艺在尺寸控制、表面质量及生产效率等方面存在一定局限性。为满足市场对高精度铝制品的需求，提升我司在金属材料深加工领域的技术竞争力，结合我司已有知识产权成果，决定立项开展“基于高精度金属加工工艺的铝制品的研发”项目。请项目负责人</w:t>
      </w:r>
      <w:r>
        <w:rPr>
          <w:rFonts w:hint="eastAsia" w:ascii="Times New Roman" w:hAnsi="Times New Roman"/>
          <w:color w:val="auto"/>
          <w:sz w:val="22"/>
          <w:szCs w:val="28"/>
          <w:lang w:eastAsia="zh-CN"/>
        </w:rPr>
        <w:t>倪进</w:t>
      </w:r>
      <w:r>
        <w:rPr>
          <w:rFonts w:ascii="Times New Roman" w:hAnsi="Times New Roman"/>
          <w:color w:val="auto"/>
          <w:sz w:val="22"/>
        </w:rPr>
        <w:t>及相关人员按照项目计划积极推进，确保项目顺利实施。同时，公司各相关部门应给予积极配合与支持，共同推动项目进展。</w:t>
      </w:r>
    </w:p>
    <w:p w14:paraId="01BA7DC7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rPr>
          <w:rStyle w:val="13"/>
          <w:rFonts w:hint="eastAsia" w:ascii="Times New Roman" w:hAnsi="Times New Roman"/>
          <w:color w:val="auto"/>
          <w:sz w:val="22"/>
          <w:szCs w:val="28"/>
        </w:rPr>
        <w:t>一、项目信息</w:t>
      </w:r>
    </w:p>
    <w:p w14:paraId="76C767B1">
      <w:pPr>
        <w:spacing w:line="360" w:lineRule="auto"/>
        <w:rPr>
          <w:rFonts w:hint="default" w:ascii="Times New Roman" w:hAnsi="Times New Roman" w:eastAsia="宋体"/>
          <w:color w:val="auto"/>
          <w:sz w:val="22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2"/>
          <w:szCs w:val="28"/>
        </w:rPr>
        <w:t>立项编号：</w:t>
      </w:r>
      <w:r>
        <w:rPr>
          <w:rFonts w:hint="eastAsia" w:ascii="Times New Roman" w:hAnsi="Times New Roman"/>
          <w:color w:val="auto"/>
          <w:sz w:val="22"/>
          <w:szCs w:val="28"/>
          <w:lang w:val="en-US" w:eastAsia="zh-CN"/>
        </w:rPr>
        <w:t>RD04</w:t>
      </w:r>
    </w:p>
    <w:p w14:paraId="4F057AFF">
      <w:pPr>
        <w:spacing w:line="360" w:lineRule="auto"/>
        <w:rPr>
          <w:rFonts w:ascii="Times New Roman" w:hAnsi="Times New Roman"/>
          <w:color w:val="auto"/>
          <w:sz w:val="22"/>
          <w:szCs w:val="28"/>
        </w:rPr>
      </w:pPr>
      <w:r>
        <w:rPr>
          <w:rFonts w:hint="eastAsia" w:ascii="Times New Roman" w:hAnsi="Times New Roman"/>
          <w:color w:val="auto"/>
          <w:sz w:val="22"/>
          <w:szCs w:val="28"/>
        </w:rPr>
        <w:t>发文日期：</w:t>
      </w:r>
      <w:r>
        <w:rPr>
          <w:rFonts w:hint="eastAsia" w:ascii="Times New Roman" w:hAnsi="Times New Roman"/>
          <w:color w:val="auto"/>
          <w:sz w:val="22"/>
          <w:szCs w:val="28"/>
          <w:lang w:eastAsia="zh-CN"/>
        </w:rPr>
        <w:t>2023年</w:t>
      </w:r>
      <w:r>
        <w:rPr>
          <w:rFonts w:hint="eastAsia" w:ascii="Times New Roman" w:hAnsi="Times New Roman"/>
          <w:color w:val="auto"/>
          <w:sz w:val="22"/>
          <w:szCs w:val="28"/>
        </w:rPr>
        <w:t>1月5日</w:t>
      </w:r>
    </w:p>
    <w:p w14:paraId="1EC4C17F">
      <w:pPr>
        <w:spacing w:line="360" w:lineRule="auto"/>
        <w:rPr>
          <w:rFonts w:ascii="Times New Roman" w:hAnsi="Times New Roman"/>
          <w:color w:val="auto"/>
          <w:sz w:val="22"/>
          <w:szCs w:val="28"/>
        </w:rPr>
      </w:pPr>
      <w:r>
        <w:rPr>
          <w:rFonts w:hint="eastAsia" w:ascii="Times New Roman" w:hAnsi="Times New Roman"/>
          <w:color w:val="auto"/>
          <w:sz w:val="22"/>
          <w:szCs w:val="28"/>
        </w:rPr>
        <w:t>项目名称：</w:t>
      </w:r>
      <w:r>
        <w:rPr>
          <w:rFonts w:ascii="Times New Roman" w:hAnsi="Times New Roman"/>
          <w:color w:val="auto"/>
          <w:sz w:val="22"/>
        </w:rPr>
        <w:t>基于高精度金属加工工艺的铝制品的研发</w:t>
      </w:r>
    </w:p>
    <w:p w14:paraId="1688930C">
      <w:pPr>
        <w:spacing w:line="360" w:lineRule="auto"/>
        <w:rPr>
          <w:rFonts w:hint="eastAsia" w:ascii="Times New Roman" w:hAnsi="Times New Roman"/>
          <w:color w:val="auto"/>
          <w:sz w:val="22"/>
          <w:lang w:val="en-US" w:eastAsia="zh-CN"/>
        </w:rPr>
      </w:pPr>
      <w:r>
        <w:rPr>
          <w:rFonts w:hint="eastAsia" w:ascii="Times New Roman" w:hAnsi="Times New Roman"/>
          <w:color w:val="auto"/>
          <w:sz w:val="22"/>
        </w:rPr>
        <w:t>项目团队：</w:t>
      </w:r>
      <w:r>
        <w:rPr>
          <w:rFonts w:hint="eastAsia" w:ascii="Times New Roman" w:hAnsi="Times New Roman"/>
          <w:color w:val="auto"/>
          <w:sz w:val="22"/>
          <w:lang w:eastAsia="zh-CN"/>
        </w:rPr>
        <w:t>倪进、</w:t>
      </w:r>
      <w:r>
        <w:rPr>
          <w:rFonts w:hint="eastAsia" w:ascii="Times New Roman" w:hAnsi="Times New Roman"/>
          <w:color w:val="auto"/>
          <w:sz w:val="22"/>
          <w:lang w:val="en-US" w:eastAsia="zh-CN"/>
        </w:rPr>
        <w:t>严天元、夏冬飞、杜雪良、陈良、丁小花、聂泽慧、龚久林、何琳琳、芦银行、胡代红、姜华、刘庆磊、孟庭苇、路小珠、孙海梅、王丽霞、王平、倪先根、裴建斌、王志远、吴红艳、薛进刚、杨怀亮、张国强、张贤宝、杨通友、邸允浩、丁传彬</w:t>
      </w:r>
    </w:p>
    <w:p w14:paraId="48B6EAA1">
      <w:pPr>
        <w:spacing w:line="360" w:lineRule="auto"/>
        <w:rPr>
          <w:rFonts w:ascii="Times New Roman" w:hAnsi="Times New Roman"/>
          <w:color w:val="auto"/>
          <w:sz w:val="22"/>
          <w:szCs w:val="28"/>
        </w:rPr>
      </w:pPr>
      <w:r>
        <w:rPr>
          <w:rFonts w:hint="eastAsia" w:ascii="Times New Roman" w:hAnsi="Times New Roman"/>
          <w:color w:val="auto"/>
          <w:sz w:val="22"/>
          <w:szCs w:val="28"/>
        </w:rPr>
        <w:t>项目周期：</w:t>
      </w:r>
      <w:r>
        <w:rPr>
          <w:rFonts w:hint="eastAsia" w:ascii="Times New Roman" w:hAnsi="Times New Roman"/>
          <w:color w:val="auto"/>
          <w:sz w:val="22"/>
          <w:szCs w:val="28"/>
          <w:lang w:eastAsia="zh-CN"/>
        </w:rPr>
        <w:t>2023年</w:t>
      </w:r>
      <w:r>
        <w:rPr>
          <w:rFonts w:hint="eastAsia" w:ascii="Times New Roman" w:hAnsi="Times New Roman"/>
          <w:color w:val="auto"/>
          <w:sz w:val="22"/>
          <w:szCs w:val="28"/>
        </w:rPr>
        <w:t>01月04日至</w:t>
      </w:r>
      <w:r>
        <w:rPr>
          <w:rFonts w:hint="eastAsia" w:ascii="Times New Roman" w:hAnsi="Times New Roman"/>
          <w:color w:val="auto"/>
          <w:sz w:val="22"/>
          <w:szCs w:val="28"/>
          <w:lang w:eastAsia="zh-CN"/>
        </w:rPr>
        <w:t>2023年</w:t>
      </w:r>
      <w:r>
        <w:rPr>
          <w:rFonts w:hint="eastAsia" w:ascii="Times New Roman" w:hAnsi="Times New Roman"/>
          <w:color w:val="auto"/>
          <w:sz w:val="22"/>
          <w:szCs w:val="28"/>
        </w:rPr>
        <w:t>12月31日</w:t>
      </w:r>
    </w:p>
    <w:p w14:paraId="2CF3473B">
      <w:pPr>
        <w:spacing w:line="360" w:lineRule="auto"/>
        <w:rPr>
          <w:rFonts w:ascii="Times New Roman" w:hAnsi="Times New Roman"/>
          <w:color w:val="auto"/>
          <w:sz w:val="22"/>
          <w:szCs w:val="28"/>
        </w:rPr>
      </w:pPr>
      <w:r>
        <w:rPr>
          <w:rFonts w:hint="eastAsia" w:ascii="Times New Roman" w:hAnsi="Times New Roman"/>
          <w:color w:val="auto"/>
          <w:sz w:val="22"/>
          <w:szCs w:val="28"/>
        </w:rPr>
        <w:t>项目预算：根据初步估算，项目总预算为</w:t>
      </w:r>
      <w:r>
        <w:rPr>
          <w:rFonts w:hint="eastAsia" w:ascii="Times New Roman" w:hAnsi="Times New Roman"/>
          <w:color w:val="auto"/>
          <w:sz w:val="22"/>
          <w:szCs w:val="28"/>
          <w:lang w:val="en-US" w:eastAsia="zh-CN"/>
        </w:rPr>
        <w:t>550</w:t>
      </w:r>
      <w:r>
        <w:rPr>
          <w:rFonts w:hint="eastAsia" w:ascii="Times New Roman" w:hAnsi="Times New Roman"/>
          <w:color w:val="auto"/>
          <w:sz w:val="22"/>
          <w:szCs w:val="28"/>
        </w:rPr>
        <w:t>万元（具体金额待细化后公布）</w:t>
      </w:r>
    </w:p>
    <w:p w14:paraId="665827C4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rPr>
          <w:rStyle w:val="13"/>
          <w:rFonts w:hint="eastAsia" w:ascii="Times New Roman" w:hAnsi="Times New Roman"/>
          <w:color w:val="auto"/>
          <w:sz w:val="22"/>
          <w:szCs w:val="28"/>
        </w:rPr>
        <w:t>二、工作要求</w:t>
      </w:r>
    </w:p>
    <w:p w14:paraId="4A6278E0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1. 项目团队应根据项目整体规划，明确分工，合理安排进度，确保各阶段任务按计划推进；</w:t>
      </w:r>
    </w:p>
    <w:p w14:paraId="2D75E6C5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2. 项目负责人需定期组织项目会议，及时汇总项目进展，并向相关部门及领导汇报；</w:t>
      </w:r>
    </w:p>
    <w:p w14:paraId="20D25520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3. 各相关部门应根据项目需求，提供必要的资源支持和技术配合，保障项目顺利实施；</w:t>
      </w:r>
    </w:p>
    <w:p w14:paraId="6DEF0291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4. 项目执行过程中应注重技术积累与知识产权应用，确保研发成果可转化、可应用。</w:t>
      </w:r>
    </w:p>
    <w:p w14:paraId="37427A0E">
      <w:pPr>
        <w:spacing w:line="360" w:lineRule="auto"/>
        <w:rPr>
          <w:rFonts w:ascii="Times New Roman" w:hAnsi="Times New Roman"/>
          <w:color w:val="auto"/>
          <w:sz w:val="22"/>
          <w:szCs w:val="28"/>
        </w:rPr>
      </w:pPr>
    </w:p>
    <w:p w14:paraId="0EC4091F">
      <w:pPr>
        <w:spacing w:line="360" w:lineRule="auto"/>
        <w:jc w:val="right"/>
        <w:rPr>
          <w:rFonts w:hint="eastAsia" w:ascii="Times New Roman" w:hAnsi="Times New Roman" w:eastAsia="宋体"/>
          <w:color w:val="auto"/>
          <w:sz w:val="22"/>
          <w:szCs w:val="28"/>
          <w:lang w:eastAsia="zh-CN"/>
        </w:rPr>
      </w:pPr>
      <w:r>
        <w:rPr>
          <w:rFonts w:hint="eastAsia" w:ascii="Times New Roman" w:hAnsi="Times New Roman" w:cs="宋体"/>
          <w:color w:val="auto"/>
          <w:sz w:val="24"/>
          <w:lang w:eastAsia="zh-CN"/>
        </w:rPr>
        <w:t>上海舜斯新材料科技有限公司</w:t>
      </w:r>
    </w:p>
    <w:p w14:paraId="65F0BE50">
      <w:pPr>
        <w:spacing w:line="360" w:lineRule="auto"/>
        <w:jc w:val="right"/>
        <w:rPr>
          <w:rFonts w:hint="eastAsia" w:ascii="Times New Roman" w:hAnsi="Times New Roman"/>
          <w:color w:val="auto"/>
          <w:sz w:val="22"/>
          <w:szCs w:val="28"/>
        </w:rPr>
      </w:pPr>
      <w:r>
        <w:rPr>
          <w:rFonts w:hint="eastAsia" w:ascii="Times New Roman" w:hAnsi="Times New Roman"/>
          <w:color w:val="auto"/>
          <w:sz w:val="22"/>
          <w:szCs w:val="28"/>
          <w:lang w:eastAsia="zh-CN"/>
        </w:rPr>
        <w:t>2023年</w:t>
      </w:r>
      <w:r>
        <w:rPr>
          <w:rFonts w:hint="eastAsia" w:ascii="Times New Roman" w:hAnsi="Times New Roman"/>
          <w:color w:val="auto"/>
          <w:sz w:val="22"/>
          <w:szCs w:val="28"/>
        </w:rPr>
        <w:t>1月5日</w:t>
      </w:r>
    </w:p>
    <w:p w14:paraId="4F1DAC08">
      <w:pPr>
        <w:pStyle w:val="3"/>
        <w:spacing w:line="360" w:lineRule="auto"/>
        <w:jc w:val="center"/>
        <w:rPr>
          <w:rFonts w:ascii="Times New Roman" w:hAnsi="Times New Roman"/>
          <w:color w:val="auto"/>
          <w:sz w:val="36"/>
          <w:szCs w:val="28"/>
        </w:rPr>
      </w:pPr>
      <w:r>
        <w:rPr>
          <w:rFonts w:hint="eastAsia" w:ascii="Times New Roman" w:hAnsi="Times New Roman"/>
          <w:color w:val="auto"/>
          <w:sz w:val="22"/>
          <w:szCs w:val="28"/>
        </w:rPr>
        <w:br w:type="page"/>
      </w:r>
      <w:r>
        <w:rPr>
          <w:rFonts w:hint="eastAsia" w:ascii="Times New Roman" w:hAnsi="Times New Roman"/>
          <w:color w:val="auto"/>
          <w:sz w:val="36"/>
          <w:szCs w:val="28"/>
        </w:rPr>
        <w:t>项目验收报告</w:t>
      </w:r>
    </w:p>
    <w:p w14:paraId="1C24783C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rPr>
          <w:rStyle w:val="13"/>
          <w:rFonts w:hint="eastAsia" w:ascii="Times New Roman" w:hAnsi="Times New Roman"/>
          <w:color w:val="auto"/>
          <w:sz w:val="22"/>
          <w:szCs w:val="28"/>
        </w:rPr>
        <w:t>一、项目概况</w:t>
      </w:r>
    </w:p>
    <w:p w14:paraId="2E50F5ED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“基于高精度金属加工工艺的铝制品的研发”项目聚焦于铝合金制品的高精度加工工艺研发，围绕提升铝制品加工效率、加工精度以及环保性能，开展了系统性技术研发工作。项目形成3项核心成果，包括金属加工工作台、金属制品加工定位模具以及铝膜生产用裁切机等关键设备。在研发过程中取得并应用了包括“一种金属加工工作台ZL202320855804.4”、“一种金属制品加工定位模具ZL202320677793.5”、“一种铝膜生产用裁切机ZL202320835407.0”等知识产权成果。</w:t>
      </w:r>
    </w:p>
    <w:p w14:paraId="3BB5B02B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rPr>
          <w:rStyle w:val="13"/>
          <w:rFonts w:hint="eastAsia" w:ascii="Times New Roman" w:hAnsi="Times New Roman"/>
          <w:color w:val="auto"/>
          <w:sz w:val="22"/>
          <w:szCs w:val="28"/>
        </w:rPr>
        <w:t>二、项目目标与完成情况</w:t>
      </w:r>
    </w:p>
    <w:p w14:paraId="31F75EF2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本项目围绕“提升加工精度、优化加工流程、降低环境污染”三个核心方向，系统性攻克铝制品高精度加工过程中的关键技术问题。通过改进金属加工设备结构设计、优化模具定位方式、提升裁切过程中的材料平整度与限位效果，项目实现了对铝制品加工过程的有效支撑。各环节设备功能明确、协同良好，整体研发成果满足项目预期目标，为后续产品应用提供了可靠的技术基础。</w:t>
      </w:r>
    </w:p>
    <w:p w14:paraId="4D87907D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rPr>
          <w:rStyle w:val="13"/>
          <w:rFonts w:hint="eastAsia" w:ascii="Times New Roman" w:hAnsi="Times New Roman"/>
          <w:color w:val="auto"/>
          <w:sz w:val="22"/>
          <w:szCs w:val="28"/>
        </w:rPr>
        <w:t>三、项目核心技术点与创新点</w:t>
      </w:r>
    </w:p>
    <w:p w14:paraId="4E5C3480">
      <w:pPr>
        <w:spacing w:line="360" w:lineRule="auto"/>
        <w:ind w:firstLine="442" w:firstLineChars="200"/>
        <w:rPr>
          <w:rFonts w:ascii="Times New Roman" w:hAnsi="Times New Roman"/>
          <w:b/>
          <w:bCs/>
          <w:color w:val="auto"/>
          <w:sz w:val="22"/>
          <w:szCs w:val="28"/>
        </w:rPr>
      </w:pPr>
      <w:r>
        <w:rPr>
          <w:rFonts w:ascii="Times New Roman" w:hAnsi="Times New Roman"/>
          <w:b/>
          <w:bCs/>
          <w:color w:val="auto"/>
          <w:sz w:val="22"/>
          <w:szCs w:val="28"/>
        </w:rPr>
        <w:t>1. 核心技术点</w:t>
      </w:r>
    </w:p>
    <w:p w14:paraId="5B608B41">
      <w:pPr>
        <w:pStyle w:val="9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高精度夹持与定位技术：通过伺服电机、活动夹板、固定夹板、推板、U形导杆等结构的集成设计，实现对金属工件的精准夹持与定位，提升加工稳定性与一致性。</w:t>
      </w:r>
    </w:p>
    <w:p w14:paraId="4D159168">
      <w:pPr>
        <w:pStyle w:val="9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模具快速切换与热控技术：采用双组模具结构及矩形槽定位方式，实现模具的快速更换与准确定位；通过加热丝的设置，防止金属熔液在注模过程中过早冷却，提升产品质量。</w:t>
      </w:r>
    </w:p>
    <w:p w14:paraId="166DB8B5">
      <w:pPr>
        <w:pStyle w:val="9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裁切过程中的材料平整与限位技术：通过电动伸缩杆、排气刷、硅胶垫等组件，实现对铝膜的排气处理与限位固定，提升裁切精度与材料贴合度。</w:t>
      </w:r>
    </w:p>
    <w:p w14:paraId="66E9CC4C">
      <w:pPr>
        <w:pStyle w:val="9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烟尘控制与环保处理技术：在加工过程中设置过滤箱、吸尘盘、空气过滤网和鼓风机等装置，实现对加工烟尘的有效收集与净化，降低对环境的影响。</w:t>
      </w:r>
    </w:p>
    <w:p w14:paraId="75DDBC15">
      <w:pPr>
        <w:spacing w:line="360" w:lineRule="auto"/>
        <w:ind w:firstLine="442" w:firstLineChars="200"/>
        <w:rPr>
          <w:rFonts w:ascii="Times New Roman" w:hAnsi="Times New Roman"/>
          <w:b/>
          <w:bCs/>
          <w:color w:val="auto"/>
          <w:sz w:val="22"/>
          <w:szCs w:val="28"/>
        </w:rPr>
      </w:pPr>
    </w:p>
    <w:p w14:paraId="4DDF41F7">
      <w:pPr>
        <w:spacing w:line="360" w:lineRule="auto"/>
        <w:ind w:firstLine="442" w:firstLineChars="200"/>
        <w:rPr>
          <w:rFonts w:ascii="Times New Roman" w:hAnsi="Times New Roman"/>
          <w:b/>
          <w:bCs/>
          <w:color w:val="auto"/>
          <w:sz w:val="22"/>
          <w:szCs w:val="28"/>
        </w:rPr>
      </w:pPr>
    </w:p>
    <w:p w14:paraId="16EDD8EF">
      <w:pPr>
        <w:spacing w:line="360" w:lineRule="auto"/>
        <w:ind w:firstLine="442" w:firstLineChars="200"/>
        <w:rPr>
          <w:rFonts w:ascii="Times New Roman" w:hAnsi="Times New Roman"/>
          <w:b/>
          <w:bCs/>
          <w:color w:val="auto"/>
          <w:sz w:val="22"/>
          <w:szCs w:val="28"/>
        </w:rPr>
      </w:pPr>
      <w:r>
        <w:rPr>
          <w:rFonts w:ascii="Times New Roman" w:hAnsi="Times New Roman"/>
          <w:b/>
          <w:bCs/>
          <w:color w:val="auto"/>
          <w:sz w:val="22"/>
          <w:szCs w:val="28"/>
        </w:rPr>
        <w:t>2. 创新点</w:t>
      </w:r>
    </w:p>
    <w:p w14:paraId="157A1074">
      <w:pPr>
        <w:pStyle w:val="9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模具快速替换与定位结构：通过矩形槽和可滑动二号矩形板的设计，实现一个模具注液完成后可快速切换至另一组模具，提升生产效率。</w:t>
      </w:r>
    </w:p>
    <w:p w14:paraId="4067BF2B">
      <w:pPr>
        <w:pStyle w:val="9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可调节夹持与移动结构：通过导块、导槽、移动轮、弹簧等组件，实现加工平台的导向、缓冲与移动功能，提升设备使用的灵活性与便捷性。</w:t>
      </w:r>
    </w:p>
    <w:p w14:paraId="11D212A2">
      <w:pPr>
        <w:pStyle w:val="9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color w:val="auto"/>
          <w:kern w:val="2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铝膜裁切过程中的排气与限位一体化设计：通过排气刷与硅胶垫结合的方式，提升铝膜贴合度，减少裁切误差，同时对铝膜起到良好的保护作用。</w:t>
      </w:r>
    </w:p>
    <w:p w14:paraId="2E140F0F">
      <w:pPr>
        <w:numPr>
          <w:ilvl w:val="0"/>
          <w:numId w:val="6"/>
        </w:num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rPr>
          <w:rStyle w:val="13"/>
          <w:rFonts w:hint="eastAsia" w:ascii="Times New Roman" w:hAnsi="Times New Roman"/>
          <w:color w:val="auto"/>
          <w:sz w:val="22"/>
          <w:szCs w:val="28"/>
        </w:rPr>
        <w:t>项目经费统计</w:t>
      </w:r>
    </w:p>
    <w:tbl>
      <w:tblPr>
        <w:tblStyle w:val="10"/>
        <w:tblpPr w:leftFromText="180" w:rightFromText="180" w:vertAnchor="text" w:horzAnchor="page" w:tblpX="1800" w:tblpY="469"/>
        <w:tblOverlap w:val="never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  <w:gridCol w:w="2833"/>
        <w:gridCol w:w="2833"/>
      </w:tblGrid>
      <w:tr w14:paraId="35194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2833" w:type="dxa"/>
            <w:vMerge w:val="restart"/>
            <w:shd w:val="clear" w:color="auto" w:fill="auto"/>
            <w:vAlign w:val="center"/>
          </w:tcPr>
          <w:p w14:paraId="7463EFDC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经费统计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192B0167">
            <w:pPr>
              <w:spacing w:line="360" w:lineRule="auto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人员人工费用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3571AC42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174.01万</w:t>
            </w: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元</w:t>
            </w:r>
          </w:p>
        </w:tc>
      </w:tr>
      <w:tr w14:paraId="7E1EA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2833" w:type="dxa"/>
            <w:vMerge w:val="continue"/>
            <w:shd w:val="clear" w:color="auto" w:fill="auto"/>
            <w:vAlign w:val="center"/>
          </w:tcPr>
          <w:p w14:paraId="239A3738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</w:p>
        </w:tc>
        <w:tc>
          <w:tcPr>
            <w:tcW w:w="2833" w:type="dxa"/>
            <w:shd w:val="clear" w:color="auto" w:fill="auto"/>
            <w:vAlign w:val="center"/>
          </w:tcPr>
          <w:p w14:paraId="3263B340">
            <w:pPr>
              <w:spacing w:line="360" w:lineRule="auto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直接投入费用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3C4F5571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305.29万</w:t>
            </w: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元</w:t>
            </w:r>
          </w:p>
        </w:tc>
      </w:tr>
      <w:tr w14:paraId="5A54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2833" w:type="dxa"/>
            <w:vMerge w:val="continue"/>
            <w:shd w:val="clear" w:color="auto" w:fill="auto"/>
            <w:vAlign w:val="center"/>
          </w:tcPr>
          <w:p w14:paraId="4F275BDA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</w:p>
        </w:tc>
        <w:tc>
          <w:tcPr>
            <w:tcW w:w="2833" w:type="dxa"/>
            <w:shd w:val="clear" w:color="auto" w:fill="auto"/>
            <w:vAlign w:val="center"/>
          </w:tcPr>
          <w:p w14:paraId="03A94C5B">
            <w:pPr>
              <w:spacing w:line="360" w:lineRule="auto"/>
              <w:rPr>
                <w:rFonts w:hint="default" w:ascii="Times New Roman" w:hAnsi="Times New Roman" w:eastAsia="宋体"/>
                <w:color w:val="auto"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折旧费用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5580B92D">
            <w:pPr>
              <w:spacing w:line="360" w:lineRule="auto"/>
              <w:jc w:val="center"/>
              <w:rPr>
                <w:rFonts w:hint="default" w:ascii="Times New Roman" w:hAnsi="Times New Roman" w:eastAsia="宋体"/>
                <w:color w:val="auto"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45.98万元</w:t>
            </w:r>
          </w:p>
        </w:tc>
      </w:tr>
      <w:tr w14:paraId="3BE7C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2833" w:type="dxa"/>
            <w:vMerge w:val="continue"/>
            <w:shd w:val="clear" w:color="auto" w:fill="auto"/>
            <w:vAlign w:val="center"/>
          </w:tcPr>
          <w:p w14:paraId="74AF738C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</w:p>
        </w:tc>
        <w:tc>
          <w:tcPr>
            <w:tcW w:w="2833" w:type="dxa"/>
            <w:shd w:val="clear" w:color="auto" w:fill="auto"/>
            <w:vAlign w:val="center"/>
          </w:tcPr>
          <w:p w14:paraId="0756EA04">
            <w:pPr>
              <w:spacing w:line="360" w:lineRule="auto"/>
              <w:rPr>
                <w:rFonts w:hint="default" w:ascii="Times New Roman" w:hAnsi="Times New Roman"/>
                <w:color w:val="auto"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设计费用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7787AA93">
            <w:pPr>
              <w:spacing w:line="360" w:lineRule="auto"/>
              <w:jc w:val="center"/>
              <w:rPr>
                <w:rFonts w:hint="default" w:ascii="Times New Roman" w:hAnsi="Times New Roman"/>
                <w:color w:val="auto"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14.1万元</w:t>
            </w:r>
          </w:p>
        </w:tc>
      </w:tr>
      <w:tr w14:paraId="539A4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2833" w:type="dxa"/>
            <w:vMerge w:val="continue"/>
            <w:shd w:val="clear" w:color="auto" w:fill="auto"/>
            <w:vAlign w:val="center"/>
          </w:tcPr>
          <w:p w14:paraId="11F9547A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</w:p>
        </w:tc>
        <w:tc>
          <w:tcPr>
            <w:tcW w:w="2833" w:type="dxa"/>
            <w:shd w:val="clear" w:color="auto" w:fill="auto"/>
            <w:vAlign w:val="center"/>
          </w:tcPr>
          <w:p w14:paraId="4A1B62E1">
            <w:pPr>
              <w:spacing w:line="360" w:lineRule="auto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其他费用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4D9BF2BF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5.39万</w:t>
            </w: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元</w:t>
            </w:r>
          </w:p>
        </w:tc>
      </w:tr>
      <w:tr w14:paraId="3E4EA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</w:trPr>
        <w:tc>
          <w:tcPr>
            <w:tcW w:w="2833" w:type="dxa"/>
            <w:vMerge w:val="continue"/>
            <w:shd w:val="clear" w:color="auto" w:fill="auto"/>
            <w:vAlign w:val="center"/>
          </w:tcPr>
          <w:p w14:paraId="13EA9A30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</w:p>
        </w:tc>
        <w:tc>
          <w:tcPr>
            <w:tcW w:w="2833" w:type="dxa"/>
            <w:shd w:val="clear" w:color="auto" w:fill="auto"/>
            <w:vAlign w:val="center"/>
          </w:tcPr>
          <w:p w14:paraId="76A91F63">
            <w:pPr>
              <w:spacing w:line="360" w:lineRule="auto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总计</w:t>
            </w:r>
          </w:p>
        </w:tc>
        <w:tc>
          <w:tcPr>
            <w:tcW w:w="2833" w:type="dxa"/>
            <w:shd w:val="clear" w:color="auto" w:fill="auto"/>
            <w:vAlign w:val="center"/>
          </w:tcPr>
          <w:p w14:paraId="1BF4FB01">
            <w:pPr>
              <w:spacing w:line="360" w:lineRule="auto"/>
              <w:jc w:val="center"/>
              <w:rPr>
                <w:rFonts w:ascii="Times New Roman" w:hAnsi="Times New Roman"/>
                <w:color w:val="auto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2"/>
                <w:szCs w:val="28"/>
                <w:lang w:val="en-US" w:eastAsia="zh-CN"/>
              </w:rPr>
              <w:t>544.77万</w:t>
            </w:r>
            <w:r>
              <w:rPr>
                <w:rFonts w:hint="eastAsia" w:ascii="Times New Roman" w:hAnsi="Times New Roman"/>
                <w:color w:val="auto"/>
                <w:sz w:val="22"/>
                <w:szCs w:val="28"/>
              </w:rPr>
              <w:t>元</w:t>
            </w:r>
          </w:p>
        </w:tc>
      </w:tr>
    </w:tbl>
    <w:p w14:paraId="46DE6EC8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rPr>
          <w:rFonts w:hint="eastAsia" w:ascii="Times New Roman" w:hAnsi="Times New Roman"/>
          <w:color w:val="auto"/>
          <w:sz w:val="22"/>
          <w:szCs w:val="28"/>
        </w:rPr>
        <w:t>经统计，项目经费符合预算要求。</w:t>
      </w:r>
    </w:p>
    <w:p w14:paraId="38A8E4CF">
      <w:pPr>
        <w:spacing w:line="360" w:lineRule="auto"/>
        <w:rPr>
          <w:rStyle w:val="13"/>
          <w:rFonts w:ascii="Times New Roman" w:hAnsi="Times New Roman"/>
          <w:color w:val="auto"/>
          <w:sz w:val="22"/>
          <w:szCs w:val="28"/>
        </w:rPr>
      </w:pPr>
      <w:r>
        <w:rPr>
          <w:rStyle w:val="13"/>
          <w:rFonts w:hint="eastAsia" w:ascii="Times New Roman" w:hAnsi="Times New Roman"/>
          <w:color w:val="auto"/>
          <w:sz w:val="22"/>
          <w:szCs w:val="28"/>
        </w:rPr>
        <w:t>五、项目验收情况</w:t>
      </w:r>
    </w:p>
    <w:p w14:paraId="5541F227">
      <w:pPr>
        <w:spacing w:line="360" w:lineRule="auto"/>
        <w:rPr>
          <w:rFonts w:ascii="Times New Roman" w:hAnsi="Times New Roman"/>
          <w:b/>
          <w:bCs/>
          <w:color w:val="auto"/>
          <w:sz w:val="22"/>
          <w:szCs w:val="28"/>
        </w:rPr>
      </w:pPr>
      <w:r>
        <w:rPr>
          <w:rFonts w:hint="eastAsia" w:ascii="Times New Roman" w:hAnsi="Times New Roman"/>
          <w:b/>
          <w:bCs/>
          <w:color w:val="auto"/>
          <w:sz w:val="22"/>
          <w:szCs w:val="28"/>
        </w:rPr>
        <w:t>（一）验收内容</w:t>
      </w:r>
    </w:p>
    <w:p w14:paraId="3EEAB674">
      <w:pPr>
        <w:numPr>
          <w:ilvl w:val="0"/>
          <w:numId w:val="7"/>
        </w:numPr>
        <w:spacing w:line="360" w:lineRule="auto"/>
        <w:ind w:left="0"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设备功能验收：对三种实用型专利设备进行功能测试，包括金属加工工作台的夹持稳定性与移动性、金属制品加工定位模具的模具切换效率与定位精度、铝膜裁切机的排气效果与限位能力。</w:t>
      </w:r>
    </w:p>
    <w:p w14:paraId="7BF2D950">
      <w:pPr>
        <w:numPr>
          <w:ilvl w:val="0"/>
          <w:numId w:val="7"/>
        </w:numPr>
        <w:spacing w:line="360" w:lineRule="auto"/>
        <w:ind w:left="0"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加工性能验收：测试铝制品在加工过程中的精度、稳定性以及成品率，评估设备对加工质量的提升效果。</w:t>
      </w:r>
    </w:p>
    <w:p w14:paraId="1C62C928">
      <w:pPr>
        <w:numPr>
          <w:ilvl w:val="0"/>
          <w:numId w:val="7"/>
        </w:numPr>
        <w:spacing w:line="360" w:lineRule="auto"/>
        <w:ind w:left="0"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安全与环保验收：检查设备运行过程中的安全防护措施、烟尘排放控制效果，评估设备在环保方面的表现。</w:t>
      </w:r>
    </w:p>
    <w:p w14:paraId="331F4CF2">
      <w:pPr>
        <w:spacing w:line="360" w:lineRule="auto"/>
        <w:rPr>
          <w:rFonts w:ascii="Times New Roman" w:hAnsi="Times New Roman"/>
          <w:b/>
          <w:bCs/>
          <w:color w:val="auto"/>
          <w:sz w:val="22"/>
          <w:szCs w:val="28"/>
        </w:rPr>
      </w:pPr>
      <w:r>
        <w:rPr>
          <w:rFonts w:hint="eastAsia" w:ascii="Times New Roman" w:hAnsi="Times New Roman"/>
          <w:b/>
          <w:bCs/>
          <w:color w:val="auto"/>
          <w:sz w:val="22"/>
          <w:szCs w:val="28"/>
        </w:rPr>
        <w:t>（二）验收结论</w:t>
      </w:r>
    </w:p>
    <w:p w14:paraId="4A6C16F7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  <w:r>
        <w:rPr>
          <w:rFonts w:ascii="Times New Roman" w:hAnsi="Times New Roman"/>
          <w:color w:val="auto"/>
          <w:sz w:val="22"/>
        </w:rPr>
        <w:t>经过全面的功能测试、加工性能评估以及安全与环保检查，“基于高精度金属加工工艺的铝制品的研发”项目各项技术指标均达到预期要求，设备运行稳定、功能完善，具备良好的应用前景。项目顺利通过验收，具备进一步推广应用的基础。</w:t>
      </w:r>
    </w:p>
    <w:p w14:paraId="0165E270">
      <w:pPr>
        <w:spacing w:line="360" w:lineRule="auto"/>
        <w:ind w:firstLine="440" w:firstLineChars="200"/>
        <w:rPr>
          <w:rFonts w:ascii="Times New Roman" w:hAnsi="Times New Roman"/>
          <w:color w:val="auto"/>
          <w:sz w:val="22"/>
          <w:szCs w:val="28"/>
        </w:rPr>
      </w:pPr>
    </w:p>
    <w:p w14:paraId="75B08741">
      <w:pPr>
        <w:spacing w:line="360" w:lineRule="auto"/>
        <w:jc w:val="right"/>
        <w:rPr>
          <w:rFonts w:hint="eastAsia" w:ascii="Times New Roman" w:hAnsi="Times New Roman" w:eastAsia="宋体"/>
          <w:color w:val="auto"/>
          <w:sz w:val="22"/>
          <w:szCs w:val="28"/>
          <w:lang w:eastAsia="zh-CN"/>
        </w:rPr>
      </w:pPr>
      <w:r>
        <w:rPr>
          <w:rFonts w:hint="eastAsia" w:ascii="Times New Roman" w:hAnsi="Times New Roman"/>
          <w:color w:val="auto"/>
          <w:sz w:val="22"/>
          <w:szCs w:val="28"/>
          <w:lang w:eastAsia="zh-CN"/>
        </w:rPr>
        <w:t>上海舜斯新材料科技有限公司</w:t>
      </w:r>
    </w:p>
    <w:p w14:paraId="4DADA607">
      <w:pPr>
        <w:spacing w:line="360" w:lineRule="auto"/>
        <w:jc w:val="right"/>
        <w:rPr>
          <w:rFonts w:ascii="Times New Roman" w:hAnsi="Times New Roman"/>
          <w:color w:val="auto"/>
          <w:sz w:val="22"/>
          <w:szCs w:val="28"/>
        </w:rPr>
      </w:pPr>
      <w:r>
        <w:rPr>
          <w:rFonts w:hint="eastAsia" w:ascii="Times New Roman" w:hAnsi="Times New Roman"/>
          <w:color w:val="auto"/>
          <w:sz w:val="22"/>
          <w:szCs w:val="28"/>
          <w:lang w:eastAsia="zh-CN"/>
        </w:rPr>
        <w:t>2023年</w:t>
      </w:r>
      <w:r>
        <w:rPr>
          <w:rFonts w:hint="eastAsia" w:ascii="Times New Roman" w:hAnsi="Times New Roman"/>
          <w:color w:val="auto"/>
          <w:sz w:val="22"/>
          <w:szCs w:val="28"/>
        </w:rPr>
        <w:t>12月29日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4A09A">
    <w:pPr>
      <w:pStyle w:val="9"/>
      <w:widowControl/>
      <w:jc w:val="distribu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7BD62"/>
    <w:multiLevelType w:val="singleLevel"/>
    <w:tmpl w:val="9D17BD6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31363C1"/>
    <w:multiLevelType w:val="singleLevel"/>
    <w:tmpl w:val="A31363C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9DBAEED"/>
    <w:multiLevelType w:val="singleLevel"/>
    <w:tmpl w:val="D9DBAEE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8744EF6"/>
    <w:multiLevelType w:val="singleLevel"/>
    <w:tmpl w:val="E8744EF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36AE33EB"/>
    <w:multiLevelType w:val="singleLevel"/>
    <w:tmpl w:val="36AE33E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72CCA1C2"/>
    <w:multiLevelType w:val="singleLevel"/>
    <w:tmpl w:val="72CCA1C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77A6CEAA"/>
    <w:multiLevelType w:val="singleLevel"/>
    <w:tmpl w:val="77A6CEA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JlMTc4NGIxMGQzZGM3ZTI0N2NkOWFkZjAxZDY0MjcifQ=="/>
  </w:docVars>
  <w:rsids>
    <w:rsidRoot w:val="0033114D"/>
    <w:rsid w:val="002C0477"/>
    <w:rsid w:val="0033114D"/>
    <w:rsid w:val="00425A1B"/>
    <w:rsid w:val="005C37D8"/>
    <w:rsid w:val="006038E5"/>
    <w:rsid w:val="00617ED8"/>
    <w:rsid w:val="007D16B8"/>
    <w:rsid w:val="008248FA"/>
    <w:rsid w:val="008875A8"/>
    <w:rsid w:val="00936276"/>
    <w:rsid w:val="009D476B"/>
    <w:rsid w:val="009E3E1B"/>
    <w:rsid w:val="00B71F36"/>
    <w:rsid w:val="00C21A53"/>
    <w:rsid w:val="00D12CCD"/>
    <w:rsid w:val="00DA49F5"/>
    <w:rsid w:val="00DD3395"/>
    <w:rsid w:val="00E1589E"/>
    <w:rsid w:val="00E41409"/>
    <w:rsid w:val="00E568F2"/>
    <w:rsid w:val="00ED4C7B"/>
    <w:rsid w:val="00F16D0A"/>
    <w:rsid w:val="00FB6327"/>
    <w:rsid w:val="00FE2B5A"/>
    <w:rsid w:val="01A544B3"/>
    <w:rsid w:val="01E0373D"/>
    <w:rsid w:val="02BA3F8E"/>
    <w:rsid w:val="032B6C3A"/>
    <w:rsid w:val="03F4702C"/>
    <w:rsid w:val="04293179"/>
    <w:rsid w:val="047D1717"/>
    <w:rsid w:val="05090E2F"/>
    <w:rsid w:val="051200B1"/>
    <w:rsid w:val="05545FD4"/>
    <w:rsid w:val="06680FFF"/>
    <w:rsid w:val="070B6B66"/>
    <w:rsid w:val="074C2277"/>
    <w:rsid w:val="07D63618"/>
    <w:rsid w:val="07E35D35"/>
    <w:rsid w:val="081E6D6D"/>
    <w:rsid w:val="083420ED"/>
    <w:rsid w:val="09F93DAC"/>
    <w:rsid w:val="0AA572D2"/>
    <w:rsid w:val="0B1D155E"/>
    <w:rsid w:val="0B2D79F3"/>
    <w:rsid w:val="0B995089"/>
    <w:rsid w:val="0BFE4EEC"/>
    <w:rsid w:val="0C882A07"/>
    <w:rsid w:val="0CD43E9E"/>
    <w:rsid w:val="0E320E7D"/>
    <w:rsid w:val="0F4C2412"/>
    <w:rsid w:val="105C48D7"/>
    <w:rsid w:val="108A4FA0"/>
    <w:rsid w:val="117B2B3A"/>
    <w:rsid w:val="11E22BBA"/>
    <w:rsid w:val="12DB5F87"/>
    <w:rsid w:val="134578A4"/>
    <w:rsid w:val="14123C2A"/>
    <w:rsid w:val="148B578A"/>
    <w:rsid w:val="156C2EC6"/>
    <w:rsid w:val="167F2A48"/>
    <w:rsid w:val="16BA2357"/>
    <w:rsid w:val="16F5338F"/>
    <w:rsid w:val="17143815"/>
    <w:rsid w:val="171657DF"/>
    <w:rsid w:val="186500A0"/>
    <w:rsid w:val="18ED431E"/>
    <w:rsid w:val="19B27315"/>
    <w:rsid w:val="1A705EAE"/>
    <w:rsid w:val="1CCC06EE"/>
    <w:rsid w:val="1E0B5246"/>
    <w:rsid w:val="1E657AE7"/>
    <w:rsid w:val="1E780B2E"/>
    <w:rsid w:val="1F1B063B"/>
    <w:rsid w:val="1FC54BA9"/>
    <w:rsid w:val="21314E79"/>
    <w:rsid w:val="21CD59F3"/>
    <w:rsid w:val="23272B22"/>
    <w:rsid w:val="2355143D"/>
    <w:rsid w:val="23AD74CB"/>
    <w:rsid w:val="24613F68"/>
    <w:rsid w:val="247E6772"/>
    <w:rsid w:val="24952F7F"/>
    <w:rsid w:val="25BF7042"/>
    <w:rsid w:val="25FC0296"/>
    <w:rsid w:val="26C2328E"/>
    <w:rsid w:val="27A26C1B"/>
    <w:rsid w:val="289E0ED0"/>
    <w:rsid w:val="296A5517"/>
    <w:rsid w:val="29F574D6"/>
    <w:rsid w:val="2A19342E"/>
    <w:rsid w:val="2A224043"/>
    <w:rsid w:val="2BE43400"/>
    <w:rsid w:val="2C9F16FD"/>
    <w:rsid w:val="2D7B07E4"/>
    <w:rsid w:val="2E9D638E"/>
    <w:rsid w:val="2EA65243"/>
    <w:rsid w:val="2F104DB2"/>
    <w:rsid w:val="2FA21EAE"/>
    <w:rsid w:val="30C65728"/>
    <w:rsid w:val="31097D0B"/>
    <w:rsid w:val="311B1C02"/>
    <w:rsid w:val="31554CFE"/>
    <w:rsid w:val="31AC0DC2"/>
    <w:rsid w:val="326A47D9"/>
    <w:rsid w:val="32BB6DE3"/>
    <w:rsid w:val="33174961"/>
    <w:rsid w:val="339A4C4A"/>
    <w:rsid w:val="33A87367"/>
    <w:rsid w:val="34076784"/>
    <w:rsid w:val="351F7AFD"/>
    <w:rsid w:val="35F25212"/>
    <w:rsid w:val="36C00E6C"/>
    <w:rsid w:val="36DD557A"/>
    <w:rsid w:val="37B54749"/>
    <w:rsid w:val="38374A39"/>
    <w:rsid w:val="3A8B353F"/>
    <w:rsid w:val="3AFB2473"/>
    <w:rsid w:val="3B3D6F2F"/>
    <w:rsid w:val="3C5F2ED5"/>
    <w:rsid w:val="3C5F6A31"/>
    <w:rsid w:val="3CB5254A"/>
    <w:rsid w:val="3EC80563"/>
    <w:rsid w:val="3EEB27FE"/>
    <w:rsid w:val="3F9410E8"/>
    <w:rsid w:val="40491ED2"/>
    <w:rsid w:val="40BC4452"/>
    <w:rsid w:val="41456B3D"/>
    <w:rsid w:val="41957E0C"/>
    <w:rsid w:val="41B432B2"/>
    <w:rsid w:val="41CF4659"/>
    <w:rsid w:val="42AE24C0"/>
    <w:rsid w:val="42B21FB1"/>
    <w:rsid w:val="42BA70B7"/>
    <w:rsid w:val="430976F7"/>
    <w:rsid w:val="455E01CE"/>
    <w:rsid w:val="45795008"/>
    <w:rsid w:val="459E681C"/>
    <w:rsid w:val="460A2104"/>
    <w:rsid w:val="461804CC"/>
    <w:rsid w:val="46492C2C"/>
    <w:rsid w:val="46A00372"/>
    <w:rsid w:val="47E10C42"/>
    <w:rsid w:val="491C4628"/>
    <w:rsid w:val="499E6DEB"/>
    <w:rsid w:val="49C10D2B"/>
    <w:rsid w:val="49E93701"/>
    <w:rsid w:val="4A3D4856"/>
    <w:rsid w:val="4B2E21B9"/>
    <w:rsid w:val="4C875885"/>
    <w:rsid w:val="4CD314A1"/>
    <w:rsid w:val="4D150366"/>
    <w:rsid w:val="4D9E1AAF"/>
    <w:rsid w:val="4FB235F0"/>
    <w:rsid w:val="500876B4"/>
    <w:rsid w:val="50830AE8"/>
    <w:rsid w:val="511D2CEB"/>
    <w:rsid w:val="51844B18"/>
    <w:rsid w:val="52187956"/>
    <w:rsid w:val="527E4DA2"/>
    <w:rsid w:val="545F7ABE"/>
    <w:rsid w:val="546724CF"/>
    <w:rsid w:val="54BF35C3"/>
    <w:rsid w:val="55C7591B"/>
    <w:rsid w:val="55EB785C"/>
    <w:rsid w:val="56A93273"/>
    <w:rsid w:val="56CD51B3"/>
    <w:rsid w:val="580B5F93"/>
    <w:rsid w:val="582E57DE"/>
    <w:rsid w:val="5842572D"/>
    <w:rsid w:val="58813D2B"/>
    <w:rsid w:val="589870FB"/>
    <w:rsid w:val="596403B6"/>
    <w:rsid w:val="5AE12FDB"/>
    <w:rsid w:val="5B084A0C"/>
    <w:rsid w:val="5B800A46"/>
    <w:rsid w:val="5B841BB9"/>
    <w:rsid w:val="5BDD7C46"/>
    <w:rsid w:val="5C3B2178"/>
    <w:rsid w:val="5C7F0CFE"/>
    <w:rsid w:val="5D080CF3"/>
    <w:rsid w:val="5D331AE8"/>
    <w:rsid w:val="5DF179D9"/>
    <w:rsid w:val="5E4E6BDA"/>
    <w:rsid w:val="5F334021"/>
    <w:rsid w:val="5F926F9A"/>
    <w:rsid w:val="60235E44"/>
    <w:rsid w:val="602D6CC3"/>
    <w:rsid w:val="60652362"/>
    <w:rsid w:val="608A337D"/>
    <w:rsid w:val="60A12E65"/>
    <w:rsid w:val="60AA0313"/>
    <w:rsid w:val="60D31618"/>
    <w:rsid w:val="618648DC"/>
    <w:rsid w:val="61B41449"/>
    <w:rsid w:val="61CB0541"/>
    <w:rsid w:val="63E8362C"/>
    <w:rsid w:val="64535652"/>
    <w:rsid w:val="64DB5A2C"/>
    <w:rsid w:val="65037931"/>
    <w:rsid w:val="655D3BA6"/>
    <w:rsid w:val="65BC6B1F"/>
    <w:rsid w:val="678B49FB"/>
    <w:rsid w:val="679B62C0"/>
    <w:rsid w:val="67BF46A4"/>
    <w:rsid w:val="683926A8"/>
    <w:rsid w:val="684D7F02"/>
    <w:rsid w:val="685E210F"/>
    <w:rsid w:val="68D128E1"/>
    <w:rsid w:val="693D54D2"/>
    <w:rsid w:val="6A1D1B56"/>
    <w:rsid w:val="6AD018B4"/>
    <w:rsid w:val="6B036F9E"/>
    <w:rsid w:val="6B563571"/>
    <w:rsid w:val="6B5B0B88"/>
    <w:rsid w:val="6B662E80"/>
    <w:rsid w:val="6BE0108D"/>
    <w:rsid w:val="6C7434BE"/>
    <w:rsid w:val="6CC8224D"/>
    <w:rsid w:val="6D003795"/>
    <w:rsid w:val="6D1A237D"/>
    <w:rsid w:val="6D3639D2"/>
    <w:rsid w:val="6D45564C"/>
    <w:rsid w:val="6E6935BC"/>
    <w:rsid w:val="6E7361E8"/>
    <w:rsid w:val="6F370FC4"/>
    <w:rsid w:val="6F421E67"/>
    <w:rsid w:val="6F5E0C47"/>
    <w:rsid w:val="6FB24AEE"/>
    <w:rsid w:val="71A87F57"/>
    <w:rsid w:val="728C5ACB"/>
    <w:rsid w:val="73CF79E1"/>
    <w:rsid w:val="747B5DF7"/>
    <w:rsid w:val="7487654A"/>
    <w:rsid w:val="75BF7F65"/>
    <w:rsid w:val="782A00B9"/>
    <w:rsid w:val="786372CE"/>
    <w:rsid w:val="78DA7590"/>
    <w:rsid w:val="797F3C93"/>
    <w:rsid w:val="798219D5"/>
    <w:rsid w:val="79D55FA9"/>
    <w:rsid w:val="7AD16771"/>
    <w:rsid w:val="7B42766E"/>
    <w:rsid w:val="7B474C85"/>
    <w:rsid w:val="7B784E3E"/>
    <w:rsid w:val="7B7B492E"/>
    <w:rsid w:val="7B8E1B67"/>
    <w:rsid w:val="7BF32717"/>
    <w:rsid w:val="7C52740B"/>
    <w:rsid w:val="7C5B0E2F"/>
    <w:rsid w:val="7CAA7279"/>
    <w:rsid w:val="7D0D15B6"/>
    <w:rsid w:val="7E0E55E6"/>
    <w:rsid w:val="7EFE1AFE"/>
    <w:rsid w:val="7F0F5AB9"/>
    <w:rsid w:val="7F9D4E73"/>
    <w:rsid w:val="7FF6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paragraph" w:styleId="5">
    <w:name w:val="heading 4"/>
    <w:basedOn w:val="1"/>
    <w:next w:val="1"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/>
      <w:b/>
      <w:bCs/>
      <w:kern w:val="0"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100" w:beforeAutospacing="1" w:after="100" w:afterAutospacing="1"/>
      <w:jc w:val="left"/>
      <w:outlineLvl w:val="4"/>
    </w:pPr>
    <w:rPr>
      <w:rFonts w:hint="eastAsia" w:ascii="宋体" w:hAnsi="宋体"/>
      <w:b/>
      <w:bCs/>
      <w:kern w:val="0"/>
      <w:sz w:val="20"/>
      <w:szCs w:val="2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2965</Words>
  <Characters>3091</Characters>
  <Lines>9</Lines>
  <Paragraphs>2</Paragraphs>
  <TotalTime>1</TotalTime>
  <ScaleCrop>false</ScaleCrop>
  <LinksUpToDate>false</LinksUpToDate>
  <CharactersWithSpaces>3097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2025-06-13T03:08:00Z</dcterms:created>
  <dc:creator>cyipxm5</dc:creator>
  <cp:lastModifiedBy>你走啊</cp:lastModifiedBy>
  <dcterms:modified xsi:type="dcterms:W3CDTF">2025-09-16T11:53:04Z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3DBA703BA25544AA80B70D20CBEAFD5B_13</vt:lpwstr>
  </property>
  <property fmtid="{D5CDD505-2E9C-101B-9397-08002B2CF9AE}" pid="4" name="KSOTemplateDocerSaveRecord">
    <vt:lpwstr>eyJoZGlkIjoiYWJlMTc4NGIxMGQzZGM3ZTI0N2NkOWFkZjAxZDY0MjciLCJ1c2VySWQiOiIzODg4NjQwMzAifQ==</vt:lpwstr>
  </property>
</Properties>
</file>