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1"/>
        <w:tblW w:w="9648" w:type="dxa"/>
        <w:tblInd w:w="-4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8"/>
        <w:gridCol w:w="1590"/>
        <w:gridCol w:w="1455"/>
        <w:gridCol w:w="1785"/>
        <w:gridCol w:w="1575"/>
        <w:gridCol w:w="1665"/>
      </w:tblGrid>
      <w:tr w14:paraId="00FB6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2" w:hRule="exact"/>
        </w:trPr>
        <w:tc>
          <w:tcPr>
            <w:tcW w:w="1578" w:type="dxa"/>
            <w:vAlign w:val="center"/>
          </w:tcPr>
          <w:p w14:paraId="34458970">
            <w:pPr>
              <w:snapToGrid w:val="0"/>
              <w:spacing w:line="300" w:lineRule="auto"/>
              <w:jc w:val="center"/>
              <w:rPr>
                <w:rFonts w:hint="eastAsia" w:ascii="宋体" w:hAnsi="宋体"/>
                <w:color w:val="auto"/>
                <w:kern w:val="0"/>
                <w:sz w:val="20"/>
              </w:rPr>
            </w:pPr>
            <w:r>
              <w:rPr>
                <w:rFonts w:hint="eastAsia" w:ascii="宋体" w:hAnsi="宋体"/>
                <w:color w:val="auto"/>
                <w:kern w:val="0"/>
                <w:sz w:val="20"/>
              </w:rPr>
              <w:t>文件名称</w:t>
            </w:r>
          </w:p>
        </w:tc>
        <w:tc>
          <w:tcPr>
            <w:tcW w:w="3045" w:type="dxa"/>
            <w:gridSpan w:val="2"/>
            <w:tcBorders>
              <w:top w:val="single" w:color="auto" w:sz="4" w:space="0"/>
              <w:bottom w:val="single" w:color="auto" w:sz="4" w:space="0"/>
              <w:right w:val="single" w:color="auto" w:sz="4" w:space="0"/>
            </w:tcBorders>
            <w:vAlign w:val="center"/>
          </w:tcPr>
          <w:p w14:paraId="7B270770">
            <w:pPr>
              <w:snapToGrid w:val="0"/>
              <w:spacing w:line="300" w:lineRule="auto"/>
              <w:jc w:val="center"/>
              <w:rPr>
                <w:rFonts w:ascii="宋体" w:hAnsi="宋体"/>
                <w:b/>
                <w:color w:val="auto"/>
                <w:kern w:val="0"/>
                <w:sz w:val="24"/>
                <w:szCs w:val="24"/>
              </w:rPr>
            </w:pPr>
            <w:r>
              <w:rPr>
                <w:rFonts w:hint="eastAsia" w:ascii="宋体" w:hAnsi="宋体"/>
                <w:b/>
                <w:color w:val="auto"/>
                <w:kern w:val="0"/>
                <w:sz w:val="24"/>
                <w:szCs w:val="24"/>
              </w:rPr>
              <w:t>科研项目立项报告书</w:t>
            </w:r>
          </w:p>
        </w:tc>
        <w:tc>
          <w:tcPr>
            <w:tcW w:w="1785" w:type="dxa"/>
            <w:tcBorders>
              <w:left w:val="single" w:color="auto" w:sz="4" w:space="0"/>
            </w:tcBorders>
            <w:vAlign w:val="center"/>
          </w:tcPr>
          <w:p w14:paraId="6F644874">
            <w:pPr>
              <w:snapToGrid w:val="0"/>
              <w:spacing w:line="300" w:lineRule="auto"/>
              <w:jc w:val="center"/>
              <w:rPr>
                <w:rFonts w:hint="eastAsia" w:ascii="宋体" w:hAnsi="宋体"/>
                <w:color w:val="auto"/>
                <w:kern w:val="0"/>
                <w:sz w:val="20"/>
              </w:rPr>
            </w:pPr>
            <w:r>
              <w:rPr>
                <w:rFonts w:hint="eastAsia" w:ascii="宋体" w:hAnsi="宋体"/>
                <w:color w:val="auto"/>
                <w:kern w:val="0"/>
                <w:sz w:val="20"/>
              </w:rPr>
              <w:t>立项编号</w:t>
            </w:r>
          </w:p>
        </w:tc>
        <w:tc>
          <w:tcPr>
            <w:tcW w:w="3240" w:type="dxa"/>
            <w:gridSpan w:val="2"/>
            <w:tcBorders>
              <w:bottom w:val="single" w:color="auto" w:sz="4" w:space="0"/>
            </w:tcBorders>
            <w:vAlign w:val="center"/>
          </w:tcPr>
          <w:p w14:paraId="7AF074F5">
            <w:pPr>
              <w:snapToGrid w:val="0"/>
              <w:spacing w:line="300" w:lineRule="auto"/>
              <w:jc w:val="center"/>
              <w:rPr>
                <w:rFonts w:hint="default" w:ascii="宋体" w:hAnsi="宋体"/>
                <w:color w:val="auto"/>
                <w:kern w:val="0"/>
                <w:sz w:val="20"/>
                <w:lang w:val="en-US"/>
              </w:rPr>
            </w:pPr>
            <w:r>
              <w:rPr>
                <w:rFonts w:hint="eastAsia" w:ascii="宋体" w:hAnsi="宋体"/>
                <w:color w:val="auto"/>
                <w:kern w:val="0"/>
                <w:sz w:val="20"/>
                <w:lang w:val="en-US" w:eastAsia="zh-CN"/>
              </w:rPr>
              <w:t>RD05</w:t>
            </w:r>
          </w:p>
        </w:tc>
      </w:tr>
      <w:tr w14:paraId="5E247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exact"/>
        </w:trPr>
        <w:tc>
          <w:tcPr>
            <w:tcW w:w="1578" w:type="dxa"/>
            <w:vAlign w:val="center"/>
          </w:tcPr>
          <w:p w14:paraId="489EDD20">
            <w:pPr>
              <w:snapToGrid w:val="0"/>
              <w:spacing w:line="300" w:lineRule="auto"/>
              <w:jc w:val="center"/>
              <w:rPr>
                <w:rFonts w:hint="eastAsia" w:ascii="宋体" w:hAnsi="宋体"/>
                <w:color w:val="auto"/>
                <w:kern w:val="0"/>
                <w:sz w:val="20"/>
              </w:rPr>
            </w:pPr>
            <w:r>
              <w:rPr>
                <w:rFonts w:hint="eastAsia" w:ascii="宋体" w:hAnsi="宋体"/>
                <w:color w:val="auto"/>
                <w:kern w:val="0"/>
                <w:sz w:val="20"/>
              </w:rPr>
              <w:t>制定人</w:t>
            </w:r>
          </w:p>
        </w:tc>
        <w:tc>
          <w:tcPr>
            <w:tcW w:w="1590" w:type="dxa"/>
            <w:tcBorders>
              <w:top w:val="single" w:color="auto" w:sz="4" w:space="0"/>
            </w:tcBorders>
            <w:vAlign w:val="center"/>
          </w:tcPr>
          <w:p w14:paraId="4E6BA217">
            <w:pPr>
              <w:snapToGrid w:val="0"/>
              <w:spacing w:line="300" w:lineRule="auto"/>
              <w:jc w:val="center"/>
              <w:rPr>
                <w:rFonts w:hint="eastAsia" w:ascii="宋体" w:hAnsi="宋体" w:eastAsia="宋体"/>
                <w:color w:val="auto"/>
                <w:kern w:val="0"/>
                <w:sz w:val="20"/>
                <w:szCs w:val="21"/>
                <w:lang w:val="en-US" w:eastAsia="zh-CN"/>
              </w:rPr>
            </w:pPr>
            <w:r>
              <w:rPr>
                <w:rFonts w:hint="eastAsia" w:ascii="宋体" w:hAnsi="宋体"/>
                <w:color w:val="auto"/>
                <w:kern w:val="0"/>
                <w:sz w:val="20"/>
                <w:szCs w:val="21"/>
                <w:lang w:val="en-US" w:eastAsia="zh-CN"/>
              </w:rPr>
              <w:t>研发部</w:t>
            </w:r>
          </w:p>
        </w:tc>
        <w:tc>
          <w:tcPr>
            <w:tcW w:w="1455" w:type="dxa"/>
            <w:tcBorders>
              <w:top w:val="single" w:color="auto" w:sz="4" w:space="0"/>
            </w:tcBorders>
            <w:vAlign w:val="center"/>
          </w:tcPr>
          <w:p w14:paraId="64C002DD">
            <w:pPr>
              <w:snapToGrid w:val="0"/>
              <w:spacing w:line="300" w:lineRule="auto"/>
              <w:jc w:val="center"/>
              <w:rPr>
                <w:rFonts w:hint="eastAsia" w:ascii="宋体" w:hAnsi="宋体"/>
                <w:color w:val="auto"/>
                <w:kern w:val="0"/>
                <w:sz w:val="20"/>
              </w:rPr>
            </w:pPr>
            <w:r>
              <w:rPr>
                <w:rFonts w:hint="eastAsia" w:ascii="宋体" w:hAnsi="宋体"/>
                <w:color w:val="auto"/>
                <w:kern w:val="0"/>
                <w:sz w:val="20"/>
              </w:rPr>
              <w:t>审批人</w:t>
            </w:r>
          </w:p>
        </w:tc>
        <w:tc>
          <w:tcPr>
            <w:tcW w:w="1785" w:type="dxa"/>
            <w:tcBorders>
              <w:right w:val="single" w:color="auto" w:sz="4" w:space="0"/>
            </w:tcBorders>
            <w:vAlign w:val="center"/>
          </w:tcPr>
          <w:p w14:paraId="7A64DA92">
            <w:pPr>
              <w:snapToGrid w:val="0"/>
              <w:spacing w:line="300" w:lineRule="auto"/>
              <w:jc w:val="center"/>
              <w:rPr>
                <w:rFonts w:hint="default" w:ascii="宋体" w:hAnsi="宋体" w:eastAsia="宋体"/>
                <w:color w:val="auto"/>
                <w:kern w:val="0"/>
                <w:sz w:val="20"/>
                <w:lang w:val="en-US" w:eastAsia="zh-CN"/>
              </w:rPr>
            </w:pPr>
            <w:r>
              <w:rPr>
                <w:rFonts w:hint="default" w:ascii="宋体" w:hAnsi="宋体" w:eastAsia="宋体"/>
                <w:color w:val="auto"/>
                <w:kern w:val="0"/>
                <w:sz w:val="20"/>
                <w:lang w:val="en-US" w:eastAsia="zh-CN"/>
              </w:rPr>
              <w:t>倪进</w:t>
            </w:r>
          </w:p>
        </w:tc>
        <w:tc>
          <w:tcPr>
            <w:tcW w:w="1575" w:type="dxa"/>
            <w:tcBorders>
              <w:top w:val="single" w:color="auto" w:sz="4" w:space="0"/>
              <w:left w:val="single" w:color="auto" w:sz="4" w:space="0"/>
              <w:bottom w:val="single" w:color="auto" w:sz="4" w:space="0"/>
              <w:right w:val="single" w:color="auto" w:sz="4" w:space="0"/>
            </w:tcBorders>
            <w:vAlign w:val="center"/>
          </w:tcPr>
          <w:p w14:paraId="3A3D8890">
            <w:pPr>
              <w:snapToGrid w:val="0"/>
              <w:spacing w:line="300" w:lineRule="auto"/>
              <w:ind w:right="-409" w:rightChars="-195"/>
              <w:jc w:val="center"/>
              <w:rPr>
                <w:rFonts w:hint="eastAsia" w:ascii="宋体" w:hAnsi="宋体"/>
                <w:color w:val="auto"/>
                <w:kern w:val="0"/>
                <w:sz w:val="20"/>
              </w:rPr>
            </w:pPr>
            <w:r>
              <w:rPr>
                <w:rFonts w:hint="eastAsia" w:ascii="宋体" w:hAnsi="宋体"/>
                <w:color w:val="auto"/>
                <w:kern w:val="0"/>
                <w:sz w:val="20"/>
              </w:rPr>
              <w:t>签批人</w:t>
            </w:r>
          </w:p>
        </w:tc>
        <w:tc>
          <w:tcPr>
            <w:tcW w:w="1665" w:type="dxa"/>
            <w:tcBorders>
              <w:top w:val="single" w:color="auto" w:sz="4" w:space="0"/>
              <w:left w:val="single" w:color="auto" w:sz="4" w:space="0"/>
              <w:bottom w:val="single" w:color="auto" w:sz="4" w:space="0"/>
            </w:tcBorders>
            <w:vAlign w:val="center"/>
          </w:tcPr>
          <w:p w14:paraId="4337A846">
            <w:pPr>
              <w:snapToGrid w:val="0"/>
              <w:spacing w:line="300" w:lineRule="auto"/>
              <w:jc w:val="center"/>
              <w:rPr>
                <w:rFonts w:ascii="宋体" w:hAnsi="宋体"/>
                <w:color w:val="auto"/>
                <w:kern w:val="0"/>
                <w:sz w:val="20"/>
              </w:rPr>
            </w:pPr>
            <w:r>
              <w:rPr>
                <w:rFonts w:hint="eastAsia" w:ascii="宋体" w:hAnsi="宋体"/>
                <w:color w:val="auto"/>
                <w:kern w:val="0"/>
                <w:sz w:val="20"/>
              </w:rPr>
              <w:t>杜雪良</w:t>
            </w:r>
          </w:p>
        </w:tc>
      </w:tr>
    </w:tbl>
    <w:p w14:paraId="70BF6A16">
      <w:pPr>
        <w:snapToGrid w:val="0"/>
        <w:jc w:val="center"/>
        <w:rPr>
          <w:rFonts w:hint="eastAsia" w:ascii="仿宋_GB2312" w:hAnsi="宋体" w:eastAsia="仿宋_GB2312"/>
          <w:color w:val="auto"/>
          <w:sz w:val="28"/>
          <w:szCs w:val="28"/>
        </w:rPr>
      </w:pPr>
    </w:p>
    <w:p w14:paraId="2923D9BB">
      <w:pPr>
        <w:snapToGrid w:val="0"/>
        <w:jc w:val="center"/>
        <w:rPr>
          <w:rFonts w:hint="eastAsia" w:ascii="仿宋_GB2312" w:hAnsi="宋体" w:eastAsia="仿宋_GB2312"/>
          <w:color w:val="auto"/>
          <w:sz w:val="28"/>
          <w:szCs w:val="28"/>
        </w:rPr>
      </w:pPr>
    </w:p>
    <w:p w14:paraId="19B7885B">
      <w:pPr>
        <w:snapToGrid w:val="0"/>
        <w:jc w:val="center"/>
        <w:rPr>
          <w:rFonts w:hint="eastAsia" w:ascii="仿宋_GB2312" w:hAnsi="宋体" w:eastAsia="仿宋_GB2312"/>
          <w:color w:val="auto"/>
          <w:sz w:val="28"/>
          <w:szCs w:val="28"/>
        </w:rPr>
      </w:pPr>
    </w:p>
    <w:p w14:paraId="45A5E4AC">
      <w:pPr>
        <w:snapToGrid w:val="0"/>
        <w:jc w:val="center"/>
        <w:rPr>
          <w:rFonts w:hint="eastAsia" w:ascii="仿宋_GB2312" w:hAnsi="宋体" w:eastAsia="仿宋_GB2312"/>
          <w:color w:val="auto"/>
          <w:sz w:val="28"/>
          <w:szCs w:val="28"/>
        </w:rPr>
      </w:pPr>
    </w:p>
    <w:p w14:paraId="65C55AD2">
      <w:pPr>
        <w:snapToGrid w:val="0"/>
        <w:jc w:val="center"/>
        <w:rPr>
          <w:rFonts w:hint="eastAsia" w:ascii="仿宋_GB2312" w:hAnsi="宋体" w:eastAsia="仿宋_GB2312"/>
          <w:color w:val="auto"/>
          <w:sz w:val="28"/>
          <w:szCs w:val="28"/>
        </w:rPr>
      </w:pPr>
      <w:r>
        <w:rPr>
          <w:rFonts w:hint="eastAsia" w:ascii="宋体" w:hAnsi="宋体" w:cs="宋体"/>
          <w:color w:val="auto"/>
          <w:sz w:val="32"/>
          <w:szCs w:val="32"/>
        </w:rPr>
        <w:pict>
          <v:shape id="_x0000_i1025" o:spt="75" alt="b718d151-a529-424b-9f16-4005debe9ad9" type="#_x0000_t75" style="height:58.4pt;width:133.35pt;" filled="f" o:preferrelative="t" stroked="f" coordsize="21600,21600">
            <v:path/>
            <v:fill on="f" focussize="0,0"/>
            <v:stroke on="f"/>
            <v:imagedata r:id="rId5" cropbottom="8133f" chromakey="#FFFFFF" o:title="b718d151-a529-424b-9f16-4005debe9ad9"/>
            <o:lock v:ext="edit" aspectratio="t"/>
            <w10:wrap type="none"/>
            <w10:anchorlock/>
          </v:shape>
        </w:pict>
      </w:r>
    </w:p>
    <w:p w14:paraId="4689FEA5">
      <w:pPr>
        <w:rPr>
          <w:rFonts w:hint="eastAsia"/>
          <w:color w:val="auto"/>
        </w:rPr>
      </w:pPr>
    </w:p>
    <w:p w14:paraId="5325BDCC">
      <w:pPr>
        <w:rPr>
          <w:rFonts w:hint="eastAsia"/>
          <w:color w:val="auto"/>
        </w:rPr>
      </w:pPr>
    </w:p>
    <w:p w14:paraId="79FE3F88">
      <w:pPr>
        <w:rPr>
          <w:rFonts w:hint="eastAsia"/>
          <w:color w:val="auto"/>
        </w:rPr>
      </w:pPr>
    </w:p>
    <w:p w14:paraId="4CC00A63">
      <w:pPr>
        <w:pStyle w:val="2"/>
        <w:snapToGrid w:val="0"/>
        <w:spacing w:before="120" w:after="312" w:afterLines="100" w:line="240" w:lineRule="auto"/>
        <w:ind w:firstLine="0"/>
        <w:jc w:val="center"/>
        <w:rPr>
          <w:rFonts w:hint="eastAsia" w:ascii="宋体" w:hAnsi="宋体" w:eastAsia="宋体"/>
          <w:color w:val="auto"/>
          <w:sz w:val="72"/>
          <w:szCs w:val="72"/>
        </w:rPr>
      </w:pPr>
      <w:r>
        <w:rPr>
          <w:rFonts w:hint="eastAsia" w:ascii="宋体" w:hAnsi="宋体" w:eastAsia="宋体"/>
          <w:color w:val="auto"/>
          <w:sz w:val="72"/>
          <w:szCs w:val="72"/>
        </w:rPr>
        <w:t>《科研项目立项报告书》</w:t>
      </w:r>
    </w:p>
    <w:p w14:paraId="785E1E3B">
      <w:pPr>
        <w:rPr>
          <w:rFonts w:hint="eastAsia"/>
          <w:color w:val="auto"/>
        </w:rPr>
      </w:pPr>
    </w:p>
    <w:p w14:paraId="52076639">
      <w:pPr>
        <w:keepNext w:val="0"/>
        <w:keepLines w:val="0"/>
        <w:pageBreakBefore w:val="0"/>
        <w:widowControl w:val="0"/>
        <w:kinsoku/>
        <w:wordWrap/>
        <w:overflowPunct/>
        <w:topLinePunct w:val="0"/>
        <w:autoSpaceDE/>
        <w:autoSpaceDN/>
        <w:bidi w:val="0"/>
        <w:adjustRightInd/>
        <w:snapToGrid w:val="0"/>
        <w:spacing w:after="312" w:afterLines="100" w:line="360" w:lineRule="auto"/>
        <w:ind w:left="630" w:leftChars="300"/>
        <w:jc w:val="both"/>
        <w:textAlignment w:val="auto"/>
        <w:rPr>
          <w:rFonts w:hint="eastAsia" w:ascii="仿宋_GB2312" w:hAnsi="宋体" w:eastAsia="仿宋_GB2312"/>
          <w:b/>
          <w:color w:val="auto"/>
          <w:sz w:val="32"/>
          <w:szCs w:val="32"/>
        </w:rPr>
      </w:pPr>
      <w:r>
        <w:rPr>
          <w:rFonts w:hint="eastAsia" w:ascii="仿宋_GB2312" w:hAnsi="宋体" w:eastAsia="仿宋_GB2312"/>
          <w:b/>
          <w:color w:val="auto"/>
          <w:sz w:val="32"/>
          <w:szCs w:val="32"/>
        </w:rPr>
        <w:t>项目名称：基于全自动精细研磨系统的化学合成涂料的研发</w:t>
      </w:r>
    </w:p>
    <w:p w14:paraId="06FF93B7">
      <w:pPr>
        <w:keepNext w:val="0"/>
        <w:keepLines w:val="0"/>
        <w:pageBreakBefore w:val="0"/>
        <w:widowControl w:val="0"/>
        <w:kinsoku/>
        <w:wordWrap/>
        <w:overflowPunct/>
        <w:topLinePunct w:val="0"/>
        <w:autoSpaceDE/>
        <w:autoSpaceDN/>
        <w:bidi w:val="0"/>
        <w:adjustRightInd/>
        <w:snapToGrid w:val="0"/>
        <w:spacing w:after="312" w:afterLines="100" w:line="360" w:lineRule="auto"/>
        <w:ind w:left="630" w:leftChars="300"/>
        <w:jc w:val="both"/>
        <w:textAlignment w:val="auto"/>
        <w:rPr>
          <w:rFonts w:hint="eastAsia" w:ascii="仿宋_GB2312" w:hAnsi="宋体" w:eastAsia="仿宋_GB2312"/>
          <w:b/>
          <w:color w:val="auto"/>
          <w:sz w:val="32"/>
          <w:szCs w:val="32"/>
        </w:rPr>
      </w:pPr>
      <w:r>
        <w:rPr>
          <w:rFonts w:hint="eastAsia" w:ascii="仿宋_GB2312" w:hAnsi="宋体" w:eastAsia="仿宋_GB2312"/>
          <w:b/>
          <w:color w:val="auto"/>
          <w:sz w:val="32"/>
          <w:szCs w:val="32"/>
        </w:rPr>
        <w:t>所属领域：新材料--金属材料--铝、铜、镁、钛合金清洁生产与深加工技术</w:t>
      </w:r>
    </w:p>
    <w:p w14:paraId="3270473A">
      <w:pPr>
        <w:keepNext w:val="0"/>
        <w:keepLines w:val="0"/>
        <w:pageBreakBefore w:val="0"/>
        <w:widowControl w:val="0"/>
        <w:kinsoku/>
        <w:wordWrap/>
        <w:overflowPunct/>
        <w:topLinePunct w:val="0"/>
        <w:autoSpaceDE/>
        <w:autoSpaceDN/>
        <w:bidi w:val="0"/>
        <w:adjustRightInd/>
        <w:snapToGrid w:val="0"/>
        <w:spacing w:after="312" w:afterLines="100" w:line="360" w:lineRule="auto"/>
        <w:ind w:left="630" w:leftChars="300"/>
        <w:jc w:val="both"/>
        <w:textAlignment w:val="auto"/>
        <w:rPr>
          <w:rFonts w:hint="eastAsia" w:ascii="仿宋_GB2312" w:hAnsi="宋体" w:eastAsia="仿宋_GB2312" w:cs="Arial"/>
          <w:b/>
          <w:color w:val="auto"/>
          <w:sz w:val="32"/>
          <w:szCs w:val="32"/>
        </w:rPr>
      </w:pPr>
      <w:r>
        <w:rPr>
          <w:rFonts w:hint="eastAsia" w:ascii="仿宋_GB2312" w:hAnsi="宋体" w:eastAsia="仿宋_GB2312"/>
          <w:b/>
          <w:color w:val="auto"/>
          <w:sz w:val="32"/>
          <w:szCs w:val="32"/>
        </w:rPr>
        <w:t>承担单位：</w:t>
      </w:r>
      <w:r>
        <w:rPr>
          <w:rFonts w:hint="eastAsia" w:ascii="仿宋_GB2312" w:hAnsi="宋体" w:eastAsia="仿宋_GB2312" w:cs="Arial"/>
          <w:b/>
          <w:color w:val="auto"/>
          <w:sz w:val="32"/>
          <w:szCs w:val="32"/>
          <w:lang w:val="en-US" w:eastAsia="zh-CN"/>
        </w:rPr>
        <w:t>上海舜斯新材料科技有限公司</w:t>
      </w:r>
    </w:p>
    <w:p w14:paraId="4667C105">
      <w:pPr>
        <w:keepNext w:val="0"/>
        <w:keepLines w:val="0"/>
        <w:pageBreakBefore w:val="0"/>
        <w:widowControl w:val="0"/>
        <w:kinsoku/>
        <w:wordWrap/>
        <w:overflowPunct/>
        <w:topLinePunct w:val="0"/>
        <w:autoSpaceDE/>
        <w:autoSpaceDN/>
        <w:bidi w:val="0"/>
        <w:adjustRightInd/>
        <w:snapToGrid w:val="0"/>
        <w:spacing w:after="312" w:afterLines="100" w:line="360" w:lineRule="auto"/>
        <w:ind w:left="630" w:leftChars="300"/>
        <w:jc w:val="both"/>
        <w:textAlignment w:val="auto"/>
        <w:rPr>
          <w:rFonts w:hint="eastAsia" w:ascii="仿宋_GB2312" w:hAnsi="宋体" w:eastAsia="仿宋_GB2312" w:cs="Arial"/>
          <w:b/>
          <w:color w:val="auto"/>
          <w:sz w:val="32"/>
          <w:szCs w:val="32"/>
          <w:lang w:val="en-US" w:eastAsia="zh-CN"/>
        </w:rPr>
      </w:pPr>
      <w:r>
        <w:rPr>
          <w:rFonts w:hint="eastAsia" w:ascii="仿宋_GB2312" w:hAnsi="宋体" w:eastAsia="仿宋_GB2312"/>
          <w:b/>
          <w:color w:val="auto"/>
          <w:sz w:val="32"/>
          <w:szCs w:val="32"/>
        </w:rPr>
        <w:t>管理</w:t>
      </w:r>
      <w:r>
        <w:rPr>
          <w:rFonts w:hint="eastAsia" w:ascii="仿宋_GB2312" w:hAnsi="宋体" w:eastAsia="仿宋_GB2312"/>
          <w:b/>
          <w:color w:val="auto"/>
          <w:sz w:val="32"/>
          <w:szCs w:val="32"/>
          <w:lang w:val="en-US" w:eastAsia="zh-CN"/>
        </w:rPr>
        <w:t>部门</w:t>
      </w:r>
      <w:r>
        <w:rPr>
          <w:rFonts w:hint="eastAsia" w:ascii="仿宋_GB2312" w:hAnsi="宋体" w:eastAsia="仿宋_GB2312"/>
          <w:b/>
          <w:color w:val="auto"/>
          <w:sz w:val="32"/>
          <w:szCs w:val="32"/>
        </w:rPr>
        <w:t>：</w:t>
      </w:r>
      <w:r>
        <w:rPr>
          <w:rFonts w:hint="eastAsia" w:ascii="仿宋_GB2312" w:hAnsi="宋体" w:eastAsia="仿宋_GB2312" w:cs="Arial"/>
          <w:b/>
          <w:color w:val="auto"/>
          <w:sz w:val="32"/>
          <w:szCs w:val="32"/>
          <w:lang w:val="en-US" w:eastAsia="zh-CN"/>
        </w:rPr>
        <w:t>研发部</w:t>
      </w:r>
    </w:p>
    <w:p w14:paraId="0FD3966D">
      <w:pPr>
        <w:keepNext w:val="0"/>
        <w:keepLines w:val="0"/>
        <w:pageBreakBefore w:val="0"/>
        <w:widowControl w:val="0"/>
        <w:kinsoku/>
        <w:wordWrap/>
        <w:overflowPunct/>
        <w:topLinePunct w:val="0"/>
        <w:autoSpaceDE/>
        <w:autoSpaceDN/>
        <w:bidi w:val="0"/>
        <w:adjustRightInd/>
        <w:snapToGrid w:val="0"/>
        <w:spacing w:after="312" w:afterLines="100" w:line="360" w:lineRule="auto"/>
        <w:ind w:left="630" w:leftChars="300"/>
        <w:jc w:val="both"/>
        <w:textAlignment w:val="auto"/>
        <w:rPr>
          <w:rFonts w:hint="eastAsia" w:ascii="仿宋_GB2312" w:hAnsi="宋体" w:eastAsia="仿宋_GB2312" w:cs="Arial"/>
          <w:b/>
          <w:color w:val="auto"/>
          <w:sz w:val="32"/>
          <w:szCs w:val="32"/>
        </w:rPr>
      </w:pPr>
      <w:r>
        <w:rPr>
          <w:rFonts w:hint="eastAsia" w:ascii="仿宋_GB2312" w:hAnsi="宋体" w:eastAsia="仿宋_GB2312" w:cs="Arial"/>
          <w:b/>
          <w:color w:val="auto"/>
          <w:sz w:val="32"/>
          <w:szCs w:val="32"/>
        </w:rPr>
        <w:t>起止时间：</w:t>
      </w:r>
      <w:r>
        <w:rPr>
          <w:rFonts w:hint="eastAsia" w:ascii="仿宋_GB2312" w:hAnsi="宋体" w:eastAsia="仿宋_GB2312" w:cs="Arial"/>
          <w:b/>
          <w:color w:val="auto"/>
          <w:sz w:val="32"/>
          <w:szCs w:val="32"/>
          <w:lang w:val="en-US" w:eastAsia="zh-CN"/>
        </w:rPr>
        <w:t>2023</w:t>
      </w:r>
      <w:r>
        <w:rPr>
          <w:rFonts w:hint="eastAsia" w:ascii="仿宋_GB2312" w:hAnsi="宋体" w:eastAsia="仿宋_GB2312" w:cs="Arial"/>
          <w:b/>
          <w:color w:val="auto"/>
          <w:sz w:val="32"/>
          <w:szCs w:val="32"/>
        </w:rPr>
        <w:t>年</w:t>
      </w:r>
      <w:r>
        <w:rPr>
          <w:rFonts w:hint="eastAsia" w:ascii="仿宋_GB2312" w:hAnsi="宋体" w:eastAsia="仿宋_GB2312" w:cs="Arial"/>
          <w:b/>
          <w:color w:val="auto"/>
          <w:sz w:val="32"/>
          <w:szCs w:val="32"/>
          <w:lang w:val="en-US" w:eastAsia="zh-CN"/>
        </w:rPr>
        <w:t>1</w:t>
      </w:r>
      <w:r>
        <w:rPr>
          <w:rFonts w:hint="eastAsia" w:ascii="仿宋_GB2312" w:hAnsi="宋体" w:eastAsia="仿宋_GB2312" w:cs="Arial"/>
          <w:b/>
          <w:color w:val="auto"/>
          <w:sz w:val="32"/>
          <w:szCs w:val="32"/>
        </w:rPr>
        <w:t>月-</w:t>
      </w:r>
      <w:r>
        <w:rPr>
          <w:rFonts w:hint="eastAsia" w:ascii="仿宋_GB2312" w:hAnsi="宋体" w:eastAsia="仿宋_GB2312" w:cs="Arial"/>
          <w:b/>
          <w:color w:val="auto"/>
          <w:sz w:val="32"/>
          <w:szCs w:val="32"/>
          <w:lang w:val="en-US" w:eastAsia="zh-CN"/>
        </w:rPr>
        <w:t>2023</w:t>
      </w:r>
      <w:r>
        <w:rPr>
          <w:rFonts w:hint="eastAsia" w:ascii="仿宋_GB2312" w:hAnsi="宋体" w:eastAsia="仿宋_GB2312" w:cs="Arial"/>
          <w:b/>
          <w:color w:val="auto"/>
          <w:sz w:val="32"/>
          <w:szCs w:val="32"/>
        </w:rPr>
        <w:t>年</w:t>
      </w:r>
      <w:r>
        <w:rPr>
          <w:rFonts w:hint="eastAsia" w:ascii="仿宋_GB2312" w:hAnsi="宋体" w:eastAsia="仿宋_GB2312" w:cs="Arial"/>
          <w:b/>
          <w:color w:val="auto"/>
          <w:sz w:val="32"/>
          <w:szCs w:val="32"/>
          <w:lang w:val="en-US" w:eastAsia="zh-CN"/>
        </w:rPr>
        <w:t>12</w:t>
      </w:r>
      <w:r>
        <w:rPr>
          <w:rFonts w:hint="eastAsia" w:ascii="仿宋_GB2312" w:hAnsi="宋体" w:eastAsia="仿宋_GB2312" w:cs="Arial"/>
          <w:b/>
          <w:color w:val="auto"/>
          <w:sz w:val="32"/>
          <w:szCs w:val="32"/>
        </w:rPr>
        <w:t>月</w:t>
      </w:r>
    </w:p>
    <w:p w14:paraId="2E8414D7">
      <w:pPr>
        <w:snapToGrid w:val="0"/>
        <w:spacing w:after="312" w:afterLines="100" w:line="300" w:lineRule="auto"/>
        <w:jc w:val="center"/>
        <w:rPr>
          <w:rFonts w:hint="eastAsia" w:ascii="仿宋_GB2312" w:hAnsi="宋体" w:eastAsia="仿宋_GB2312" w:cs="Arial"/>
          <w:color w:val="auto"/>
          <w:sz w:val="28"/>
          <w:szCs w:val="28"/>
        </w:rPr>
      </w:pPr>
      <w:r>
        <w:rPr>
          <w:rFonts w:hint="eastAsia" w:ascii="仿宋_GB2312" w:hAnsi="宋体" w:eastAsia="仿宋_GB2312" w:cs="Arial"/>
          <w:color w:val="auto"/>
          <w:sz w:val="28"/>
          <w:szCs w:val="28"/>
        </w:rPr>
        <w:t>上海舜斯新材料科技有限公司</w:t>
      </w:r>
    </w:p>
    <w:p w14:paraId="65ADDD98">
      <w:pPr>
        <w:snapToGrid w:val="0"/>
        <w:spacing w:after="312" w:afterLines="100" w:line="300" w:lineRule="auto"/>
        <w:jc w:val="center"/>
        <w:rPr>
          <w:rFonts w:ascii="Times New Roman" w:hAnsi="Times New Roman"/>
          <w:color w:val="auto"/>
        </w:rPr>
      </w:pPr>
      <w:r>
        <w:rPr>
          <w:rFonts w:hint="eastAsia" w:ascii="Times New Roman" w:hAnsi="Times New Roman"/>
          <w:color w:val="auto"/>
          <w:lang w:val="en-US" w:eastAsia="zh-CN"/>
        </w:rPr>
        <w:t>2023年</w:t>
      </w:r>
    </w:p>
    <w:p w14:paraId="0FC95D6F">
      <w:pPr>
        <w:spacing w:line="360" w:lineRule="auto"/>
        <w:rPr>
          <w:rStyle w:val="13"/>
          <w:rFonts w:ascii="Times New Roman" w:hAnsi="Times New Roman"/>
          <w:color w:val="auto"/>
          <w:sz w:val="22"/>
          <w:szCs w:val="22"/>
        </w:rPr>
      </w:pPr>
      <w:r>
        <w:rPr>
          <w:rStyle w:val="13"/>
          <w:rFonts w:hint="eastAsia" w:ascii="Times New Roman" w:hAnsi="Times New Roman"/>
          <w:color w:val="auto"/>
          <w:sz w:val="22"/>
          <w:szCs w:val="22"/>
        </w:rPr>
        <w:t>一、项目背景</w:t>
      </w:r>
    </w:p>
    <w:p w14:paraId="27CCEE55">
      <w:pPr>
        <w:spacing w:line="360" w:lineRule="auto"/>
        <w:ind w:firstLine="440" w:firstLineChars="200"/>
        <w:rPr>
          <w:rFonts w:hint="eastAsia" w:ascii="Times New Roman" w:hAnsi="Times New Roman"/>
          <w:color w:val="auto"/>
          <w:sz w:val="22"/>
        </w:rPr>
      </w:pPr>
      <w:r>
        <w:rPr>
          <w:rFonts w:hint="eastAsia" w:ascii="Times New Roman" w:hAnsi="Times New Roman"/>
          <w:color w:val="auto"/>
          <w:sz w:val="22"/>
        </w:rPr>
        <w:t>当前，我国涂料行业正处于从传统制造模式向绿色化、智能化、高效化生产转型升级的关键时期。然而，涂料生产过程中普遍存在研磨效率低、能耗高、产品批次稳定性不足等问题，尤其在化学合成涂料领域，随着环保政策日益严格和下游应用对品质要求的不断提升，对原材料的精细化处理需求愈发迫切，传统依赖人工或半自动化的研磨工艺已难以满足高质量、规模化生产的需求。</w:t>
      </w:r>
    </w:p>
    <w:p w14:paraId="2E5E2516">
      <w:pPr>
        <w:spacing w:line="360" w:lineRule="auto"/>
        <w:ind w:firstLine="440" w:firstLineChars="200"/>
        <w:rPr>
          <w:rFonts w:hint="eastAsia" w:ascii="Times New Roman" w:hAnsi="Times New Roman"/>
          <w:color w:val="auto"/>
          <w:sz w:val="22"/>
        </w:rPr>
      </w:pPr>
      <w:r>
        <w:rPr>
          <w:rFonts w:hint="eastAsia" w:ascii="Times New Roman" w:hAnsi="Times New Roman"/>
          <w:color w:val="auto"/>
          <w:sz w:val="22"/>
        </w:rPr>
        <w:t>相比之下，发达国家在涂料生产自动化方面起步较早，已广泛将智能控制技术与高精度研磨设备相结合，显著提升了生产效能与产品一致性。例如：德国部分领先企业已实现研磨流程的全闭环控制，通过集成自动化系统完成工艺参数的精准设定与实时调控；日本厂商在分散研磨设备中引入智能传感技术，有效增强了设备运行的稳定性与安全性；美国一些涂料生产企业则通过优化研磨路径设计与物料流动管理，大幅提升了产品均匀性和整体生产效率。</w:t>
      </w:r>
    </w:p>
    <w:p w14:paraId="08015A32">
      <w:pPr>
        <w:spacing w:line="360" w:lineRule="auto"/>
        <w:ind w:firstLine="440" w:firstLineChars="200"/>
        <w:rPr>
          <w:rFonts w:ascii="Times New Roman" w:hAnsi="Times New Roman"/>
          <w:color w:val="auto"/>
          <w:sz w:val="22"/>
          <w:szCs w:val="22"/>
        </w:rPr>
      </w:pPr>
      <w:r>
        <w:rPr>
          <w:rFonts w:hint="eastAsia" w:ascii="Times New Roman" w:hAnsi="Times New Roman"/>
          <w:color w:val="auto"/>
          <w:sz w:val="22"/>
        </w:rPr>
        <w:t>这些先进经验为我国涂料行业的智能化升级提供了有益借鉴，加快关键技术的研发与应用，推动研磨工艺的智能化、精细化变革，已成为提升行业整体竞争力的必然路径</w:t>
      </w:r>
      <w:bookmarkStart w:id="0" w:name="_GoBack"/>
      <w:bookmarkEnd w:id="0"/>
      <w:r>
        <w:rPr>
          <w:rFonts w:ascii="Times New Roman" w:hAnsi="Times New Roman"/>
          <w:color w:val="auto"/>
          <w:sz w:val="22"/>
        </w:rPr>
        <w:t>。</w:t>
      </w:r>
    </w:p>
    <w:p w14:paraId="34D8E0CC">
      <w:pPr>
        <w:spacing w:line="360" w:lineRule="auto"/>
        <w:ind w:firstLine="440" w:firstLineChars="200"/>
        <w:rPr>
          <w:rFonts w:ascii="Times New Roman" w:hAnsi="Times New Roman"/>
          <w:color w:val="auto"/>
          <w:sz w:val="22"/>
          <w:szCs w:val="22"/>
        </w:rPr>
      </w:pPr>
      <w:r>
        <w:rPr>
          <w:rFonts w:ascii="Times New Roman" w:hAnsi="Times New Roman"/>
          <w:color w:val="auto"/>
          <w:sz w:val="22"/>
        </w:rPr>
        <w:t>当前我国涂料行业面临绿色转型和智能制造双重压力，亟需通过自动化、智能化手段提升精细研磨系统的效率与稳定性。本项目结合公司在金属材料深加工方面的技术积累，融合自动化控制与智能研磨系统，推动化学合成涂料生产工艺的技术升级，具有较强的现实意义和市场前景。</w:t>
      </w:r>
    </w:p>
    <w:p w14:paraId="657310F2">
      <w:pPr>
        <w:spacing w:line="360" w:lineRule="auto"/>
        <w:rPr>
          <w:rStyle w:val="13"/>
          <w:rFonts w:ascii="Times New Roman" w:hAnsi="Times New Roman"/>
          <w:color w:val="auto"/>
          <w:sz w:val="22"/>
          <w:szCs w:val="22"/>
        </w:rPr>
      </w:pPr>
      <w:r>
        <w:rPr>
          <w:rStyle w:val="13"/>
          <w:rFonts w:hint="eastAsia" w:ascii="Times New Roman" w:hAnsi="Times New Roman"/>
          <w:color w:val="auto"/>
          <w:sz w:val="22"/>
          <w:szCs w:val="22"/>
        </w:rPr>
        <w:t>二、项目目标</w:t>
      </w:r>
    </w:p>
    <w:p w14:paraId="1C6C4BF2">
      <w:pPr>
        <w:spacing w:line="360" w:lineRule="auto"/>
        <w:ind w:left="420" w:leftChars="200"/>
        <w:rPr>
          <w:rFonts w:ascii="Times New Roman" w:hAnsi="Times New Roman" w:cs="Segoe UI"/>
          <w:color w:val="auto"/>
          <w:sz w:val="22"/>
          <w:szCs w:val="22"/>
        </w:rPr>
      </w:pPr>
      <w:r>
        <w:rPr>
          <w:rFonts w:ascii="Times New Roman" w:hAnsi="Times New Roman"/>
          <w:color w:val="auto"/>
          <w:sz w:val="22"/>
        </w:rPr>
        <w:t>本项目围绕化学合成涂料的生产过程，重点研发基于全自动精细研磨系统的新型生产工艺，实现以下技术目标：</w:t>
      </w:r>
    </w:p>
    <w:p w14:paraId="299678A4">
      <w:pPr>
        <w:numPr>
          <w:ilvl w:val="0"/>
          <w:numId w:val="1"/>
        </w:numPr>
        <w:spacing w:line="360" w:lineRule="auto"/>
        <w:ind w:left="0" w:firstLine="440" w:firstLineChars="200"/>
        <w:rPr>
          <w:rFonts w:hint="eastAsia" w:ascii="Times New Roman" w:hAnsi="Times New Roman"/>
          <w:color w:val="auto"/>
          <w:sz w:val="22"/>
        </w:rPr>
      </w:pPr>
      <w:r>
        <w:rPr>
          <w:rFonts w:hint="eastAsia" w:ascii="Times New Roman" w:hAnsi="Times New Roman"/>
          <w:color w:val="auto"/>
          <w:sz w:val="22"/>
        </w:rPr>
        <w:t>分散效率优化技术</w:t>
      </w:r>
      <w:r>
        <w:rPr>
          <w:rFonts w:hint="eastAsia" w:ascii="Times New Roman" w:hAnsi="Times New Roman"/>
          <w:color w:val="auto"/>
          <w:sz w:val="22"/>
          <w:lang w:eastAsia="zh-CN"/>
        </w:rPr>
        <w:t>；</w:t>
      </w:r>
    </w:p>
    <w:p w14:paraId="3847215A">
      <w:pPr>
        <w:numPr>
          <w:ilvl w:val="0"/>
          <w:numId w:val="1"/>
        </w:numPr>
        <w:spacing w:line="360" w:lineRule="auto"/>
        <w:ind w:left="0" w:firstLine="440" w:firstLineChars="200"/>
        <w:rPr>
          <w:rFonts w:hint="eastAsia" w:ascii="Times New Roman" w:hAnsi="Times New Roman"/>
          <w:color w:val="auto"/>
          <w:sz w:val="22"/>
        </w:rPr>
      </w:pPr>
      <w:r>
        <w:rPr>
          <w:rFonts w:hint="eastAsia" w:ascii="Times New Roman" w:hAnsi="Times New Roman"/>
          <w:color w:val="auto"/>
          <w:sz w:val="22"/>
        </w:rPr>
        <w:t>自动化控制技术</w:t>
      </w:r>
      <w:r>
        <w:rPr>
          <w:rFonts w:hint="eastAsia" w:ascii="Times New Roman" w:hAnsi="Times New Roman"/>
          <w:color w:val="auto"/>
          <w:sz w:val="22"/>
          <w:lang w:eastAsia="zh-CN"/>
        </w:rPr>
        <w:t>；</w:t>
      </w:r>
    </w:p>
    <w:p w14:paraId="715B138A">
      <w:pPr>
        <w:numPr>
          <w:ilvl w:val="0"/>
          <w:numId w:val="1"/>
        </w:numPr>
        <w:spacing w:line="360" w:lineRule="auto"/>
        <w:ind w:left="0" w:firstLine="440" w:firstLineChars="200"/>
        <w:rPr>
          <w:rFonts w:hint="eastAsia" w:ascii="Times New Roman" w:hAnsi="Times New Roman"/>
          <w:color w:val="auto"/>
          <w:sz w:val="22"/>
        </w:rPr>
      </w:pPr>
      <w:r>
        <w:rPr>
          <w:rFonts w:hint="eastAsia" w:ascii="Times New Roman" w:hAnsi="Times New Roman"/>
          <w:color w:val="auto"/>
          <w:sz w:val="22"/>
        </w:rPr>
        <w:t>精细研磨过程控制</w:t>
      </w:r>
      <w:r>
        <w:rPr>
          <w:rFonts w:hint="eastAsia" w:ascii="Times New Roman" w:hAnsi="Times New Roman"/>
          <w:color w:val="auto"/>
          <w:sz w:val="22"/>
          <w:lang w:eastAsia="zh-CN"/>
        </w:rPr>
        <w:t>；</w:t>
      </w:r>
    </w:p>
    <w:p w14:paraId="01BC6160">
      <w:pPr>
        <w:numPr>
          <w:ilvl w:val="0"/>
          <w:numId w:val="1"/>
        </w:numPr>
        <w:spacing w:line="360" w:lineRule="auto"/>
        <w:ind w:left="0" w:firstLine="440" w:firstLineChars="200"/>
        <w:rPr>
          <w:rFonts w:ascii="Times New Roman" w:hAnsi="Times New Roman" w:cs="Segoe UI"/>
          <w:color w:val="auto"/>
          <w:sz w:val="22"/>
          <w:szCs w:val="22"/>
        </w:rPr>
      </w:pPr>
      <w:r>
        <w:rPr>
          <w:rFonts w:hint="eastAsia" w:ascii="Times New Roman" w:hAnsi="Times New Roman"/>
          <w:color w:val="auto"/>
          <w:sz w:val="22"/>
        </w:rPr>
        <w:t>防护与定位结构设计</w:t>
      </w:r>
      <w:r>
        <w:rPr>
          <w:rFonts w:hint="eastAsia" w:ascii="Times New Roman" w:hAnsi="Times New Roman"/>
          <w:color w:val="auto"/>
          <w:sz w:val="22"/>
          <w:lang w:eastAsia="zh-CN"/>
        </w:rPr>
        <w:t>；</w:t>
      </w:r>
    </w:p>
    <w:p w14:paraId="0C14AD6B">
      <w:pPr>
        <w:spacing w:line="360" w:lineRule="auto"/>
        <w:rPr>
          <w:rStyle w:val="13"/>
          <w:rFonts w:ascii="Times New Roman" w:hAnsi="Times New Roman"/>
          <w:color w:val="auto"/>
          <w:sz w:val="22"/>
          <w:szCs w:val="22"/>
        </w:rPr>
      </w:pPr>
      <w:r>
        <w:rPr>
          <w:rStyle w:val="13"/>
          <w:rFonts w:hint="eastAsia" w:ascii="Times New Roman" w:hAnsi="Times New Roman"/>
          <w:color w:val="auto"/>
          <w:sz w:val="22"/>
          <w:szCs w:val="22"/>
        </w:rPr>
        <w:t>三、预期效益与挑战</w:t>
      </w:r>
    </w:p>
    <w:p w14:paraId="4DD95D4B">
      <w:pPr>
        <w:spacing w:line="360" w:lineRule="auto"/>
        <w:rPr>
          <w:rFonts w:ascii="Times New Roman" w:hAnsi="Times New Roman"/>
          <w:color w:val="auto"/>
          <w:sz w:val="22"/>
          <w:szCs w:val="22"/>
        </w:rPr>
      </w:pPr>
      <w:r>
        <w:rPr>
          <w:rFonts w:hint="eastAsia" w:ascii="Times New Roman" w:hAnsi="Times New Roman"/>
          <w:color w:val="auto"/>
          <w:sz w:val="22"/>
          <w:szCs w:val="22"/>
        </w:rPr>
        <w:t>（一）预期效益</w:t>
      </w:r>
    </w:p>
    <w:p w14:paraId="14BD3880">
      <w:pPr>
        <w:numPr>
          <w:ilvl w:val="0"/>
          <w:numId w:val="2"/>
        </w:numPr>
        <w:spacing w:line="360" w:lineRule="auto"/>
        <w:ind w:left="0" w:firstLine="440" w:firstLineChars="200"/>
        <w:rPr>
          <w:rFonts w:ascii="Times New Roman" w:hAnsi="Times New Roman" w:cs="Segoe UI"/>
          <w:color w:val="auto"/>
          <w:sz w:val="22"/>
          <w:szCs w:val="22"/>
        </w:rPr>
      </w:pPr>
      <w:r>
        <w:rPr>
          <w:rFonts w:ascii="Times New Roman" w:hAnsi="Times New Roman"/>
          <w:color w:val="auto"/>
          <w:sz w:val="22"/>
        </w:rPr>
        <w:t>经济效益：提升涂料生产效率，降低单位能耗与人工成本，预计可带动企业产品良率提升，增强市场竞争力。</w:t>
      </w:r>
    </w:p>
    <w:p w14:paraId="208FD16E">
      <w:pPr>
        <w:numPr>
          <w:ilvl w:val="0"/>
          <w:numId w:val="2"/>
        </w:numPr>
        <w:spacing w:line="360" w:lineRule="auto"/>
        <w:ind w:left="0" w:firstLine="440" w:firstLineChars="200"/>
        <w:rPr>
          <w:rFonts w:ascii="Times New Roman" w:hAnsi="Times New Roman" w:cs="Segoe UI"/>
          <w:color w:val="auto"/>
          <w:sz w:val="22"/>
          <w:szCs w:val="22"/>
        </w:rPr>
      </w:pPr>
      <w:r>
        <w:rPr>
          <w:rFonts w:ascii="Times New Roman" w:hAnsi="Times New Roman"/>
          <w:color w:val="auto"/>
          <w:sz w:val="22"/>
        </w:rPr>
        <w:t>社会效益：推动涂料行业向绿色制造、智能制造方向发展，有助于减少生产过程中的资源浪费和环境污染。</w:t>
      </w:r>
    </w:p>
    <w:p w14:paraId="675140D8">
      <w:pPr>
        <w:numPr>
          <w:ilvl w:val="0"/>
          <w:numId w:val="2"/>
        </w:numPr>
        <w:spacing w:line="360" w:lineRule="auto"/>
        <w:ind w:left="0" w:firstLine="440" w:firstLineChars="200"/>
        <w:rPr>
          <w:rFonts w:ascii="Times New Roman" w:hAnsi="Times New Roman" w:cs="Segoe UI"/>
          <w:color w:val="auto"/>
          <w:sz w:val="22"/>
          <w:szCs w:val="22"/>
        </w:rPr>
      </w:pPr>
      <w:r>
        <w:rPr>
          <w:rFonts w:ascii="Times New Roman" w:hAnsi="Times New Roman"/>
          <w:color w:val="auto"/>
          <w:sz w:val="22"/>
        </w:rPr>
        <w:t>技术效益：提升研磨精度和工艺稳定性，为后续产品升级提供技术支撑。</w:t>
      </w:r>
    </w:p>
    <w:p w14:paraId="2B81D10B">
      <w:pPr>
        <w:spacing w:line="360" w:lineRule="auto"/>
        <w:rPr>
          <w:rFonts w:ascii="Times New Roman" w:hAnsi="Times New Roman" w:eastAsia="Segoe UI" w:cs="Segoe UI"/>
          <w:color w:val="auto"/>
          <w:sz w:val="22"/>
          <w:szCs w:val="22"/>
        </w:rPr>
      </w:pPr>
      <w:r>
        <w:rPr>
          <w:rFonts w:hint="eastAsia" w:ascii="Times New Roman" w:hAnsi="Times New Roman" w:eastAsia="Segoe UI" w:cs="Segoe UI"/>
          <w:color w:val="auto"/>
          <w:sz w:val="22"/>
          <w:szCs w:val="22"/>
        </w:rPr>
        <w:t>（二）面临的挑战</w:t>
      </w:r>
    </w:p>
    <w:p w14:paraId="0B6AD749">
      <w:pPr>
        <w:numPr>
          <w:ilvl w:val="0"/>
          <w:numId w:val="3"/>
        </w:numPr>
        <w:spacing w:line="360" w:lineRule="auto"/>
        <w:ind w:left="0" w:firstLine="440" w:firstLineChars="200"/>
        <w:rPr>
          <w:rFonts w:ascii="Times New Roman" w:hAnsi="Times New Roman" w:cs="Segoe UI"/>
          <w:color w:val="auto"/>
          <w:sz w:val="22"/>
          <w:szCs w:val="22"/>
        </w:rPr>
      </w:pPr>
      <w:r>
        <w:rPr>
          <w:rFonts w:ascii="Times New Roman" w:hAnsi="Times New Roman"/>
          <w:color w:val="auto"/>
          <w:sz w:val="22"/>
        </w:rPr>
        <w:t>技术融合难度：自动控制系统与研磨工艺的深度匹配需要持续优化；</w:t>
      </w:r>
    </w:p>
    <w:p w14:paraId="543D9914">
      <w:pPr>
        <w:numPr>
          <w:ilvl w:val="0"/>
          <w:numId w:val="3"/>
        </w:numPr>
        <w:spacing w:line="360" w:lineRule="auto"/>
        <w:ind w:left="0" w:firstLine="440" w:firstLineChars="200"/>
        <w:rPr>
          <w:rFonts w:ascii="Times New Roman" w:hAnsi="Times New Roman" w:cs="Segoe UI"/>
          <w:color w:val="auto"/>
          <w:sz w:val="22"/>
          <w:szCs w:val="22"/>
        </w:rPr>
      </w:pPr>
      <w:r>
        <w:rPr>
          <w:rFonts w:ascii="Times New Roman" w:hAnsi="Times New Roman"/>
          <w:color w:val="auto"/>
          <w:sz w:val="22"/>
        </w:rPr>
        <w:t>工艺适配问题：不同涂料配方对研磨参数的敏感性差异较大，需建立灵活的控制策略；</w:t>
      </w:r>
    </w:p>
    <w:p w14:paraId="09EEB9E6">
      <w:pPr>
        <w:numPr>
          <w:ilvl w:val="0"/>
          <w:numId w:val="3"/>
        </w:numPr>
        <w:spacing w:line="360" w:lineRule="auto"/>
        <w:ind w:left="0" w:firstLine="440" w:firstLineChars="200"/>
        <w:rPr>
          <w:rFonts w:ascii="Times New Roman" w:hAnsi="Times New Roman" w:cs="Segoe UI"/>
          <w:color w:val="auto"/>
          <w:sz w:val="22"/>
          <w:szCs w:val="22"/>
        </w:rPr>
      </w:pPr>
      <w:r>
        <w:rPr>
          <w:rFonts w:ascii="Times New Roman" w:hAnsi="Times New Roman"/>
          <w:color w:val="auto"/>
          <w:sz w:val="22"/>
        </w:rPr>
        <w:t>市场接受度：部分中小企业对智能化设备的投入意愿较低，推广存在一定阻力；</w:t>
      </w:r>
    </w:p>
    <w:p w14:paraId="0240970A">
      <w:pPr>
        <w:numPr>
          <w:ilvl w:val="0"/>
          <w:numId w:val="3"/>
        </w:numPr>
        <w:spacing w:line="360" w:lineRule="auto"/>
        <w:ind w:left="0" w:firstLine="440" w:firstLineChars="200"/>
        <w:rPr>
          <w:rFonts w:ascii="Times New Roman" w:hAnsi="Times New Roman" w:cs="Segoe UI"/>
          <w:color w:val="auto"/>
          <w:sz w:val="22"/>
          <w:szCs w:val="22"/>
        </w:rPr>
      </w:pPr>
      <w:r>
        <w:rPr>
          <w:rFonts w:ascii="Times New Roman" w:hAnsi="Times New Roman"/>
          <w:color w:val="auto"/>
          <w:sz w:val="22"/>
        </w:rPr>
        <w:t>项目预算：项目初期研发预算预计为</w:t>
      </w:r>
      <w:r>
        <w:rPr>
          <w:rFonts w:hint="eastAsia" w:ascii="Times New Roman" w:hAnsi="Times New Roman"/>
          <w:color w:val="auto"/>
          <w:sz w:val="22"/>
          <w:lang w:val="en-US" w:eastAsia="zh-CN"/>
        </w:rPr>
        <w:t>620</w:t>
      </w:r>
      <w:r>
        <w:rPr>
          <w:rFonts w:ascii="Times New Roman" w:hAnsi="Times New Roman"/>
          <w:color w:val="auto"/>
          <w:sz w:val="22"/>
        </w:rPr>
        <w:t>万元（具体金额以详细预算编制为准）。</w:t>
      </w:r>
    </w:p>
    <w:p w14:paraId="615A048B">
      <w:pPr>
        <w:spacing w:line="360" w:lineRule="auto"/>
        <w:jc w:val="right"/>
        <w:rPr>
          <w:rFonts w:ascii="Times New Roman" w:hAnsi="Times New Roman"/>
          <w:color w:val="auto"/>
          <w:sz w:val="22"/>
          <w:szCs w:val="22"/>
        </w:rPr>
      </w:pPr>
    </w:p>
    <w:p w14:paraId="76BAFD7B">
      <w:pPr>
        <w:spacing w:line="360" w:lineRule="auto"/>
        <w:jc w:val="right"/>
        <w:rPr>
          <w:rFonts w:hint="eastAsia" w:ascii="Times New Roman" w:hAnsi="Times New Roman" w:eastAsia="宋体"/>
          <w:color w:val="auto"/>
          <w:sz w:val="22"/>
          <w:szCs w:val="22"/>
          <w:lang w:eastAsia="zh-CN"/>
        </w:rPr>
      </w:pPr>
      <w:r>
        <w:rPr>
          <w:rFonts w:hint="eastAsia" w:ascii="Times New Roman" w:hAnsi="Times New Roman"/>
          <w:color w:val="auto"/>
          <w:sz w:val="22"/>
          <w:szCs w:val="22"/>
          <w:lang w:eastAsia="zh-CN"/>
        </w:rPr>
        <w:t>上海舜斯新材料科技有限公司</w:t>
      </w:r>
    </w:p>
    <w:p w14:paraId="47CDC858">
      <w:pPr>
        <w:spacing w:line="360" w:lineRule="auto"/>
        <w:jc w:val="right"/>
        <w:rPr>
          <w:rFonts w:hint="eastAsia" w:ascii="Times New Roman" w:hAnsi="Times New Roman"/>
          <w:color w:val="auto"/>
          <w:sz w:val="22"/>
          <w:szCs w:val="22"/>
        </w:rPr>
      </w:pPr>
      <w:r>
        <w:rPr>
          <w:rFonts w:hint="eastAsia" w:ascii="Times New Roman" w:hAnsi="Times New Roman"/>
          <w:color w:val="auto"/>
          <w:sz w:val="22"/>
          <w:szCs w:val="22"/>
          <w:lang w:eastAsia="zh-CN"/>
        </w:rPr>
        <w:t>2023年</w:t>
      </w:r>
      <w:r>
        <w:rPr>
          <w:rFonts w:hint="eastAsia" w:ascii="Times New Roman" w:hAnsi="Times New Roman"/>
          <w:color w:val="auto"/>
          <w:sz w:val="22"/>
          <w:szCs w:val="22"/>
        </w:rPr>
        <w:t>1月4日</w:t>
      </w:r>
    </w:p>
    <w:p w14:paraId="51F8053B">
      <w:pPr>
        <w:pStyle w:val="3"/>
        <w:jc w:val="center"/>
        <w:rPr>
          <w:rFonts w:ascii="Times New Roman" w:hAnsi="Times New Roman"/>
          <w:color w:val="auto"/>
          <w:sz w:val="36"/>
          <w:szCs w:val="28"/>
        </w:rPr>
      </w:pPr>
      <w:r>
        <w:rPr>
          <w:rFonts w:hint="eastAsia" w:ascii="Times New Roman" w:hAnsi="Times New Roman"/>
          <w:color w:val="auto"/>
          <w:sz w:val="22"/>
          <w:szCs w:val="22"/>
        </w:rPr>
        <w:br w:type="page"/>
      </w:r>
      <w:r>
        <w:rPr>
          <w:rFonts w:hint="eastAsia" w:ascii="Times New Roman" w:hAnsi="Times New Roman"/>
          <w:color w:val="auto"/>
          <w:sz w:val="36"/>
          <w:szCs w:val="28"/>
        </w:rPr>
        <w:t>项目立项通知</w:t>
      </w:r>
    </w:p>
    <w:p w14:paraId="3D27A6EA">
      <w:pPr>
        <w:spacing w:line="360" w:lineRule="auto"/>
        <w:rPr>
          <w:rFonts w:ascii="Times New Roman" w:hAnsi="Times New Roman"/>
          <w:color w:val="auto"/>
          <w:sz w:val="22"/>
          <w:szCs w:val="28"/>
        </w:rPr>
      </w:pPr>
      <w:r>
        <w:rPr>
          <w:rFonts w:hint="eastAsia" w:ascii="Times New Roman" w:hAnsi="Times New Roman"/>
          <w:color w:val="auto"/>
          <w:sz w:val="22"/>
          <w:szCs w:val="28"/>
        </w:rPr>
        <w:t>各部门：</w:t>
      </w:r>
    </w:p>
    <w:p w14:paraId="2AF38BB1">
      <w:pPr>
        <w:spacing w:line="360" w:lineRule="auto"/>
        <w:ind w:firstLine="440" w:firstLineChars="200"/>
        <w:rPr>
          <w:rFonts w:ascii="Times New Roman" w:hAnsi="Times New Roman"/>
          <w:color w:val="auto"/>
          <w:sz w:val="22"/>
          <w:szCs w:val="28"/>
        </w:rPr>
      </w:pPr>
      <w:r>
        <w:rPr>
          <w:rFonts w:ascii="Times New Roman" w:hAnsi="Times New Roman"/>
          <w:color w:val="auto"/>
          <w:sz w:val="22"/>
        </w:rPr>
        <w:t>随着工业生产对涂料性能要求的提升，传统研磨工艺在分散均匀性、生产效率和操作安全性方面存在一定局限。为提升化学合成涂料的研磨精度与生产自动化水平，我司决定立项研发“基于全自动精细研磨系统的化学合成涂料的研发”项目。请项目负责人</w:t>
      </w:r>
      <w:r>
        <w:rPr>
          <w:rFonts w:hint="eastAsia" w:ascii="Times New Roman" w:hAnsi="Times New Roman"/>
          <w:color w:val="auto"/>
          <w:sz w:val="22"/>
          <w:lang w:eastAsia="zh-CN"/>
        </w:rPr>
        <w:t>倪进</w:t>
      </w:r>
      <w:r>
        <w:rPr>
          <w:rFonts w:ascii="Times New Roman" w:hAnsi="Times New Roman"/>
          <w:color w:val="auto"/>
          <w:sz w:val="22"/>
        </w:rPr>
        <w:t>及团队成员严格按照项目计划执行，确保项目按时、按质、按量完成。同时，公司各相关部门应给予全力支持和配合，共同推动项目的顺利实施。</w:t>
      </w:r>
    </w:p>
    <w:p w14:paraId="47D6DC5E">
      <w:pPr>
        <w:spacing w:line="360" w:lineRule="auto"/>
        <w:rPr>
          <w:rStyle w:val="13"/>
          <w:rFonts w:ascii="Times New Roman" w:hAnsi="Times New Roman"/>
          <w:color w:val="auto"/>
          <w:sz w:val="22"/>
          <w:szCs w:val="28"/>
        </w:rPr>
      </w:pPr>
      <w:r>
        <w:rPr>
          <w:rStyle w:val="13"/>
          <w:rFonts w:hint="eastAsia" w:ascii="Times New Roman" w:hAnsi="Times New Roman"/>
          <w:color w:val="auto"/>
          <w:sz w:val="22"/>
          <w:szCs w:val="28"/>
        </w:rPr>
        <w:t>一、项目信息</w:t>
      </w:r>
    </w:p>
    <w:p w14:paraId="7562A951">
      <w:pPr>
        <w:spacing w:line="360" w:lineRule="auto"/>
        <w:rPr>
          <w:rFonts w:hint="default" w:ascii="Times New Roman" w:hAnsi="Times New Roman" w:eastAsia="宋体"/>
          <w:color w:val="auto"/>
          <w:sz w:val="22"/>
          <w:szCs w:val="28"/>
          <w:lang w:val="en-US" w:eastAsia="zh-CN"/>
        </w:rPr>
      </w:pPr>
      <w:r>
        <w:rPr>
          <w:rFonts w:hint="eastAsia" w:ascii="Times New Roman" w:hAnsi="Times New Roman"/>
          <w:color w:val="auto"/>
          <w:sz w:val="22"/>
          <w:szCs w:val="28"/>
        </w:rPr>
        <w:t>立项编号：</w:t>
      </w:r>
      <w:r>
        <w:rPr>
          <w:rFonts w:hint="eastAsia" w:ascii="Times New Roman" w:hAnsi="Times New Roman"/>
          <w:color w:val="auto"/>
          <w:sz w:val="22"/>
          <w:szCs w:val="28"/>
          <w:lang w:val="en-US" w:eastAsia="zh-CN"/>
        </w:rPr>
        <w:t>RD05</w:t>
      </w:r>
    </w:p>
    <w:p w14:paraId="66645DEE">
      <w:pPr>
        <w:spacing w:line="360" w:lineRule="auto"/>
        <w:rPr>
          <w:rFonts w:ascii="Times New Roman" w:hAnsi="Times New Roman"/>
          <w:color w:val="auto"/>
          <w:sz w:val="22"/>
          <w:szCs w:val="28"/>
        </w:rPr>
      </w:pPr>
      <w:r>
        <w:rPr>
          <w:rFonts w:hint="eastAsia" w:ascii="Times New Roman" w:hAnsi="Times New Roman"/>
          <w:color w:val="auto"/>
          <w:sz w:val="22"/>
          <w:szCs w:val="28"/>
        </w:rPr>
        <w:t>发文日期：</w:t>
      </w:r>
      <w:r>
        <w:rPr>
          <w:rFonts w:hint="eastAsia" w:ascii="Times New Roman" w:hAnsi="Times New Roman"/>
          <w:color w:val="auto"/>
          <w:sz w:val="22"/>
          <w:szCs w:val="28"/>
          <w:lang w:eastAsia="zh-CN"/>
        </w:rPr>
        <w:t>2023年</w:t>
      </w:r>
      <w:r>
        <w:rPr>
          <w:rFonts w:hint="eastAsia" w:ascii="Times New Roman" w:hAnsi="Times New Roman"/>
          <w:color w:val="auto"/>
          <w:sz w:val="22"/>
          <w:szCs w:val="28"/>
        </w:rPr>
        <w:t>1月5日</w:t>
      </w:r>
    </w:p>
    <w:p w14:paraId="2D67490D">
      <w:pPr>
        <w:spacing w:line="360" w:lineRule="auto"/>
        <w:rPr>
          <w:rFonts w:ascii="Times New Roman" w:hAnsi="Times New Roman"/>
          <w:color w:val="auto"/>
          <w:sz w:val="22"/>
          <w:szCs w:val="28"/>
        </w:rPr>
      </w:pPr>
      <w:r>
        <w:rPr>
          <w:rFonts w:hint="eastAsia" w:ascii="Times New Roman" w:hAnsi="Times New Roman"/>
          <w:color w:val="auto"/>
          <w:sz w:val="22"/>
          <w:szCs w:val="28"/>
        </w:rPr>
        <w:t>项目名称：</w:t>
      </w:r>
      <w:r>
        <w:rPr>
          <w:rFonts w:ascii="Times New Roman" w:hAnsi="Times New Roman"/>
          <w:color w:val="auto"/>
          <w:sz w:val="22"/>
        </w:rPr>
        <w:t>基于全自动精细研磨系统的化学合成涂料的研发</w:t>
      </w:r>
    </w:p>
    <w:p w14:paraId="1688930C">
      <w:pPr>
        <w:spacing w:line="360" w:lineRule="auto"/>
        <w:rPr>
          <w:rFonts w:hint="eastAsia" w:ascii="Times New Roman" w:hAnsi="Times New Roman"/>
          <w:color w:val="auto"/>
          <w:sz w:val="22"/>
          <w:lang w:val="en-US" w:eastAsia="zh-CN"/>
        </w:rPr>
      </w:pPr>
      <w:r>
        <w:rPr>
          <w:rFonts w:hint="eastAsia" w:ascii="Times New Roman" w:hAnsi="Times New Roman"/>
          <w:color w:val="auto"/>
          <w:sz w:val="22"/>
        </w:rPr>
        <w:t>项目团队：</w:t>
      </w:r>
      <w:r>
        <w:rPr>
          <w:rFonts w:hint="eastAsia" w:ascii="Times New Roman" w:hAnsi="Times New Roman"/>
          <w:color w:val="auto"/>
          <w:sz w:val="22"/>
          <w:lang w:eastAsia="zh-CN"/>
        </w:rPr>
        <w:t>倪进、</w:t>
      </w:r>
      <w:r>
        <w:rPr>
          <w:rFonts w:hint="eastAsia" w:ascii="Times New Roman" w:hAnsi="Times New Roman"/>
          <w:color w:val="auto"/>
          <w:sz w:val="22"/>
          <w:lang w:val="en-US" w:eastAsia="zh-CN"/>
        </w:rPr>
        <w:t>严天元、夏冬飞、杜雪良、陈良、丁小花、聂泽慧、龚久林、何琳琳、芦银行、胡代红、姜华、刘庆磊、孟庭苇、路小珠、孙海梅、王丽霞、王平、倪先根、裴建斌、王志远、吴红艳、薛进刚、杨怀亮、张国强、张贤宝、杨通友、邸允浩、丁传彬</w:t>
      </w:r>
    </w:p>
    <w:p w14:paraId="66C61E55">
      <w:pPr>
        <w:spacing w:line="360" w:lineRule="auto"/>
        <w:rPr>
          <w:rFonts w:ascii="Times New Roman" w:hAnsi="Times New Roman"/>
          <w:color w:val="auto"/>
          <w:sz w:val="22"/>
          <w:szCs w:val="28"/>
        </w:rPr>
      </w:pPr>
      <w:r>
        <w:rPr>
          <w:rFonts w:hint="eastAsia" w:ascii="Times New Roman" w:hAnsi="Times New Roman"/>
          <w:color w:val="auto"/>
          <w:sz w:val="22"/>
          <w:szCs w:val="28"/>
        </w:rPr>
        <w:t>项目周期：</w:t>
      </w:r>
      <w:r>
        <w:rPr>
          <w:rFonts w:hint="eastAsia" w:ascii="Times New Roman" w:hAnsi="Times New Roman"/>
          <w:color w:val="auto"/>
          <w:sz w:val="22"/>
          <w:szCs w:val="28"/>
          <w:lang w:eastAsia="zh-CN"/>
        </w:rPr>
        <w:t>2023年</w:t>
      </w:r>
      <w:r>
        <w:rPr>
          <w:rFonts w:hint="eastAsia" w:ascii="Times New Roman" w:hAnsi="Times New Roman"/>
          <w:color w:val="auto"/>
          <w:sz w:val="22"/>
          <w:szCs w:val="28"/>
        </w:rPr>
        <w:t>01月04日至</w:t>
      </w:r>
      <w:r>
        <w:rPr>
          <w:rFonts w:hint="eastAsia" w:ascii="Times New Roman" w:hAnsi="Times New Roman"/>
          <w:color w:val="auto"/>
          <w:sz w:val="22"/>
          <w:szCs w:val="28"/>
          <w:lang w:eastAsia="zh-CN"/>
        </w:rPr>
        <w:t>2023年</w:t>
      </w:r>
      <w:r>
        <w:rPr>
          <w:rFonts w:hint="eastAsia" w:ascii="Times New Roman" w:hAnsi="Times New Roman"/>
          <w:color w:val="auto"/>
          <w:sz w:val="22"/>
          <w:szCs w:val="28"/>
        </w:rPr>
        <w:t>12月31日</w:t>
      </w:r>
    </w:p>
    <w:p w14:paraId="52E21CB5">
      <w:pPr>
        <w:spacing w:line="360" w:lineRule="auto"/>
        <w:rPr>
          <w:rFonts w:ascii="Times New Roman" w:hAnsi="Times New Roman"/>
          <w:color w:val="auto"/>
          <w:sz w:val="22"/>
          <w:szCs w:val="28"/>
        </w:rPr>
      </w:pPr>
      <w:r>
        <w:rPr>
          <w:rFonts w:hint="eastAsia" w:ascii="Times New Roman" w:hAnsi="Times New Roman"/>
          <w:color w:val="auto"/>
          <w:sz w:val="22"/>
          <w:szCs w:val="28"/>
        </w:rPr>
        <w:t>项目预算：根据初步估算，项目总预算为</w:t>
      </w:r>
      <w:r>
        <w:rPr>
          <w:rFonts w:hint="eastAsia" w:ascii="Times New Roman" w:hAnsi="Times New Roman"/>
          <w:color w:val="auto"/>
          <w:sz w:val="22"/>
          <w:szCs w:val="28"/>
          <w:lang w:val="en-US" w:eastAsia="zh-CN"/>
        </w:rPr>
        <w:t>620</w:t>
      </w:r>
      <w:r>
        <w:rPr>
          <w:rFonts w:hint="eastAsia" w:ascii="Times New Roman" w:hAnsi="Times New Roman"/>
          <w:color w:val="auto"/>
          <w:sz w:val="22"/>
          <w:szCs w:val="28"/>
        </w:rPr>
        <w:t>万元（具体金额待细化后公布）</w:t>
      </w:r>
    </w:p>
    <w:p w14:paraId="09DC933D">
      <w:pPr>
        <w:spacing w:line="360" w:lineRule="auto"/>
        <w:rPr>
          <w:rStyle w:val="13"/>
          <w:rFonts w:ascii="Times New Roman" w:hAnsi="Times New Roman"/>
          <w:color w:val="auto"/>
          <w:sz w:val="22"/>
          <w:szCs w:val="28"/>
        </w:rPr>
      </w:pPr>
      <w:r>
        <w:rPr>
          <w:rStyle w:val="13"/>
          <w:rFonts w:hint="eastAsia" w:ascii="Times New Roman" w:hAnsi="Times New Roman"/>
          <w:color w:val="auto"/>
          <w:sz w:val="22"/>
          <w:szCs w:val="28"/>
        </w:rPr>
        <w:t>二、工作要求</w:t>
      </w:r>
    </w:p>
    <w:p w14:paraId="4F203D32">
      <w:pPr>
        <w:spacing w:line="360" w:lineRule="auto"/>
        <w:ind w:firstLine="440" w:firstLineChars="200"/>
        <w:rPr>
          <w:rFonts w:ascii="Times New Roman" w:hAnsi="Times New Roman"/>
          <w:color w:val="auto"/>
          <w:sz w:val="22"/>
          <w:szCs w:val="28"/>
        </w:rPr>
      </w:pPr>
      <w:r>
        <w:rPr>
          <w:rFonts w:ascii="Times New Roman" w:hAnsi="Times New Roman"/>
          <w:color w:val="auto"/>
          <w:sz w:val="22"/>
        </w:rPr>
        <w:t>项目团队成员需严格按照项目进度安排开展工作，确保各阶段任务按时完成。</w:t>
      </w:r>
    </w:p>
    <w:p w14:paraId="5BB6EA1E">
      <w:pPr>
        <w:spacing w:line="360" w:lineRule="auto"/>
        <w:ind w:firstLine="440" w:firstLineChars="200"/>
        <w:rPr>
          <w:rFonts w:ascii="Times New Roman" w:hAnsi="Times New Roman"/>
          <w:color w:val="auto"/>
          <w:sz w:val="22"/>
          <w:szCs w:val="28"/>
        </w:rPr>
      </w:pPr>
      <w:r>
        <w:rPr>
          <w:rFonts w:ascii="Times New Roman" w:hAnsi="Times New Roman"/>
          <w:color w:val="auto"/>
          <w:sz w:val="22"/>
        </w:rPr>
        <w:t>项目负责人需定期向相关部门及领导汇报项目进展情况，及时协调解决项目中的问题。</w:t>
      </w:r>
    </w:p>
    <w:p w14:paraId="54C0DACB">
      <w:pPr>
        <w:spacing w:line="360" w:lineRule="auto"/>
        <w:ind w:firstLine="440" w:firstLineChars="200"/>
        <w:rPr>
          <w:rFonts w:ascii="Times New Roman" w:hAnsi="Times New Roman"/>
          <w:color w:val="auto"/>
          <w:sz w:val="22"/>
          <w:szCs w:val="28"/>
        </w:rPr>
      </w:pPr>
      <w:r>
        <w:rPr>
          <w:rFonts w:ascii="Times New Roman" w:hAnsi="Times New Roman"/>
          <w:color w:val="auto"/>
          <w:sz w:val="22"/>
        </w:rPr>
        <w:t>相关部门需积极配合项目团队的工作，提供必要的支持和协助。</w:t>
      </w:r>
    </w:p>
    <w:p w14:paraId="6B87F01E">
      <w:pPr>
        <w:spacing w:line="360" w:lineRule="auto"/>
        <w:ind w:firstLine="440" w:firstLineChars="200"/>
        <w:rPr>
          <w:rFonts w:ascii="Times New Roman" w:hAnsi="Times New Roman"/>
          <w:color w:val="auto"/>
          <w:sz w:val="22"/>
          <w:szCs w:val="28"/>
        </w:rPr>
      </w:pPr>
      <w:r>
        <w:rPr>
          <w:rFonts w:hint="eastAsia" w:ascii="Times New Roman" w:hAnsi="Times New Roman"/>
          <w:color w:val="auto"/>
          <w:sz w:val="22"/>
          <w:szCs w:val="28"/>
        </w:rPr>
        <w:t>请项目团队成员及相关部门认真阅读以上内容，并按照要求开展工作。让我们共同努力，确保项目的顺利实施和圆满成功！</w:t>
      </w:r>
    </w:p>
    <w:p w14:paraId="0CEFFBE9">
      <w:pPr>
        <w:spacing w:line="360" w:lineRule="auto"/>
        <w:rPr>
          <w:rFonts w:ascii="Times New Roman" w:hAnsi="Times New Roman"/>
          <w:color w:val="auto"/>
          <w:sz w:val="22"/>
          <w:szCs w:val="28"/>
        </w:rPr>
      </w:pPr>
    </w:p>
    <w:p w14:paraId="3C94C82F">
      <w:pPr>
        <w:spacing w:line="360" w:lineRule="auto"/>
        <w:jc w:val="right"/>
        <w:rPr>
          <w:rFonts w:hint="eastAsia" w:ascii="Times New Roman" w:hAnsi="Times New Roman" w:eastAsia="宋体"/>
          <w:color w:val="auto"/>
          <w:sz w:val="22"/>
          <w:szCs w:val="28"/>
          <w:lang w:eastAsia="zh-CN"/>
        </w:rPr>
      </w:pPr>
      <w:r>
        <w:rPr>
          <w:rFonts w:hint="eastAsia" w:ascii="Times New Roman" w:hAnsi="Times New Roman" w:cs="宋体"/>
          <w:color w:val="auto"/>
          <w:sz w:val="24"/>
          <w:lang w:eastAsia="zh-CN"/>
        </w:rPr>
        <w:t>上海舜斯新材料科技有限公司</w:t>
      </w:r>
    </w:p>
    <w:p w14:paraId="1BC598FA">
      <w:pPr>
        <w:spacing w:line="360" w:lineRule="auto"/>
        <w:jc w:val="right"/>
        <w:rPr>
          <w:rFonts w:hint="eastAsia" w:ascii="Times New Roman" w:hAnsi="Times New Roman"/>
          <w:color w:val="auto"/>
          <w:sz w:val="22"/>
          <w:szCs w:val="28"/>
        </w:rPr>
      </w:pPr>
      <w:r>
        <w:rPr>
          <w:rFonts w:hint="eastAsia" w:ascii="Times New Roman" w:hAnsi="Times New Roman"/>
          <w:color w:val="auto"/>
          <w:sz w:val="22"/>
          <w:szCs w:val="28"/>
          <w:lang w:eastAsia="zh-CN"/>
        </w:rPr>
        <w:t>2023年</w:t>
      </w:r>
      <w:r>
        <w:rPr>
          <w:rFonts w:hint="eastAsia" w:ascii="Times New Roman" w:hAnsi="Times New Roman"/>
          <w:color w:val="auto"/>
          <w:sz w:val="22"/>
          <w:szCs w:val="28"/>
        </w:rPr>
        <w:t>1月5日</w:t>
      </w:r>
    </w:p>
    <w:p w14:paraId="437B6BA5">
      <w:pPr>
        <w:pStyle w:val="3"/>
        <w:spacing w:line="360" w:lineRule="auto"/>
        <w:jc w:val="center"/>
        <w:rPr>
          <w:rFonts w:ascii="Times New Roman" w:hAnsi="Times New Roman"/>
          <w:color w:val="auto"/>
          <w:sz w:val="36"/>
          <w:szCs w:val="28"/>
        </w:rPr>
      </w:pPr>
      <w:r>
        <w:rPr>
          <w:rFonts w:hint="eastAsia" w:ascii="Times New Roman" w:hAnsi="Times New Roman"/>
          <w:color w:val="auto"/>
          <w:sz w:val="22"/>
          <w:szCs w:val="28"/>
        </w:rPr>
        <w:br w:type="page"/>
      </w:r>
      <w:r>
        <w:rPr>
          <w:rFonts w:hint="eastAsia" w:ascii="Times New Roman" w:hAnsi="Times New Roman"/>
          <w:color w:val="auto"/>
          <w:sz w:val="36"/>
          <w:szCs w:val="28"/>
        </w:rPr>
        <w:t>项目验收报告</w:t>
      </w:r>
    </w:p>
    <w:p w14:paraId="6E0620C6">
      <w:pPr>
        <w:spacing w:line="360" w:lineRule="auto"/>
        <w:rPr>
          <w:rStyle w:val="13"/>
          <w:rFonts w:ascii="Times New Roman" w:hAnsi="Times New Roman"/>
          <w:color w:val="auto"/>
          <w:sz w:val="22"/>
          <w:szCs w:val="28"/>
        </w:rPr>
      </w:pPr>
      <w:r>
        <w:rPr>
          <w:rStyle w:val="13"/>
          <w:rFonts w:hint="eastAsia" w:ascii="Times New Roman" w:hAnsi="Times New Roman"/>
          <w:color w:val="auto"/>
          <w:sz w:val="22"/>
          <w:szCs w:val="28"/>
        </w:rPr>
        <w:t>一、项目概况</w:t>
      </w:r>
    </w:p>
    <w:p w14:paraId="24A07740">
      <w:pPr>
        <w:spacing w:line="360" w:lineRule="auto"/>
        <w:ind w:firstLine="440" w:firstLineChars="200"/>
        <w:rPr>
          <w:rFonts w:ascii="Times New Roman" w:hAnsi="Times New Roman"/>
          <w:color w:val="auto"/>
          <w:sz w:val="22"/>
          <w:szCs w:val="28"/>
        </w:rPr>
      </w:pPr>
      <w:r>
        <w:rPr>
          <w:rFonts w:ascii="Times New Roman" w:hAnsi="Times New Roman"/>
          <w:color w:val="auto"/>
          <w:sz w:val="22"/>
        </w:rPr>
        <w:t>“基于全自动精细研磨系统的化学合成涂料的研发”项目聚焦于化学合成涂料的高效、稳定生产需求，结合全自动精细研磨系统的技术优势，开展涂料配方优化与自动化生产工艺的研发。项目围绕涂料的分散均匀性、粒径控制稳定性及生产安全性等关键问题，构建了自动化控制与工艺优化相结合的技术体系。在项目实施过程中，形成了“分散机自动化运行控制系统2024SR1349350”、“乳液分散机智能研磨控制系统2023SR1520801”等软件著作权成果，以及“一种具有防护功能的全自动分散机ZL202222906160.5”实用新型专利。</w:t>
      </w:r>
    </w:p>
    <w:p w14:paraId="42644B37">
      <w:pPr>
        <w:spacing w:line="360" w:lineRule="auto"/>
        <w:rPr>
          <w:rStyle w:val="13"/>
          <w:rFonts w:ascii="Times New Roman" w:hAnsi="Times New Roman"/>
          <w:color w:val="auto"/>
          <w:sz w:val="22"/>
          <w:szCs w:val="28"/>
        </w:rPr>
      </w:pPr>
      <w:r>
        <w:rPr>
          <w:rStyle w:val="13"/>
          <w:rFonts w:hint="eastAsia" w:ascii="Times New Roman" w:hAnsi="Times New Roman"/>
          <w:color w:val="auto"/>
          <w:sz w:val="22"/>
          <w:szCs w:val="28"/>
        </w:rPr>
        <w:t>二、项目目标与完成情况</w:t>
      </w:r>
    </w:p>
    <w:p w14:paraId="46E6A7E3">
      <w:pPr>
        <w:spacing w:line="360" w:lineRule="auto"/>
        <w:ind w:firstLine="440" w:firstLineChars="200"/>
        <w:rPr>
          <w:rFonts w:ascii="Times New Roman" w:hAnsi="Times New Roman"/>
          <w:color w:val="auto"/>
          <w:sz w:val="22"/>
          <w:szCs w:val="28"/>
        </w:rPr>
      </w:pPr>
      <w:r>
        <w:rPr>
          <w:rFonts w:ascii="Times New Roman" w:hAnsi="Times New Roman"/>
          <w:color w:val="auto"/>
          <w:sz w:val="22"/>
        </w:rPr>
        <w:t>本项目以提升涂料产品的分散效率和稳定性为目标，重点开发适用于全自动精细研磨系统的化学合成涂料配方及其配套的自动化控制程序。项目完成了涂料配方的筛选与优化，建立了适用于不同应用场景的研磨参数控制模型，提升了涂料产品的一致性与批次稳定性。同时，通过引入自动化控制系统，提升了生产过程的安全性与可控性。项目整体按照计划完成预期目标，相关技术成果已具备在生产中应用的基础条件。</w:t>
      </w:r>
    </w:p>
    <w:p w14:paraId="4025A6EF">
      <w:pPr>
        <w:spacing w:line="360" w:lineRule="auto"/>
        <w:rPr>
          <w:rStyle w:val="13"/>
          <w:rFonts w:ascii="Times New Roman" w:hAnsi="Times New Roman"/>
          <w:color w:val="auto"/>
          <w:sz w:val="22"/>
          <w:szCs w:val="28"/>
        </w:rPr>
      </w:pPr>
      <w:r>
        <w:rPr>
          <w:rStyle w:val="13"/>
          <w:rFonts w:hint="eastAsia" w:ascii="Times New Roman" w:hAnsi="Times New Roman"/>
          <w:color w:val="auto"/>
          <w:sz w:val="22"/>
          <w:szCs w:val="28"/>
        </w:rPr>
        <w:t>三、项目核心技术点与创新点</w:t>
      </w:r>
    </w:p>
    <w:p w14:paraId="040864F2">
      <w:pPr>
        <w:spacing w:line="360" w:lineRule="auto"/>
        <w:ind w:firstLine="442" w:firstLineChars="200"/>
        <w:rPr>
          <w:rFonts w:ascii="Times New Roman" w:hAnsi="Times New Roman"/>
          <w:b/>
          <w:bCs/>
          <w:color w:val="auto"/>
          <w:sz w:val="22"/>
          <w:szCs w:val="28"/>
        </w:rPr>
      </w:pPr>
      <w:r>
        <w:rPr>
          <w:rFonts w:ascii="Times New Roman" w:hAnsi="Times New Roman"/>
          <w:b/>
          <w:bCs/>
          <w:color w:val="auto"/>
          <w:sz w:val="22"/>
          <w:szCs w:val="28"/>
        </w:rPr>
        <w:t>1. 核心技术点</w:t>
      </w:r>
    </w:p>
    <w:p w14:paraId="112214C2">
      <w:pPr>
        <w:pStyle w:val="9"/>
        <w:widowControl/>
        <w:numPr>
          <w:ilvl w:val="0"/>
          <w:numId w:val="4"/>
        </w:numPr>
        <w:spacing w:before="0" w:beforeAutospacing="0" w:after="0" w:afterAutospacing="0" w:line="360" w:lineRule="auto"/>
        <w:ind w:left="0" w:firstLine="440" w:firstLineChars="200"/>
        <w:rPr>
          <w:rFonts w:ascii="Times New Roman" w:hAnsi="Times New Roman"/>
          <w:color w:val="auto"/>
          <w:kern w:val="2"/>
          <w:sz w:val="22"/>
          <w:szCs w:val="28"/>
        </w:rPr>
      </w:pPr>
      <w:r>
        <w:rPr>
          <w:rFonts w:ascii="Times New Roman" w:hAnsi="Times New Roman"/>
          <w:color w:val="auto"/>
          <w:sz w:val="22"/>
        </w:rPr>
        <w:t>分散效率优化技术：通过配方设计与研磨参数调整，优化涂料中颜料与树脂的分散效果，提升涂料的均匀性与稳定性。</w:t>
      </w:r>
    </w:p>
    <w:p w14:paraId="416B09EE">
      <w:pPr>
        <w:pStyle w:val="9"/>
        <w:widowControl/>
        <w:numPr>
          <w:ilvl w:val="0"/>
          <w:numId w:val="4"/>
        </w:numPr>
        <w:spacing w:before="0" w:beforeAutospacing="0" w:after="0" w:afterAutospacing="0" w:line="360" w:lineRule="auto"/>
        <w:ind w:left="0" w:firstLine="440" w:firstLineChars="200"/>
        <w:rPr>
          <w:rFonts w:ascii="Times New Roman" w:hAnsi="Times New Roman"/>
          <w:color w:val="auto"/>
          <w:kern w:val="2"/>
          <w:sz w:val="22"/>
          <w:szCs w:val="28"/>
        </w:rPr>
      </w:pPr>
      <w:r>
        <w:rPr>
          <w:rFonts w:ascii="Times New Roman" w:hAnsi="Times New Roman"/>
          <w:color w:val="auto"/>
          <w:sz w:val="22"/>
        </w:rPr>
        <w:t>自动化控制技术：基于分散机自动化运行控制系统，实现研磨过程的参数设定、运行监控与异常报警，提升生产效率与操作安全性。</w:t>
      </w:r>
    </w:p>
    <w:p w14:paraId="2D2411D2">
      <w:pPr>
        <w:pStyle w:val="9"/>
        <w:widowControl/>
        <w:numPr>
          <w:ilvl w:val="0"/>
          <w:numId w:val="4"/>
        </w:numPr>
        <w:spacing w:before="0" w:beforeAutospacing="0" w:after="0" w:afterAutospacing="0" w:line="360" w:lineRule="auto"/>
        <w:ind w:left="0" w:firstLine="440" w:firstLineChars="200"/>
        <w:rPr>
          <w:rFonts w:ascii="Times New Roman" w:hAnsi="Times New Roman"/>
          <w:color w:val="auto"/>
          <w:kern w:val="2"/>
          <w:sz w:val="22"/>
          <w:szCs w:val="28"/>
        </w:rPr>
      </w:pPr>
      <w:r>
        <w:rPr>
          <w:rFonts w:ascii="Times New Roman" w:hAnsi="Times New Roman"/>
          <w:color w:val="auto"/>
          <w:sz w:val="22"/>
        </w:rPr>
        <w:t>精细研磨过程控制：采用乳液分散机智能研磨控制系统，对研磨时间、转速、温度等关键参数进行动态调节，确保粒径分布的稳定性。</w:t>
      </w:r>
    </w:p>
    <w:p w14:paraId="6BF68B4C">
      <w:pPr>
        <w:pStyle w:val="9"/>
        <w:widowControl/>
        <w:numPr>
          <w:ilvl w:val="0"/>
          <w:numId w:val="4"/>
        </w:numPr>
        <w:spacing w:before="0" w:beforeAutospacing="0" w:after="0" w:afterAutospacing="0" w:line="360" w:lineRule="auto"/>
        <w:ind w:left="0" w:firstLine="440" w:firstLineChars="200"/>
        <w:rPr>
          <w:rFonts w:ascii="Times New Roman" w:hAnsi="Times New Roman"/>
          <w:color w:val="auto"/>
          <w:kern w:val="2"/>
          <w:sz w:val="22"/>
          <w:szCs w:val="28"/>
        </w:rPr>
      </w:pPr>
      <w:r>
        <w:rPr>
          <w:rFonts w:ascii="Times New Roman" w:hAnsi="Times New Roman"/>
          <w:color w:val="auto"/>
          <w:sz w:val="22"/>
        </w:rPr>
        <w:t>防护与定位结构设计：针对全自动分散机，设计了分散盘自动防护结构与料桶定位装置，有效防止设备非工作状态下的损伤，并提升生产过程的稳定性。</w:t>
      </w:r>
    </w:p>
    <w:p w14:paraId="5D2D3092">
      <w:pPr>
        <w:spacing w:line="360" w:lineRule="auto"/>
        <w:ind w:firstLine="442" w:firstLineChars="200"/>
        <w:rPr>
          <w:rFonts w:ascii="Times New Roman" w:hAnsi="Times New Roman"/>
          <w:b/>
          <w:bCs/>
          <w:color w:val="auto"/>
          <w:sz w:val="22"/>
          <w:szCs w:val="28"/>
        </w:rPr>
      </w:pPr>
    </w:p>
    <w:p w14:paraId="248AC906">
      <w:pPr>
        <w:spacing w:line="360" w:lineRule="auto"/>
        <w:ind w:firstLine="442" w:firstLineChars="200"/>
        <w:rPr>
          <w:rFonts w:ascii="Times New Roman" w:hAnsi="Times New Roman"/>
          <w:b/>
          <w:bCs/>
          <w:color w:val="auto"/>
          <w:sz w:val="22"/>
          <w:szCs w:val="28"/>
        </w:rPr>
      </w:pPr>
    </w:p>
    <w:p w14:paraId="07AEB00C">
      <w:pPr>
        <w:spacing w:line="360" w:lineRule="auto"/>
        <w:ind w:firstLine="442" w:firstLineChars="200"/>
        <w:rPr>
          <w:rFonts w:ascii="Times New Roman" w:hAnsi="Times New Roman"/>
          <w:b/>
          <w:bCs/>
          <w:color w:val="auto"/>
          <w:sz w:val="22"/>
          <w:szCs w:val="28"/>
        </w:rPr>
      </w:pPr>
      <w:r>
        <w:rPr>
          <w:rFonts w:ascii="Times New Roman" w:hAnsi="Times New Roman"/>
          <w:b/>
          <w:bCs/>
          <w:color w:val="auto"/>
          <w:sz w:val="22"/>
          <w:szCs w:val="28"/>
        </w:rPr>
        <w:t>2. 创新点</w:t>
      </w:r>
    </w:p>
    <w:p w14:paraId="3DC11E48">
      <w:pPr>
        <w:pStyle w:val="9"/>
        <w:widowControl/>
        <w:numPr>
          <w:ilvl w:val="0"/>
          <w:numId w:val="5"/>
        </w:numPr>
        <w:spacing w:before="0" w:beforeAutospacing="0" w:after="0" w:afterAutospacing="0" w:line="360" w:lineRule="auto"/>
        <w:ind w:left="0" w:firstLine="440" w:firstLineChars="200"/>
        <w:rPr>
          <w:rFonts w:ascii="Times New Roman" w:hAnsi="Times New Roman"/>
          <w:color w:val="auto"/>
          <w:kern w:val="2"/>
          <w:sz w:val="22"/>
          <w:szCs w:val="28"/>
        </w:rPr>
      </w:pPr>
      <w:r>
        <w:rPr>
          <w:rFonts w:ascii="Times New Roman" w:hAnsi="Times New Roman"/>
          <w:color w:val="auto"/>
          <w:sz w:val="22"/>
        </w:rPr>
        <w:t>智能控制与工艺融合：将自动化控制系统与涂料分散工艺相结合，实现对研磨过程的精细化控制，提高产品的一致性。</w:t>
      </w:r>
    </w:p>
    <w:p w14:paraId="7AEA3FD3">
      <w:pPr>
        <w:pStyle w:val="9"/>
        <w:widowControl/>
        <w:numPr>
          <w:ilvl w:val="0"/>
          <w:numId w:val="5"/>
        </w:numPr>
        <w:spacing w:before="0" w:beforeAutospacing="0" w:after="0" w:afterAutospacing="0" w:line="360" w:lineRule="auto"/>
        <w:ind w:left="0" w:firstLine="440" w:firstLineChars="200"/>
        <w:rPr>
          <w:rFonts w:ascii="Times New Roman" w:hAnsi="Times New Roman"/>
          <w:color w:val="auto"/>
          <w:kern w:val="2"/>
          <w:sz w:val="22"/>
          <w:szCs w:val="28"/>
        </w:rPr>
      </w:pPr>
      <w:r>
        <w:rPr>
          <w:rFonts w:ascii="Times New Roman" w:hAnsi="Times New Roman"/>
          <w:color w:val="auto"/>
          <w:sz w:val="22"/>
        </w:rPr>
        <w:t>分散盘自动防护机制：通过弹簧联动结构实现分散盘在非工作状态下的自动覆盖保护，减少设备维护频率。</w:t>
      </w:r>
    </w:p>
    <w:p w14:paraId="1A3A77B2">
      <w:pPr>
        <w:pStyle w:val="9"/>
        <w:widowControl/>
        <w:numPr>
          <w:ilvl w:val="0"/>
          <w:numId w:val="5"/>
        </w:numPr>
        <w:spacing w:before="0" w:beforeAutospacing="0" w:after="0" w:afterAutospacing="0" w:line="360" w:lineRule="auto"/>
        <w:ind w:left="0" w:firstLine="440" w:firstLineChars="200"/>
        <w:rPr>
          <w:rFonts w:ascii="Times New Roman" w:hAnsi="Times New Roman"/>
          <w:color w:val="auto"/>
          <w:kern w:val="2"/>
          <w:sz w:val="22"/>
          <w:szCs w:val="28"/>
        </w:rPr>
      </w:pPr>
      <w:r>
        <w:rPr>
          <w:rFonts w:ascii="Times New Roman" w:hAnsi="Times New Roman"/>
          <w:color w:val="auto"/>
          <w:sz w:val="22"/>
        </w:rPr>
        <w:t>料桶自动定位装置：通过气缸驱动夹板结构，实现料桶的快速定位与固定，提升操作效率与设备运行稳定性。</w:t>
      </w:r>
    </w:p>
    <w:p w14:paraId="0AB67443">
      <w:pPr>
        <w:numPr>
          <w:ilvl w:val="0"/>
          <w:numId w:val="6"/>
        </w:numPr>
        <w:spacing w:line="360" w:lineRule="auto"/>
        <w:rPr>
          <w:rStyle w:val="13"/>
          <w:rFonts w:ascii="Times New Roman" w:hAnsi="Times New Roman"/>
          <w:color w:val="auto"/>
          <w:sz w:val="22"/>
          <w:szCs w:val="28"/>
        </w:rPr>
      </w:pPr>
      <w:r>
        <w:rPr>
          <w:rStyle w:val="13"/>
          <w:rFonts w:hint="eastAsia" w:ascii="Times New Roman" w:hAnsi="Times New Roman"/>
          <w:color w:val="auto"/>
          <w:sz w:val="22"/>
          <w:szCs w:val="28"/>
        </w:rPr>
        <w:t>项目经费统计</w:t>
      </w:r>
    </w:p>
    <w:tbl>
      <w:tblPr>
        <w:tblStyle w:val="10"/>
        <w:tblpPr w:leftFromText="180" w:rightFromText="180" w:vertAnchor="text" w:horzAnchor="page" w:tblpX="1800" w:tblpY="469"/>
        <w:tblOverlap w:val="never"/>
        <w:tblW w:w="849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3"/>
        <w:gridCol w:w="2833"/>
        <w:gridCol w:w="2833"/>
      </w:tblGrid>
      <w:tr w14:paraId="35194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3" w:hRule="atLeast"/>
        </w:trPr>
        <w:tc>
          <w:tcPr>
            <w:tcW w:w="2833" w:type="dxa"/>
            <w:vMerge w:val="restart"/>
            <w:shd w:val="clear" w:color="auto" w:fill="auto"/>
            <w:vAlign w:val="center"/>
          </w:tcPr>
          <w:p w14:paraId="7463EFDC">
            <w:pPr>
              <w:spacing w:line="360" w:lineRule="auto"/>
              <w:jc w:val="center"/>
              <w:rPr>
                <w:rFonts w:ascii="Times New Roman" w:hAnsi="Times New Roman"/>
                <w:color w:val="auto"/>
                <w:sz w:val="22"/>
                <w:szCs w:val="28"/>
              </w:rPr>
            </w:pPr>
            <w:r>
              <w:rPr>
                <w:rFonts w:hint="eastAsia" w:ascii="Times New Roman" w:hAnsi="Times New Roman"/>
                <w:color w:val="auto"/>
                <w:sz w:val="22"/>
                <w:szCs w:val="28"/>
              </w:rPr>
              <w:t>经费统计</w:t>
            </w:r>
          </w:p>
        </w:tc>
        <w:tc>
          <w:tcPr>
            <w:tcW w:w="2833" w:type="dxa"/>
            <w:shd w:val="clear" w:color="auto" w:fill="auto"/>
            <w:vAlign w:val="center"/>
          </w:tcPr>
          <w:p w14:paraId="192B0167">
            <w:pPr>
              <w:spacing w:line="360" w:lineRule="auto"/>
              <w:rPr>
                <w:rFonts w:ascii="Times New Roman" w:hAnsi="Times New Roman"/>
                <w:color w:val="auto"/>
                <w:sz w:val="22"/>
                <w:szCs w:val="28"/>
              </w:rPr>
            </w:pPr>
            <w:r>
              <w:rPr>
                <w:rFonts w:hint="eastAsia" w:ascii="Times New Roman" w:hAnsi="Times New Roman"/>
                <w:color w:val="auto"/>
                <w:sz w:val="22"/>
                <w:szCs w:val="28"/>
              </w:rPr>
              <w:t>人员人工费用</w:t>
            </w:r>
          </w:p>
        </w:tc>
        <w:tc>
          <w:tcPr>
            <w:tcW w:w="2833" w:type="dxa"/>
            <w:shd w:val="clear" w:color="auto" w:fill="auto"/>
            <w:vAlign w:val="center"/>
          </w:tcPr>
          <w:p w14:paraId="3571AC42">
            <w:pPr>
              <w:spacing w:line="360" w:lineRule="auto"/>
              <w:jc w:val="center"/>
              <w:rPr>
                <w:rFonts w:ascii="Times New Roman" w:hAnsi="Times New Roman"/>
                <w:color w:val="auto"/>
                <w:sz w:val="22"/>
                <w:szCs w:val="28"/>
              </w:rPr>
            </w:pPr>
            <w:r>
              <w:rPr>
                <w:rFonts w:hint="eastAsia" w:ascii="Times New Roman" w:hAnsi="Times New Roman"/>
                <w:color w:val="auto"/>
                <w:sz w:val="22"/>
                <w:szCs w:val="28"/>
                <w:lang w:val="en-US" w:eastAsia="zh-CN"/>
              </w:rPr>
              <w:t>196.22万</w:t>
            </w:r>
            <w:r>
              <w:rPr>
                <w:rFonts w:hint="eastAsia" w:ascii="Times New Roman" w:hAnsi="Times New Roman"/>
                <w:color w:val="auto"/>
                <w:sz w:val="22"/>
                <w:szCs w:val="28"/>
              </w:rPr>
              <w:t>元</w:t>
            </w:r>
          </w:p>
        </w:tc>
      </w:tr>
      <w:tr w14:paraId="7E1EA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3" w:hRule="atLeast"/>
        </w:trPr>
        <w:tc>
          <w:tcPr>
            <w:tcW w:w="2833" w:type="dxa"/>
            <w:vMerge w:val="continue"/>
            <w:shd w:val="clear" w:color="auto" w:fill="auto"/>
            <w:vAlign w:val="center"/>
          </w:tcPr>
          <w:p w14:paraId="239A3738">
            <w:pPr>
              <w:spacing w:line="360" w:lineRule="auto"/>
              <w:jc w:val="center"/>
              <w:rPr>
                <w:rFonts w:ascii="Times New Roman" w:hAnsi="Times New Roman"/>
                <w:color w:val="auto"/>
                <w:sz w:val="22"/>
                <w:szCs w:val="28"/>
              </w:rPr>
            </w:pPr>
          </w:p>
        </w:tc>
        <w:tc>
          <w:tcPr>
            <w:tcW w:w="2833" w:type="dxa"/>
            <w:shd w:val="clear" w:color="auto" w:fill="auto"/>
            <w:vAlign w:val="center"/>
          </w:tcPr>
          <w:p w14:paraId="3263B340">
            <w:pPr>
              <w:spacing w:line="360" w:lineRule="auto"/>
              <w:rPr>
                <w:rFonts w:ascii="Times New Roman" w:hAnsi="Times New Roman"/>
                <w:color w:val="auto"/>
                <w:sz w:val="22"/>
                <w:szCs w:val="28"/>
              </w:rPr>
            </w:pPr>
            <w:r>
              <w:rPr>
                <w:rFonts w:hint="eastAsia" w:ascii="Times New Roman" w:hAnsi="Times New Roman"/>
                <w:color w:val="auto"/>
                <w:sz w:val="22"/>
                <w:szCs w:val="28"/>
              </w:rPr>
              <w:t>直接投入费用</w:t>
            </w:r>
          </w:p>
        </w:tc>
        <w:tc>
          <w:tcPr>
            <w:tcW w:w="2833" w:type="dxa"/>
            <w:shd w:val="clear" w:color="auto" w:fill="auto"/>
            <w:vAlign w:val="center"/>
          </w:tcPr>
          <w:p w14:paraId="3C4F5571">
            <w:pPr>
              <w:spacing w:line="360" w:lineRule="auto"/>
              <w:jc w:val="center"/>
              <w:rPr>
                <w:rFonts w:ascii="Times New Roman" w:hAnsi="Times New Roman"/>
                <w:color w:val="auto"/>
                <w:sz w:val="22"/>
                <w:szCs w:val="28"/>
              </w:rPr>
            </w:pPr>
            <w:r>
              <w:rPr>
                <w:rFonts w:hint="eastAsia" w:ascii="Times New Roman" w:hAnsi="Times New Roman"/>
                <w:color w:val="auto"/>
                <w:sz w:val="22"/>
                <w:szCs w:val="28"/>
                <w:lang w:val="en-US" w:eastAsia="zh-CN"/>
              </w:rPr>
              <w:t>344.26万</w:t>
            </w:r>
            <w:r>
              <w:rPr>
                <w:rFonts w:hint="eastAsia" w:ascii="Times New Roman" w:hAnsi="Times New Roman"/>
                <w:color w:val="auto"/>
                <w:sz w:val="22"/>
                <w:szCs w:val="28"/>
              </w:rPr>
              <w:t>元</w:t>
            </w:r>
          </w:p>
        </w:tc>
      </w:tr>
      <w:tr w14:paraId="5A548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3" w:hRule="atLeast"/>
        </w:trPr>
        <w:tc>
          <w:tcPr>
            <w:tcW w:w="2833" w:type="dxa"/>
            <w:vMerge w:val="continue"/>
            <w:shd w:val="clear" w:color="auto" w:fill="auto"/>
            <w:vAlign w:val="center"/>
          </w:tcPr>
          <w:p w14:paraId="4F275BDA">
            <w:pPr>
              <w:spacing w:line="360" w:lineRule="auto"/>
              <w:jc w:val="center"/>
              <w:rPr>
                <w:rFonts w:ascii="Times New Roman" w:hAnsi="Times New Roman"/>
                <w:color w:val="auto"/>
                <w:sz w:val="22"/>
                <w:szCs w:val="28"/>
              </w:rPr>
            </w:pPr>
          </w:p>
        </w:tc>
        <w:tc>
          <w:tcPr>
            <w:tcW w:w="2833" w:type="dxa"/>
            <w:shd w:val="clear" w:color="auto" w:fill="auto"/>
            <w:vAlign w:val="center"/>
          </w:tcPr>
          <w:p w14:paraId="03A94C5B">
            <w:pPr>
              <w:spacing w:line="360" w:lineRule="auto"/>
              <w:rPr>
                <w:rFonts w:hint="default" w:ascii="Times New Roman" w:hAnsi="Times New Roman" w:eastAsia="宋体"/>
                <w:color w:val="auto"/>
                <w:sz w:val="22"/>
                <w:szCs w:val="28"/>
                <w:lang w:val="en-US" w:eastAsia="zh-CN"/>
              </w:rPr>
            </w:pPr>
            <w:r>
              <w:rPr>
                <w:rFonts w:hint="eastAsia" w:ascii="Times New Roman" w:hAnsi="Times New Roman"/>
                <w:color w:val="auto"/>
                <w:sz w:val="22"/>
                <w:szCs w:val="28"/>
                <w:lang w:val="en-US" w:eastAsia="zh-CN"/>
              </w:rPr>
              <w:t>折旧费用</w:t>
            </w:r>
          </w:p>
        </w:tc>
        <w:tc>
          <w:tcPr>
            <w:tcW w:w="2833" w:type="dxa"/>
            <w:shd w:val="clear" w:color="auto" w:fill="auto"/>
            <w:vAlign w:val="center"/>
          </w:tcPr>
          <w:p w14:paraId="5580B92D">
            <w:pPr>
              <w:spacing w:line="360" w:lineRule="auto"/>
              <w:jc w:val="center"/>
              <w:rPr>
                <w:rFonts w:hint="default" w:ascii="Times New Roman" w:hAnsi="Times New Roman" w:eastAsia="宋体"/>
                <w:color w:val="auto"/>
                <w:sz w:val="22"/>
                <w:szCs w:val="28"/>
                <w:lang w:val="en-US" w:eastAsia="zh-CN"/>
              </w:rPr>
            </w:pPr>
            <w:r>
              <w:rPr>
                <w:rFonts w:hint="eastAsia" w:ascii="Times New Roman" w:hAnsi="Times New Roman"/>
                <w:color w:val="auto"/>
                <w:sz w:val="22"/>
                <w:szCs w:val="28"/>
                <w:lang w:val="en-US" w:eastAsia="zh-CN"/>
              </w:rPr>
              <w:t>51.85万元</w:t>
            </w:r>
          </w:p>
        </w:tc>
      </w:tr>
      <w:tr w14:paraId="3BE7C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3" w:hRule="atLeast"/>
        </w:trPr>
        <w:tc>
          <w:tcPr>
            <w:tcW w:w="2833" w:type="dxa"/>
            <w:vMerge w:val="continue"/>
            <w:shd w:val="clear" w:color="auto" w:fill="auto"/>
            <w:vAlign w:val="center"/>
          </w:tcPr>
          <w:p w14:paraId="74AF738C">
            <w:pPr>
              <w:spacing w:line="360" w:lineRule="auto"/>
              <w:jc w:val="center"/>
              <w:rPr>
                <w:rFonts w:ascii="Times New Roman" w:hAnsi="Times New Roman"/>
                <w:color w:val="auto"/>
                <w:sz w:val="22"/>
                <w:szCs w:val="28"/>
              </w:rPr>
            </w:pPr>
          </w:p>
        </w:tc>
        <w:tc>
          <w:tcPr>
            <w:tcW w:w="2833" w:type="dxa"/>
            <w:shd w:val="clear" w:color="auto" w:fill="auto"/>
            <w:vAlign w:val="center"/>
          </w:tcPr>
          <w:p w14:paraId="0756EA04">
            <w:pPr>
              <w:spacing w:line="360" w:lineRule="auto"/>
              <w:rPr>
                <w:rFonts w:hint="default" w:ascii="Times New Roman" w:hAnsi="Times New Roman"/>
                <w:color w:val="auto"/>
                <w:sz w:val="22"/>
                <w:szCs w:val="28"/>
                <w:lang w:val="en-US" w:eastAsia="zh-CN"/>
              </w:rPr>
            </w:pPr>
            <w:r>
              <w:rPr>
                <w:rFonts w:hint="eastAsia" w:ascii="Times New Roman" w:hAnsi="Times New Roman"/>
                <w:color w:val="auto"/>
                <w:sz w:val="22"/>
                <w:szCs w:val="28"/>
                <w:lang w:val="en-US" w:eastAsia="zh-CN"/>
              </w:rPr>
              <w:t>设计费用</w:t>
            </w:r>
          </w:p>
        </w:tc>
        <w:tc>
          <w:tcPr>
            <w:tcW w:w="2833" w:type="dxa"/>
            <w:shd w:val="clear" w:color="auto" w:fill="auto"/>
            <w:vAlign w:val="center"/>
          </w:tcPr>
          <w:p w14:paraId="7787AA93">
            <w:pPr>
              <w:spacing w:line="360" w:lineRule="auto"/>
              <w:jc w:val="center"/>
              <w:rPr>
                <w:rFonts w:hint="default" w:ascii="Times New Roman" w:hAnsi="Times New Roman"/>
                <w:color w:val="auto"/>
                <w:sz w:val="22"/>
                <w:szCs w:val="28"/>
                <w:lang w:val="en-US" w:eastAsia="zh-CN"/>
              </w:rPr>
            </w:pPr>
            <w:r>
              <w:rPr>
                <w:rFonts w:hint="eastAsia" w:ascii="Times New Roman" w:hAnsi="Times New Roman"/>
                <w:color w:val="auto"/>
                <w:sz w:val="22"/>
                <w:szCs w:val="28"/>
                <w:lang w:val="en-US" w:eastAsia="zh-CN"/>
              </w:rPr>
              <w:t>15.9万元</w:t>
            </w:r>
          </w:p>
        </w:tc>
      </w:tr>
      <w:tr w14:paraId="539A4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3" w:hRule="atLeast"/>
        </w:trPr>
        <w:tc>
          <w:tcPr>
            <w:tcW w:w="2833" w:type="dxa"/>
            <w:vMerge w:val="continue"/>
            <w:shd w:val="clear" w:color="auto" w:fill="auto"/>
            <w:vAlign w:val="center"/>
          </w:tcPr>
          <w:p w14:paraId="11F9547A">
            <w:pPr>
              <w:spacing w:line="360" w:lineRule="auto"/>
              <w:jc w:val="center"/>
              <w:rPr>
                <w:rFonts w:ascii="Times New Roman" w:hAnsi="Times New Roman"/>
                <w:color w:val="auto"/>
                <w:sz w:val="22"/>
                <w:szCs w:val="28"/>
              </w:rPr>
            </w:pPr>
          </w:p>
        </w:tc>
        <w:tc>
          <w:tcPr>
            <w:tcW w:w="2833" w:type="dxa"/>
            <w:shd w:val="clear" w:color="auto" w:fill="auto"/>
            <w:vAlign w:val="center"/>
          </w:tcPr>
          <w:p w14:paraId="4A1B62E1">
            <w:pPr>
              <w:spacing w:line="360" w:lineRule="auto"/>
              <w:rPr>
                <w:rFonts w:ascii="Times New Roman" w:hAnsi="Times New Roman"/>
                <w:color w:val="auto"/>
                <w:sz w:val="22"/>
                <w:szCs w:val="28"/>
              </w:rPr>
            </w:pPr>
            <w:r>
              <w:rPr>
                <w:rFonts w:hint="eastAsia" w:ascii="Times New Roman" w:hAnsi="Times New Roman"/>
                <w:color w:val="auto"/>
                <w:sz w:val="22"/>
                <w:szCs w:val="28"/>
              </w:rPr>
              <w:t>其他费用</w:t>
            </w:r>
          </w:p>
        </w:tc>
        <w:tc>
          <w:tcPr>
            <w:tcW w:w="2833" w:type="dxa"/>
            <w:shd w:val="clear" w:color="auto" w:fill="auto"/>
            <w:vAlign w:val="center"/>
          </w:tcPr>
          <w:p w14:paraId="4D9BF2BF">
            <w:pPr>
              <w:spacing w:line="360" w:lineRule="auto"/>
              <w:jc w:val="center"/>
              <w:rPr>
                <w:rFonts w:ascii="Times New Roman" w:hAnsi="Times New Roman"/>
                <w:color w:val="auto"/>
                <w:sz w:val="22"/>
                <w:szCs w:val="28"/>
              </w:rPr>
            </w:pPr>
            <w:r>
              <w:rPr>
                <w:rFonts w:hint="eastAsia" w:ascii="Times New Roman" w:hAnsi="Times New Roman"/>
                <w:color w:val="auto"/>
                <w:sz w:val="22"/>
                <w:szCs w:val="28"/>
                <w:lang w:val="en-US" w:eastAsia="zh-CN"/>
              </w:rPr>
              <w:t>6.08万</w:t>
            </w:r>
            <w:r>
              <w:rPr>
                <w:rFonts w:hint="eastAsia" w:ascii="Times New Roman" w:hAnsi="Times New Roman"/>
                <w:color w:val="auto"/>
                <w:sz w:val="22"/>
                <w:szCs w:val="28"/>
              </w:rPr>
              <w:t>元</w:t>
            </w:r>
          </w:p>
        </w:tc>
      </w:tr>
      <w:tr w14:paraId="3E4EA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7" w:hRule="atLeast"/>
        </w:trPr>
        <w:tc>
          <w:tcPr>
            <w:tcW w:w="2833" w:type="dxa"/>
            <w:vMerge w:val="continue"/>
            <w:shd w:val="clear" w:color="auto" w:fill="auto"/>
            <w:vAlign w:val="center"/>
          </w:tcPr>
          <w:p w14:paraId="13EA9A30">
            <w:pPr>
              <w:spacing w:line="360" w:lineRule="auto"/>
              <w:jc w:val="center"/>
              <w:rPr>
                <w:rFonts w:ascii="Times New Roman" w:hAnsi="Times New Roman"/>
                <w:color w:val="auto"/>
                <w:sz w:val="22"/>
                <w:szCs w:val="28"/>
              </w:rPr>
            </w:pPr>
          </w:p>
        </w:tc>
        <w:tc>
          <w:tcPr>
            <w:tcW w:w="2833" w:type="dxa"/>
            <w:shd w:val="clear" w:color="auto" w:fill="auto"/>
            <w:vAlign w:val="center"/>
          </w:tcPr>
          <w:p w14:paraId="76A91F63">
            <w:pPr>
              <w:spacing w:line="360" w:lineRule="auto"/>
              <w:rPr>
                <w:rFonts w:ascii="Times New Roman" w:hAnsi="Times New Roman"/>
                <w:color w:val="auto"/>
                <w:sz w:val="22"/>
                <w:szCs w:val="28"/>
              </w:rPr>
            </w:pPr>
            <w:r>
              <w:rPr>
                <w:rFonts w:hint="eastAsia" w:ascii="Times New Roman" w:hAnsi="Times New Roman"/>
                <w:color w:val="auto"/>
                <w:sz w:val="22"/>
                <w:szCs w:val="28"/>
              </w:rPr>
              <w:t>总计</w:t>
            </w:r>
          </w:p>
        </w:tc>
        <w:tc>
          <w:tcPr>
            <w:tcW w:w="2833" w:type="dxa"/>
            <w:shd w:val="clear" w:color="auto" w:fill="auto"/>
            <w:vAlign w:val="center"/>
          </w:tcPr>
          <w:p w14:paraId="1BF4FB01">
            <w:pPr>
              <w:spacing w:line="360" w:lineRule="auto"/>
              <w:jc w:val="center"/>
              <w:rPr>
                <w:rFonts w:ascii="Times New Roman" w:hAnsi="Times New Roman"/>
                <w:color w:val="auto"/>
                <w:sz w:val="22"/>
                <w:szCs w:val="28"/>
              </w:rPr>
            </w:pPr>
            <w:r>
              <w:rPr>
                <w:rFonts w:hint="eastAsia" w:ascii="Times New Roman" w:hAnsi="Times New Roman"/>
                <w:color w:val="auto"/>
                <w:sz w:val="22"/>
                <w:szCs w:val="28"/>
                <w:lang w:val="en-US" w:eastAsia="zh-CN"/>
              </w:rPr>
              <w:t>614.31万</w:t>
            </w:r>
            <w:r>
              <w:rPr>
                <w:rFonts w:hint="eastAsia" w:ascii="Times New Roman" w:hAnsi="Times New Roman"/>
                <w:color w:val="auto"/>
                <w:sz w:val="22"/>
                <w:szCs w:val="28"/>
              </w:rPr>
              <w:t>元</w:t>
            </w:r>
          </w:p>
        </w:tc>
      </w:tr>
    </w:tbl>
    <w:p w14:paraId="727F1A93">
      <w:pPr>
        <w:spacing w:line="360" w:lineRule="auto"/>
        <w:ind w:firstLine="440" w:firstLineChars="200"/>
        <w:rPr>
          <w:rFonts w:ascii="Times New Roman" w:hAnsi="Times New Roman"/>
          <w:color w:val="auto"/>
          <w:sz w:val="22"/>
          <w:szCs w:val="28"/>
        </w:rPr>
      </w:pPr>
      <w:r>
        <w:rPr>
          <w:rFonts w:hint="eastAsia" w:ascii="Times New Roman" w:hAnsi="Times New Roman"/>
          <w:color w:val="auto"/>
          <w:sz w:val="22"/>
          <w:szCs w:val="28"/>
        </w:rPr>
        <w:t>经统计，项目经费符合预算要求。</w:t>
      </w:r>
    </w:p>
    <w:p w14:paraId="0937A34F">
      <w:pPr>
        <w:spacing w:line="360" w:lineRule="auto"/>
        <w:rPr>
          <w:rStyle w:val="13"/>
          <w:rFonts w:ascii="Times New Roman" w:hAnsi="Times New Roman"/>
          <w:color w:val="auto"/>
          <w:sz w:val="22"/>
          <w:szCs w:val="28"/>
        </w:rPr>
      </w:pPr>
      <w:r>
        <w:rPr>
          <w:rStyle w:val="13"/>
          <w:rFonts w:hint="eastAsia" w:ascii="Times New Roman" w:hAnsi="Times New Roman"/>
          <w:color w:val="auto"/>
          <w:sz w:val="22"/>
          <w:szCs w:val="28"/>
        </w:rPr>
        <w:t>五、项目验收情况</w:t>
      </w:r>
    </w:p>
    <w:p w14:paraId="672C4BC5">
      <w:pPr>
        <w:spacing w:line="360" w:lineRule="auto"/>
        <w:rPr>
          <w:rFonts w:ascii="Times New Roman" w:hAnsi="Times New Roman"/>
          <w:b/>
          <w:bCs/>
          <w:color w:val="auto"/>
          <w:sz w:val="22"/>
          <w:szCs w:val="28"/>
        </w:rPr>
      </w:pPr>
      <w:r>
        <w:rPr>
          <w:rFonts w:hint="eastAsia" w:ascii="Times New Roman" w:hAnsi="Times New Roman"/>
          <w:b/>
          <w:bCs/>
          <w:color w:val="auto"/>
          <w:sz w:val="22"/>
          <w:szCs w:val="28"/>
        </w:rPr>
        <w:t>（一）验收内容</w:t>
      </w:r>
    </w:p>
    <w:p w14:paraId="6AF763AE">
      <w:pPr>
        <w:numPr>
          <w:ilvl w:val="0"/>
          <w:numId w:val="7"/>
        </w:numPr>
        <w:spacing w:line="360" w:lineRule="auto"/>
        <w:ind w:left="0" w:firstLine="440" w:firstLineChars="200"/>
        <w:rPr>
          <w:rFonts w:ascii="Times New Roman" w:hAnsi="Times New Roman"/>
          <w:color w:val="auto"/>
          <w:sz w:val="22"/>
          <w:szCs w:val="28"/>
        </w:rPr>
      </w:pPr>
      <w:r>
        <w:rPr>
          <w:rFonts w:ascii="Times New Roman" w:hAnsi="Times New Roman"/>
          <w:color w:val="auto"/>
          <w:sz w:val="22"/>
        </w:rPr>
        <w:t>工艺验证：对合成涂料的分散均匀性、粒径分布及稳定性进行测试，验证自动化控制系统对研磨过程的控制能力。</w:t>
      </w:r>
    </w:p>
    <w:p w14:paraId="08E66C34">
      <w:pPr>
        <w:numPr>
          <w:ilvl w:val="0"/>
          <w:numId w:val="7"/>
        </w:numPr>
        <w:spacing w:line="360" w:lineRule="auto"/>
        <w:ind w:left="0" w:firstLine="440" w:firstLineChars="200"/>
        <w:rPr>
          <w:rFonts w:ascii="Times New Roman" w:hAnsi="Times New Roman"/>
          <w:color w:val="auto"/>
          <w:sz w:val="22"/>
          <w:szCs w:val="28"/>
        </w:rPr>
      </w:pPr>
      <w:r>
        <w:rPr>
          <w:rFonts w:ascii="Times New Roman" w:hAnsi="Times New Roman"/>
          <w:color w:val="auto"/>
          <w:sz w:val="22"/>
        </w:rPr>
        <w:t>设备运行评估：对全自动分散机的运行稳定性、防护结构的有效性及料桶定位装置的可靠性进行现场测试。</w:t>
      </w:r>
    </w:p>
    <w:p w14:paraId="660B32E6">
      <w:pPr>
        <w:numPr>
          <w:ilvl w:val="0"/>
          <w:numId w:val="7"/>
        </w:numPr>
        <w:spacing w:line="360" w:lineRule="auto"/>
        <w:ind w:left="0" w:firstLine="440" w:firstLineChars="200"/>
        <w:rPr>
          <w:rFonts w:ascii="Times New Roman" w:hAnsi="Times New Roman"/>
          <w:color w:val="auto"/>
          <w:sz w:val="22"/>
          <w:szCs w:val="28"/>
        </w:rPr>
      </w:pPr>
      <w:r>
        <w:rPr>
          <w:rFonts w:ascii="Times New Roman" w:hAnsi="Times New Roman"/>
          <w:color w:val="auto"/>
          <w:sz w:val="22"/>
        </w:rPr>
        <w:t>系统功能检查：对分散机自动化运行控制系统和乳液分散机智能研磨控制系统的功能模块进行验证，确保其满足生产控制需求。</w:t>
      </w:r>
    </w:p>
    <w:p w14:paraId="5F469A5E">
      <w:pPr>
        <w:spacing w:line="360" w:lineRule="auto"/>
        <w:rPr>
          <w:rFonts w:ascii="Times New Roman" w:hAnsi="Times New Roman"/>
          <w:b/>
          <w:bCs/>
          <w:color w:val="auto"/>
          <w:sz w:val="22"/>
          <w:szCs w:val="28"/>
        </w:rPr>
      </w:pPr>
      <w:r>
        <w:rPr>
          <w:rFonts w:hint="eastAsia" w:ascii="Times New Roman" w:hAnsi="Times New Roman"/>
          <w:b/>
          <w:bCs/>
          <w:color w:val="auto"/>
          <w:sz w:val="22"/>
          <w:szCs w:val="28"/>
        </w:rPr>
        <w:t>（二）验收结论</w:t>
      </w:r>
    </w:p>
    <w:p w14:paraId="18428C4B">
      <w:pPr>
        <w:spacing w:line="360" w:lineRule="auto"/>
        <w:ind w:firstLine="440" w:firstLineChars="200"/>
        <w:rPr>
          <w:rFonts w:ascii="Times New Roman" w:hAnsi="Times New Roman"/>
          <w:color w:val="auto"/>
          <w:sz w:val="22"/>
          <w:szCs w:val="28"/>
        </w:rPr>
      </w:pPr>
      <w:r>
        <w:rPr>
          <w:rFonts w:ascii="Times New Roman" w:hAnsi="Times New Roman"/>
          <w:color w:val="auto"/>
          <w:sz w:val="22"/>
        </w:rPr>
        <w:t>项目已完成预期的研发任务，相关技术成果达到预期目标。涂料产品的分散效果与批次稳定性得到提升，自动化控制系统运行稳定，设备结构设计合理，具备在实际生产中推广应用的条件。项目通过验收，建议进入后续的试生产阶段。</w:t>
      </w:r>
    </w:p>
    <w:p w14:paraId="2F939425">
      <w:pPr>
        <w:spacing w:line="360" w:lineRule="auto"/>
        <w:ind w:firstLine="440" w:firstLineChars="200"/>
        <w:rPr>
          <w:rFonts w:ascii="Times New Roman" w:hAnsi="Times New Roman"/>
          <w:color w:val="auto"/>
          <w:sz w:val="22"/>
          <w:szCs w:val="28"/>
        </w:rPr>
      </w:pPr>
    </w:p>
    <w:p w14:paraId="16F910F8">
      <w:pPr>
        <w:spacing w:line="360" w:lineRule="auto"/>
        <w:jc w:val="right"/>
        <w:rPr>
          <w:rFonts w:hint="eastAsia" w:ascii="Times New Roman" w:hAnsi="Times New Roman" w:eastAsia="宋体"/>
          <w:color w:val="auto"/>
          <w:sz w:val="22"/>
          <w:szCs w:val="28"/>
          <w:lang w:eastAsia="zh-CN"/>
        </w:rPr>
      </w:pPr>
      <w:r>
        <w:rPr>
          <w:rFonts w:hint="eastAsia" w:ascii="Times New Roman" w:hAnsi="Times New Roman"/>
          <w:color w:val="auto"/>
          <w:sz w:val="22"/>
          <w:szCs w:val="28"/>
          <w:lang w:eastAsia="zh-CN"/>
        </w:rPr>
        <w:t>上海舜斯新材料科技有限公司</w:t>
      </w:r>
    </w:p>
    <w:p w14:paraId="291DDA83">
      <w:pPr>
        <w:spacing w:line="360" w:lineRule="auto"/>
        <w:jc w:val="right"/>
        <w:rPr>
          <w:rFonts w:ascii="Times New Roman" w:hAnsi="Times New Roman"/>
          <w:color w:val="auto"/>
          <w:sz w:val="22"/>
          <w:szCs w:val="28"/>
        </w:rPr>
      </w:pPr>
      <w:r>
        <w:rPr>
          <w:rFonts w:hint="eastAsia" w:ascii="Times New Roman" w:hAnsi="Times New Roman"/>
          <w:color w:val="auto"/>
          <w:sz w:val="22"/>
          <w:szCs w:val="28"/>
          <w:lang w:eastAsia="zh-CN"/>
        </w:rPr>
        <w:t>2023年</w:t>
      </w:r>
      <w:r>
        <w:rPr>
          <w:rFonts w:hint="eastAsia" w:ascii="Times New Roman" w:hAnsi="Times New Roman"/>
          <w:color w:val="auto"/>
          <w:sz w:val="22"/>
          <w:szCs w:val="28"/>
        </w:rPr>
        <w:t>12月29日</w:t>
      </w:r>
    </w:p>
    <w:sectPr>
      <w:head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Segoe UI">
    <w:panose1 w:val="020B0502040204020203"/>
    <w:charset w:val="00"/>
    <w:family w:val="swiss"/>
    <w:pitch w:val="default"/>
    <w:sig w:usb0="E4002EFF" w:usb1="C000E47F" w:usb2="00000009" w:usb3="00000000" w:csb0="2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CA4B5A">
    <w:pPr>
      <w:pStyle w:val="9"/>
      <w:widowControl/>
      <w:jc w:val="distribu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17BD62"/>
    <w:multiLevelType w:val="singleLevel"/>
    <w:tmpl w:val="9D17BD62"/>
    <w:lvl w:ilvl="0" w:tentative="0">
      <w:start w:val="1"/>
      <w:numFmt w:val="decimal"/>
      <w:lvlText w:val="(%1)"/>
      <w:lvlJc w:val="left"/>
      <w:pPr>
        <w:ind w:left="425" w:hanging="425"/>
      </w:pPr>
      <w:rPr>
        <w:rFonts w:hint="default"/>
      </w:rPr>
    </w:lvl>
  </w:abstractNum>
  <w:abstractNum w:abstractNumId="1">
    <w:nsid w:val="A31363C1"/>
    <w:multiLevelType w:val="singleLevel"/>
    <w:tmpl w:val="A31363C1"/>
    <w:lvl w:ilvl="0" w:tentative="0">
      <w:start w:val="1"/>
      <w:numFmt w:val="decimal"/>
      <w:lvlText w:val="(%1)"/>
      <w:lvlJc w:val="left"/>
      <w:pPr>
        <w:ind w:left="425" w:hanging="425"/>
      </w:pPr>
      <w:rPr>
        <w:rFonts w:hint="default"/>
      </w:rPr>
    </w:lvl>
  </w:abstractNum>
  <w:abstractNum w:abstractNumId="2">
    <w:nsid w:val="D9DBAEED"/>
    <w:multiLevelType w:val="singleLevel"/>
    <w:tmpl w:val="D9DBAEED"/>
    <w:lvl w:ilvl="0" w:tentative="0">
      <w:start w:val="4"/>
      <w:numFmt w:val="chineseCounting"/>
      <w:suff w:val="nothing"/>
      <w:lvlText w:val="%1、"/>
      <w:lvlJc w:val="left"/>
      <w:rPr>
        <w:rFonts w:hint="eastAsia"/>
      </w:rPr>
    </w:lvl>
  </w:abstractNum>
  <w:abstractNum w:abstractNumId="3">
    <w:nsid w:val="E8744EF6"/>
    <w:multiLevelType w:val="singleLevel"/>
    <w:tmpl w:val="E8744EF6"/>
    <w:lvl w:ilvl="0" w:tentative="0">
      <w:start w:val="1"/>
      <w:numFmt w:val="decimal"/>
      <w:lvlText w:val="(%1)"/>
      <w:lvlJc w:val="left"/>
      <w:pPr>
        <w:ind w:left="425" w:hanging="425"/>
      </w:pPr>
      <w:rPr>
        <w:rFonts w:hint="default"/>
      </w:rPr>
    </w:lvl>
  </w:abstractNum>
  <w:abstractNum w:abstractNumId="4">
    <w:nsid w:val="36AE33EB"/>
    <w:multiLevelType w:val="singleLevel"/>
    <w:tmpl w:val="36AE33EB"/>
    <w:lvl w:ilvl="0" w:tentative="0">
      <w:start w:val="1"/>
      <w:numFmt w:val="decimal"/>
      <w:lvlText w:val="(%1)"/>
      <w:lvlJc w:val="left"/>
      <w:pPr>
        <w:ind w:left="425" w:hanging="425"/>
      </w:pPr>
      <w:rPr>
        <w:rFonts w:hint="default"/>
      </w:rPr>
    </w:lvl>
  </w:abstractNum>
  <w:abstractNum w:abstractNumId="5">
    <w:nsid w:val="72CCA1C2"/>
    <w:multiLevelType w:val="singleLevel"/>
    <w:tmpl w:val="72CCA1C2"/>
    <w:lvl w:ilvl="0" w:tentative="0">
      <w:start w:val="1"/>
      <w:numFmt w:val="decimal"/>
      <w:lvlText w:val="(%1)"/>
      <w:lvlJc w:val="left"/>
      <w:pPr>
        <w:ind w:left="425" w:hanging="425"/>
      </w:pPr>
      <w:rPr>
        <w:rFonts w:hint="default"/>
      </w:rPr>
    </w:lvl>
  </w:abstractNum>
  <w:abstractNum w:abstractNumId="6">
    <w:nsid w:val="77A6CEAA"/>
    <w:multiLevelType w:val="singleLevel"/>
    <w:tmpl w:val="77A6CEAA"/>
    <w:lvl w:ilvl="0" w:tentative="0">
      <w:start w:val="1"/>
      <w:numFmt w:val="decimal"/>
      <w:lvlText w:val="(%1)"/>
      <w:lvlJc w:val="left"/>
      <w:pPr>
        <w:ind w:left="425" w:hanging="425"/>
      </w:pPr>
      <w:rPr>
        <w:rFonts w:hint="default"/>
      </w:rPr>
    </w:lvl>
  </w:abstractNum>
  <w:num w:numId="1">
    <w:abstractNumId w:val="0"/>
  </w:num>
  <w:num w:numId="2">
    <w:abstractNumId w:val="4"/>
  </w:num>
  <w:num w:numId="3">
    <w:abstractNumId w:val="1"/>
  </w:num>
  <w:num w:numId="4">
    <w:abstractNumId w:val="6"/>
  </w:num>
  <w:num w:numId="5">
    <w:abstractNumId w:val="3"/>
  </w:num>
  <w:num w:numId="6">
    <w:abstractNumId w:val="2"/>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YWJlMTc4NGIxMGQzZGM3ZTI0N2NkOWFkZjAxZDY0MjcifQ=="/>
  </w:docVars>
  <w:rsids>
    <w:rsidRoot w:val="0033114D"/>
    <w:rsid w:val="002C0477"/>
    <w:rsid w:val="0033114D"/>
    <w:rsid w:val="00425A1B"/>
    <w:rsid w:val="005C37D8"/>
    <w:rsid w:val="006038E5"/>
    <w:rsid w:val="00617ED8"/>
    <w:rsid w:val="007D16B8"/>
    <w:rsid w:val="008248FA"/>
    <w:rsid w:val="008875A8"/>
    <w:rsid w:val="00936276"/>
    <w:rsid w:val="009D476B"/>
    <w:rsid w:val="009E3E1B"/>
    <w:rsid w:val="00B71F36"/>
    <w:rsid w:val="00C21A53"/>
    <w:rsid w:val="00D12CCD"/>
    <w:rsid w:val="00DA49F5"/>
    <w:rsid w:val="00DD3395"/>
    <w:rsid w:val="00E1589E"/>
    <w:rsid w:val="00E41409"/>
    <w:rsid w:val="00E568F2"/>
    <w:rsid w:val="00ED4C7B"/>
    <w:rsid w:val="00F16D0A"/>
    <w:rsid w:val="00FB6327"/>
    <w:rsid w:val="00FE2B5A"/>
    <w:rsid w:val="01E0373D"/>
    <w:rsid w:val="02BA3F8E"/>
    <w:rsid w:val="032B6C3A"/>
    <w:rsid w:val="03F4702C"/>
    <w:rsid w:val="04293179"/>
    <w:rsid w:val="047D1717"/>
    <w:rsid w:val="051200B1"/>
    <w:rsid w:val="05545FD4"/>
    <w:rsid w:val="06680FFF"/>
    <w:rsid w:val="070B6B66"/>
    <w:rsid w:val="07D63618"/>
    <w:rsid w:val="07E35D35"/>
    <w:rsid w:val="081E6D6D"/>
    <w:rsid w:val="083420ED"/>
    <w:rsid w:val="09F93DAC"/>
    <w:rsid w:val="0AA572D2"/>
    <w:rsid w:val="0B1D155E"/>
    <w:rsid w:val="0B2D79F3"/>
    <w:rsid w:val="0B995089"/>
    <w:rsid w:val="0BFE4EEC"/>
    <w:rsid w:val="0C882A07"/>
    <w:rsid w:val="0CD43E9E"/>
    <w:rsid w:val="0E320E7D"/>
    <w:rsid w:val="0F4C2412"/>
    <w:rsid w:val="105C48D7"/>
    <w:rsid w:val="108A4FA0"/>
    <w:rsid w:val="117B2B3A"/>
    <w:rsid w:val="11E22BBA"/>
    <w:rsid w:val="12DB5F87"/>
    <w:rsid w:val="134578A4"/>
    <w:rsid w:val="1363203D"/>
    <w:rsid w:val="14123C2A"/>
    <w:rsid w:val="148B578A"/>
    <w:rsid w:val="156C2EC6"/>
    <w:rsid w:val="167F2A48"/>
    <w:rsid w:val="16BA2357"/>
    <w:rsid w:val="16F5338F"/>
    <w:rsid w:val="17143815"/>
    <w:rsid w:val="171657DF"/>
    <w:rsid w:val="186500A0"/>
    <w:rsid w:val="18ED431E"/>
    <w:rsid w:val="19B27315"/>
    <w:rsid w:val="1A705EAE"/>
    <w:rsid w:val="1CCC06EE"/>
    <w:rsid w:val="1E0B5246"/>
    <w:rsid w:val="1E780B2E"/>
    <w:rsid w:val="1F1B063B"/>
    <w:rsid w:val="1FC54BA9"/>
    <w:rsid w:val="20566C4C"/>
    <w:rsid w:val="21314E79"/>
    <w:rsid w:val="21CD59F3"/>
    <w:rsid w:val="22DB251A"/>
    <w:rsid w:val="23272B22"/>
    <w:rsid w:val="2355143D"/>
    <w:rsid w:val="23AD74CB"/>
    <w:rsid w:val="24613F68"/>
    <w:rsid w:val="247E6772"/>
    <w:rsid w:val="24952F7F"/>
    <w:rsid w:val="25BF7042"/>
    <w:rsid w:val="25FC0296"/>
    <w:rsid w:val="26C2328E"/>
    <w:rsid w:val="27A26C1B"/>
    <w:rsid w:val="289E0ED0"/>
    <w:rsid w:val="28C10914"/>
    <w:rsid w:val="296A5517"/>
    <w:rsid w:val="29F574D6"/>
    <w:rsid w:val="2A224043"/>
    <w:rsid w:val="2C9F16FD"/>
    <w:rsid w:val="2D7B07E4"/>
    <w:rsid w:val="2E9D638E"/>
    <w:rsid w:val="2EA65243"/>
    <w:rsid w:val="2F104DB2"/>
    <w:rsid w:val="2FA21EAE"/>
    <w:rsid w:val="30C65728"/>
    <w:rsid w:val="31097D0B"/>
    <w:rsid w:val="311B1C02"/>
    <w:rsid w:val="31554CFE"/>
    <w:rsid w:val="31AC0DC2"/>
    <w:rsid w:val="326A47D9"/>
    <w:rsid w:val="32BB6DE3"/>
    <w:rsid w:val="33174961"/>
    <w:rsid w:val="339A4C4A"/>
    <w:rsid w:val="33A87367"/>
    <w:rsid w:val="34076784"/>
    <w:rsid w:val="351F7AFD"/>
    <w:rsid w:val="35F25212"/>
    <w:rsid w:val="3640422D"/>
    <w:rsid w:val="36C00E6C"/>
    <w:rsid w:val="36DD557A"/>
    <w:rsid w:val="37B54749"/>
    <w:rsid w:val="38374A39"/>
    <w:rsid w:val="3A8B353F"/>
    <w:rsid w:val="3AFB2473"/>
    <w:rsid w:val="3B3D6F2F"/>
    <w:rsid w:val="3C5F2ED5"/>
    <w:rsid w:val="3C5F6A31"/>
    <w:rsid w:val="3C637D4A"/>
    <w:rsid w:val="3CB5254A"/>
    <w:rsid w:val="3EC80563"/>
    <w:rsid w:val="3EEB27FE"/>
    <w:rsid w:val="3F9410E8"/>
    <w:rsid w:val="40BC4452"/>
    <w:rsid w:val="41456B3D"/>
    <w:rsid w:val="41957E0C"/>
    <w:rsid w:val="41B432B2"/>
    <w:rsid w:val="41CF4659"/>
    <w:rsid w:val="42AE24C0"/>
    <w:rsid w:val="42B21FB1"/>
    <w:rsid w:val="42BA70B7"/>
    <w:rsid w:val="430976F7"/>
    <w:rsid w:val="455E01CE"/>
    <w:rsid w:val="45795008"/>
    <w:rsid w:val="459E681C"/>
    <w:rsid w:val="460A2104"/>
    <w:rsid w:val="46492C2C"/>
    <w:rsid w:val="46A00372"/>
    <w:rsid w:val="47E10C42"/>
    <w:rsid w:val="491C4628"/>
    <w:rsid w:val="499E6DEB"/>
    <w:rsid w:val="49C10D2B"/>
    <w:rsid w:val="49E93701"/>
    <w:rsid w:val="4A3D4856"/>
    <w:rsid w:val="4B2E21B9"/>
    <w:rsid w:val="4C875885"/>
    <w:rsid w:val="4CD314A1"/>
    <w:rsid w:val="4D150366"/>
    <w:rsid w:val="4D9E1AAF"/>
    <w:rsid w:val="500876B4"/>
    <w:rsid w:val="5012161D"/>
    <w:rsid w:val="50830AE8"/>
    <w:rsid w:val="511D2CEB"/>
    <w:rsid w:val="51844B18"/>
    <w:rsid w:val="52187956"/>
    <w:rsid w:val="527E4DA2"/>
    <w:rsid w:val="53642E53"/>
    <w:rsid w:val="545F7ABE"/>
    <w:rsid w:val="546724CF"/>
    <w:rsid w:val="54BF35C3"/>
    <w:rsid w:val="55C7591B"/>
    <w:rsid w:val="55EB785C"/>
    <w:rsid w:val="56A93273"/>
    <w:rsid w:val="56CD51B3"/>
    <w:rsid w:val="580B5F93"/>
    <w:rsid w:val="582E57DE"/>
    <w:rsid w:val="5842572D"/>
    <w:rsid w:val="58813D2B"/>
    <w:rsid w:val="5AE12FDB"/>
    <w:rsid w:val="5B084A0C"/>
    <w:rsid w:val="5B1C0A86"/>
    <w:rsid w:val="5B800A46"/>
    <w:rsid w:val="5B841BB9"/>
    <w:rsid w:val="5C3B2178"/>
    <w:rsid w:val="5C7F0CFE"/>
    <w:rsid w:val="5D080CF3"/>
    <w:rsid w:val="5D331AE8"/>
    <w:rsid w:val="5D600B2F"/>
    <w:rsid w:val="5DF179D9"/>
    <w:rsid w:val="5E4E6BDA"/>
    <w:rsid w:val="5F334021"/>
    <w:rsid w:val="5F926F9A"/>
    <w:rsid w:val="5FEB2206"/>
    <w:rsid w:val="60235E44"/>
    <w:rsid w:val="602D6CC3"/>
    <w:rsid w:val="608A337D"/>
    <w:rsid w:val="60A12E65"/>
    <w:rsid w:val="60AA0313"/>
    <w:rsid w:val="60D31618"/>
    <w:rsid w:val="61626D70"/>
    <w:rsid w:val="618648DC"/>
    <w:rsid w:val="61B41449"/>
    <w:rsid w:val="61CB0541"/>
    <w:rsid w:val="63E8362C"/>
    <w:rsid w:val="64535652"/>
    <w:rsid w:val="64DB5A2C"/>
    <w:rsid w:val="65037931"/>
    <w:rsid w:val="655D3BA6"/>
    <w:rsid w:val="65BC6B1F"/>
    <w:rsid w:val="678B49FB"/>
    <w:rsid w:val="67BF46A4"/>
    <w:rsid w:val="683926A8"/>
    <w:rsid w:val="684D7F02"/>
    <w:rsid w:val="685E210F"/>
    <w:rsid w:val="68D128E1"/>
    <w:rsid w:val="693D54D2"/>
    <w:rsid w:val="6A1D1B56"/>
    <w:rsid w:val="6AD018B4"/>
    <w:rsid w:val="6B036F9E"/>
    <w:rsid w:val="6B5B0B88"/>
    <w:rsid w:val="6B662E80"/>
    <w:rsid w:val="6BE0108D"/>
    <w:rsid w:val="6C7434BE"/>
    <w:rsid w:val="6CC8224D"/>
    <w:rsid w:val="6D003795"/>
    <w:rsid w:val="6D1A237D"/>
    <w:rsid w:val="6D3639D2"/>
    <w:rsid w:val="6D45564C"/>
    <w:rsid w:val="6E6935BC"/>
    <w:rsid w:val="6E7361E8"/>
    <w:rsid w:val="6F370FC4"/>
    <w:rsid w:val="6F421E67"/>
    <w:rsid w:val="6F5E0C47"/>
    <w:rsid w:val="6FB24AEE"/>
    <w:rsid w:val="71A87F57"/>
    <w:rsid w:val="728C5ACB"/>
    <w:rsid w:val="73CF79E1"/>
    <w:rsid w:val="747B5DF7"/>
    <w:rsid w:val="7487654A"/>
    <w:rsid w:val="75BF7F65"/>
    <w:rsid w:val="782A00B9"/>
    <w:rsid w:val="786372CE"/>
    <w:rsid w:val="78DA7590"/>
    <w:rsid w:val="797F3C93"/>
    <w:rsid w:val="798219D5"/>
    <w:rsid w:val="79D55FA9"/>
    <w:rsid w:val="7AD16771"/>
    <w:rsid w:val="7B42766E"/>
    <w:rsid w:val="7B474C85"/>
    <w:rsid w:val="7B784E3E"/>
    <w:rsid w:val="7B7B492E"/>
    <w:rsid w:val="7B8E1B67"/>
    <w:rsid w:val="7BF32717"/>
    <w:rsid w:val="7C52740B"/>
    <w:rsid w:val="7C5B0E2F"/>
    <w:rsid w:val="7CAA7279"/>
    <w:rsid w:val="7D0D15B6"/>
    <w:rsid w:val="7E0E55E6"/>
    <w:rsid w:val="7EFE1AFE"/>
    <w:rsid w:val="7F0F5AB9"/>
    <w:rsid w:val="7F9D4E73"/>
    <w:rsid w:val="7FF625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paragraph" w:styleId="3">
    <w:name w:val="heading 2"/>
    <w:basedOn w:val="1"/>
    <w:next w:val="1"/>
    <w:qFormat/>
    <w:uiPriority w:val="0"/>
    <w:pPr>
      <w:keepNext/>
      <w:keepLines/>
      <w:spacing w:before="260" w:after="260" w:line="413" w:lineRule="auto"/>
      <w:outlineLvl w:val="1"/>
    </w:pPr>
    <w:rPr>
      <w:rFonts w:ascii="Arial" w:hAnsi="Arial" w:eastAsia="黑体"/>
      <w:b/>
      <w:sz w:val="32"/>
    </w:rPr>
  </w:style>
  <w:style w:type="paragraph" w:styleId="4">
    <w:name w:val="heading 3"/>
    <w:basedOn w:val="1"/>
    <w:next w:val="1"/>
    <w:qFormat/>
    <w:uiPriority w:val="0"/>
    <w:pPr>
      <w:spacing w:before="100" w:beforeAutospacing="1" w:after="100" w:afterAutospacing="1"/>
      <w:jc w:val="left"/>
      <w:outlineLvl w:val="2"/>
    </w:pPr>
    <w:rPr>
      <w:rFonts w:hint="eastAsia" w:ascii="宋体" w:hAnsi="宋体"/>
      <w:b/>
      <w:bCs/>
      <w:kern w:val="0"/>
      <w:sz w:val="27"/>
      <w:szCs w:val="27"/>
    </w:rPr>
  </w:style>
  <w:style w:type="paragraph" w:styleId="5">
    <w:name w:val="heading 4"/>
    <w:basedOn w:val="1"/>
    <w:next w:val="1"/>
    <w:qFormat/>
    <w:uiPriority w:val="0"/>
    <w:pPr>
      <w:spacing w:before="100" w:beforeAutospacing="1" w:after="100" w:afterAutospacing="1"/>
      <w:jc w:val="left"/>
      <w:outlineLvl w:val="3"/>
    </w:pPr>
    <w:rPr>
      <w:rFonts w:hint="eastAsia" w:ascii="宋体" w:hAnsi="宋体"/>
      <w:b/>
      <w:bCs/>
      <w:kern w:val="0"/>
      <w:sz w:val="24"/>
    </w:rPr>
  </w:style>
  <w:style w:type="paragraph" w:styleId="6">
    <w:name w:val="heading 5"/>
    <w:basedOn w:val="1"/>
    <w:next w:val="1"/>
    <w:semiHidden/>
    <w:unhideWhenUsed/>
    <w:qFormat/>
    <w:uiPriority w:val="0"/>
    <w:pPr>
      <w:spacing w:before="100" w:beforeAutospacing="1" w:after="100" w:afterAutospacing="1"/>
      <w:jc w:val="left"/>
      <w:outlineLvl w:val="4"/>
    </w:pPr>
    <w:rPr>
      <w:rFonts w:hint="eastAsia" w:ascii="宋体" w:hAnsi="宋体"/>
      <w:b/>
      <w:bCs/>
      <w:kern w:val="0"/>
      <w:sz w:val="20"/>
      <w:szCs w:val="20"/>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9">
    <w:name w:val="Normal (Web)"/>
    <w:basedOn w:val="1"/>
    <w:qFormat/>
    <w:uiPriority w:val="0"/>
    <w:pPr>
      <w:spacing w:before="100" w:beforeAutospacing="1" w:after="100" w:afterAutospacing="1"/>
      <w:jc w:val="left"/>
    </w:pPr>
    <w:rPr>
      <w:kern w:val="0"/>
      <w:sz w:val="24"/>
    </w:rPr>
  </w:style>
  <w:style w:type="table" w:styleId="11">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qFormat/>
    <w:uiPriority w:val="0"/>
    <w:rPr>
      <w:b/>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2907</Words>
  <Characters>3023</Characters>
  <Lines>9</Lines>
  <Paragraphs>2</Paragraphs>
  <TotalTime>0</TotalTime>
  <ScaleCrop>false</ScaleCrop>
  <LinksUpToDate>false</LinksUpToDate>
  <CharactersWithSpaces>3025</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2025-06-13T03:08:00Z</dcterms:created>
  <dc:creator>cyipxm5</dc:creator>
  <cp:lastModifiedBy>你走啊</cp:lastModifiedBy>
  <dcterms:modified xsi:type="dcterms:W3CDTF">2025-09-16T12:00:43Z</dcterms:modified>
  <cp:revision>57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B3CC7F9C2FD14217A94D08FA49ADC47C_13</vt:lpwstr>
  </property>
  <property fmtid="{D5CDD505-2E9C-101B-9397-08002B2CF9AE}" pid="4" name="KSOTemplateDocerSaveRecord">
    <vt:lpwstr>eyJoZGlkIjoiYWJlMTc4NGIxMGQzZGM3ZTI0N2NkOWFkZjAxZDY0MjciLCJ1c2VySWQiOiIzODg4NjQwMzAifQ==</vt:lpwstr>
  </property>
</Properties>
</file>