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648" w:type="dxa"/>
        <w:tblInd w:w="-4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590"/>
        <w:gridCol w:w="1455"/>
        <w:gridCol w:w="1785"/>
        <w:gridCol w:w="1575"/>
        <w:gridCol w:w="1665"/>
      </w:tblGrid>
      <w:tr w14:paraId="00FB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2" w:hRule="exact"/>
        </w:trPr>
        <w:tc>
          <w:tcPr>
            <w:tcW w:w="1578" w:type="dxa"/>
            <w:vAlign w:val="center"/>
          </w:tcPr>
          <w:p w14:paraId="34458970">
            <w:pPr>
              <w:snapToGrid w:val="0"/>
              <w:spacing w:line="300" w:lineRule="auto"/>
              <w:jc w:val="center"/>
              <w:rPr>
                <w:rFonts w:hint="eastAsia" w:ascii="宋体" w:hAnsi="宋体"/>
                <w:color w:val="auto"/>
                <w:kern w:val="0"/>
                <w:sz w:val="20"/>
              </w:rPr>
            </w:pPr>
            <w:r>
              <w:rPr>
                <w:rFonts w:hint="eastAsia" w:ascii="宋体" w:hAnsi="宋体"/>
                <w:color w:val="auto"/>
                <w:kern w:val="0"/>
                <w:sz w:val="20"/>
              </w:rPr>
              <w:t>文件名称</w:t>
            </w:r>
          </w:p>
        </w:tc>
        <w:tc>
          <w:tcPr>
            <w:tcW w:w="3045" w:type="dxa"/>
            <w:gridSpan w:val="2"/>
            <w:tcBorders>
              <w:top w:val="single" w:color="auto" w:sz="4" w:space="0"/>
              <w:bottom w:val="single" w:color="auto" w:sz="4" w:space="0"/>
              <w:right w:val="single" w:color="auto" w:sz="4" w:space="0"/>
            </w:tcBorders>
            <w:vAlign w:val="center"/>
          </w:tcPr>
          <w:p w14:paraId="7B270770">
            <w:pPr>
              <w:snapToGrid w:val="0"/>
              <w:spacing w:line="300" w:lineRule="auto"/>
              <w:jc w:val="center"/>
              <w:rPr>
                <w:rFonts w:ascii="宋体" w:hAnsi="宋体"/>
                <w:b/>
                <w:color w:val="auto"/>
                <w:kern w:val="0"/>
                <w:sz w:val="24"/>
                <w:szCs w:val="24"/>
              </w:rPr>
            </w:pPr>
            <w:r>
              <w:rPr>
                <w:rFonts w:hint="eastAsia" w:ascii="宋体" w:hAnsi="宋体"/>
                <w:b/>
                <w:color w:val="auto"/>
                <w:kern w:val="0"/>
                <w:sz w:val="24"/>
                <w:szCs w:val="24"/>
              </w:rPr>
              <w:t>科研项目立项报告书</w:t>
            </w:r>
          </w:p>
        </w:tc>
        <w:tc>
          <w:tcPr>
            <w:tcW w:w="1785" w:type="dxa"/>
            <w:tcBorders>
              <w:left w:val="single" w:color="auto" w:sz="4" w:space="0"/>
            </w:tcBorders>
            <w:vAlign w:val="center"/>
          </w:tcPr>
          <w:p w14:paraId="6F644874">
            <w:pPr>
              <w:snapToGrid w:val="0"/>
              <w:spacing w:line="300" w:lineRule="auto"/>
              <w:jc w:val="center"/>
              <w:rPr>
                <w:rFonts w:hint="eastAsia" w:ascii="宋体" w:hAnsi="宋体"/>
                <w:color w:val="auto"/>
                <w:kern w:val="0"/>
                <w:sz w:val="20"/>
              </w:rPr>
            </w:pPr>
            <w:r>
              <w:rPr>
                <w:rFonts w:hint="eastAsia" w:ascii="宋体" w:hAnsi="宋体"/>
                <w:color w:val="auto"/>
                <w:kern w:val="0"/>
                <w:sz w:val="20"/>
              </w:rPr>
              <w:t>立项编号</w:t>
            </w:r>
          </w:p>
        </w:tc>
        <w:tc>
          <w:tcPr>
            <w:tcW w:w="3240" w:type="dxa"/>
            <w:gridSpan w:val="2"/>
            <w:tcBorders>
              <w:bottom w:val="single" w:color="auto" w:sz="4" w:space="0"/>
            </w:tcBorders>
            <w:vAlign w:val="center"/>
          </w:tcPr>
          <w:p w14:paraId="7AF074F5">
            <w:pPr>
              <w:snapToGrid w:val="0"/>
              <w:spacing w:line="300" w:lineRule="auto"/>
              <w:jc w:val="center"/>
              <w:rPr>
                <w:rFonts w:hint="default" w:ascii="宋体" w:hAnsi="宋体"/>
                <w:color w:val="auto"/>
                <w:kern w:val="0"/>
                <w:sz w:val="20"/>
                <w:lang w:val="en-US"/>
              </w:rPr>
            </w:pPr>
            <w:r>
              <w:rPr>
                <w:rFonts w:hint="eastAsia" w:ascii="宋体" w:hAnsi="宋体"/>
                <w:color w:val="auto"/>
                <w:kern w:val="0"/>
                <w:sz w:val="20"/>
                <w:lang w:val="en-US" w:eastAsia="zh-CN"/>
              </w:rPr>
              <w:t>RD06</w:t>
            </w:r>
          </w:p>
        </w:tc>
      </w:tr>
      <w:tr w14:paraId="5E24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exact"/>
        </w:trPr>
        <w:tc>
          <w:tcPr>
            <w:tcW w:w="1578" w:type="dxa"/>
            <w:vAlign w:val="center"/>
          </w:tcPr>
          <w:p w14:paraId="489EDD20">
            <w:pPr>
              <w:snapToGrid w:val="0"/>
              <w:spacing w:line="300" w:lineRule="auto"/>
              <w:jc w:val="center"/>
              <w:rPr>
                <w:rFonts w:hint="eastAsia" w:ascii="宋体" w:hAnsi="宋体"/>
                <w:color w:val="auto"/>
                <w:kern w:val="0"/>
                <w:sz w:val="20"/>
              </w:rPr>
            </w:pPr>
            <w:r>
              <w:rPr>
                <w:rFonts w:hint="eastAsia" w:ascii="宋体" w:hAnsi="宋体"/>
                <w:color w:val="auto"/>
                <w:kern w:val="0"/>
                <w:sz w:val="20"/>
              </w:rPr>
              <w:t>制定人</w:t>
            </w:r>
          </w:p>
        </w:tc>
        <w:tc>
          <w:tcPr>
            <w:tcW w:w="1590" w:type="dxa"/>
            <w:tcBorders>
              <w:top w:val="single" w:color="auto" w:sz="4" w:space="0"/>
            </w:tcBorders>
            <w:vAlign w:val="center"/>
          </w:tcPr>
          <w:p w14:paraId="4E6BA217">
            <w:pPr>
              <w:snapToGrid w:val="0"/>
              <w:spacing w:line="300" w:lineRule="auto"/>
              <w:jc w:val="center"/>
              <w:rPr>
                <w:rFonts w:hint="eastAsia" w:ascii="宋体" w:hAnsi="宋体" w:eastAsia="宋体"/>
                <w:color w:val="auto"/>
                <w:kern w:val="0"/>
                <w:sz w:val="20"/>
                <w:szCs w:val="21"/>
                <w:lang w:val="en-US" w:eastAsia="zh-CN"/>
              </w:rPr>
            </w:pPr>
            <w:r>
              <w:rPr>
                <w:rFonts w:hint="eastAsia" w:ascii="宋体" w:hAnsi="宋体"/>
                <w:color w:val="auto"/>
                <w:kern w:val="0"/>
                <w:sz w:val="20"/>
                <w:szCs w:val="21"/>
                <w:lang w:val="en-US" w:eastAsia="zh-CN"/>
              </w:rPr>
              <w:t>研发部</w:t>
            </w:r>
          </w:p>
        </w:tc>
        <w:tc>
          <w:tcPr>
            <w:tcW w:w="1455" w:type="dxa"/>
            <w:tcBorders>
              <w:top w:val="single" w:color="auto" w:sz="4" w:space="0"/>
            </w:tcBorders>
            <w:vAlign w:val="center"/>
          </w:tcPr>
          <w:p w14:paraId="64C002DD">
            <w:pPr>
              <w:snapToGrid w:val="0"/>
              <w:spacing w:line="300" w:lineRule="auto"/>
              <w:jc w:val="center"/>
              <w:rPr>
                <w:rFonts w:hint="eastAsia" w:ascii="宋体" w:hAnsi="宋体"/>
                <w:color w:val="auto"/>
                <w:kern w:val="0"/>
                <w:sz w:val="20"/>
              </w:rPr>
            </w:pPr>
            <w:r>
              <w:rPr>
                <w:rFonts w:hint="eastAsia" w:ascii="宋体" w:hAnsi="宋体"/>
                <w:color w:val="auto"/>
                <w:kern w:val="0"/>
                <w:sz w:val="20"/>
              </w:rPr>
              <w:t>审批人</w:t>
            </w:r>
          </w:p>
        </w:tc>
        <w:tc>
          <w:tcPr>
            <w:tcW w:w="1785" w:type="dxa"/>
            <w:tcBorders>
              <w:right w:val="single" w:color="auto" w:sz="4" w:space="0"/>
            </w:tcBorders>
            <w:vAlign w:val="center"/>
          </w:tcPr>
          <w:p w14:paraId="7A64DA92">
            <w:pPr>
              <w:snapToGrid w:val="0"/>
              <w:spacing w:line="300" w:lineRule="auto"/>
              <w:jc w:val="center"/>
              <w:rPr>
                <w:rFonts w:hint="default" w:ascii="宋体" w:hAnsi="宋体" w:eastAsia="宋体"/>
                <w:color w:val="auto"/>
                <w:kern w:val="0"/>
                <w:sz w:val="20"/>
                <w:lang w:val="en-US" w:eastAsia="zh-CN"/>
              </w:rPr>
            </w:pPr>
            <w:r>
              <w:rPr>
                <w:rFonts w:hint="default" w:ascii="宋体" w:hAnsi="宋体" w:eastAsia="宋体"/>
                <w:color w:val="auto"/>
                <w:kern w:val="0"/>
                <w:sz w:val="20"/>
                <w:lang w:val="en-US" w:eastAsia="zh-CN"/>
              </w:rPr>
              <w:t>倪进</w:t>
            </w:r>
          </w:p>
        </w:tc>
        <w:tc>
          <w:tcPr>
            <w:tcW w:w="1575" w:type="dxa"/>
            <w:tcBorders>
              <w:top w:val="single" w:color="auto" w:sz="4" w:space="0"/>
              <w:left w:val="single" w:color="auto" w:sz="4" w:space="0"/>
              <w:bottom w:val="single" w:color="auto" w:sz="4" w:space="0"/>
              <w:right w:val="single" w:color="auto" w:sz="4" w:space="0"/>
            </w:tcBorders>
            <w:vAlign w:val="center"/>
          </w:tcPr>
          <w:p w14:paraId="3A3D8890">
            <w:pPr>
              <w:snapToGrid w:val="0"/>
              <w:spacing w:line="300" w:lineRule="auto"/>
              <w:ind w:right="-409" w:rightChars="-195"/>
              <w:jc w:val="center"/>
              <w:rPr>
                <w:rFonts w:hint="eastAsia" w:ascii="宋体" w:hAnsi="宋体"/>
                <w:color w:val="auto"/>
                <w:kern w:val="0"/>
                <w:sz w:val="20"/>
              </w:rPr>
            </w:pPr>
            <w:r>
              <w:rPr>
                <w:rFonts w:hint="eastAsia" w:ascii="宋体" w:hAnsi="宋体"/>
                <w:color w:val="auto"/>
                <w:kern w:val="0"/>
                <w:sz w:val="20"/>
              </w:rPr>
              <w:t>签批人</w:t>
            </w:r>
          </w:p>
        </w:tc>
        <w:tc>
          <w:tcPr>
            <w:tcW w:w="1665" w:type="dxa"/>
            <w:tcBorders>
              <w:top w:val="single" w:color="auto" w:sz="4" w:space="0"/>
              <w:left w:val="single" w:color="auto" w:sz="4" w:space="0"/>
              <w:bottom w:val="single" w:color="auto" w:sz="4" w:space="0"/>
            </w:tcBorders>
            <w:vAlign w:val="center"/>
          </w:tcPr>
          <w:p w14:paraId="4337A846">
            <w:pPr>
              <w:snapToGrid w:val="0"/>
              <w:spacing w:line="300" w:lineRule="auto"/>
              <w:jc w:val="center"/>
              <w:rPr>
                <w:rFonts w:ascii="宋体" w:hAnsi="宋体"/>
                <w:color w:val="auto"/>
                <w:kern w:val="0"/>
                <w:sz w:val="20"/>
              </w:rPr>
            </w:pPr>
            <w:r>
              <w:rPr>
                <w:rFonts w:hint="eastAsia" w:ascii="宋体" w:hAnsi="宋体"/>
                <w:color w:val="auto"/>
                <w:kern w:val="0"/>
                <w:sz w:val="20"/>
              </w:rPr>
              <w:t>杜雪良</w:t>
            </w:r>
          </w:p>
        </w:tc>
      </w:tr>
    </w:tbl>
    <w:p w14:paraId="70BF6A16">
      <w:pPr>
        <w:snapToGrid w:val="0"/>
        <w:jc w:val="center"/>
        <w:rPr>
          <w:rFonts w:hint="eastAsia" w:ascii="仿宋_GB2312" w:hAnsi="宋体" w:eastAsia="仿宋_GB2312"/>
          <w:color w:val="auto"/>
          <w:sz w:val="28"/>
          <w:szCs w:val="28"/>
        </w:rPr>
      </w:pPr>
    </w:p>
    <w:p w14:paraId="2923D9BB">
      <w:pPr>
        <w:snapToGrid w:val="0"/>
        <w:jc w:val="center"/>
        <w:rPr>
          <w:rFonts w:hint="eastAsia" w:ascii="仿宋_GB2312" w:hAnsi="宋体" w:eastAsia="仿宋_GB2312"/>
          <w:color w:val="auto"/>
          <w:sz w:val="28"/>
          <w:szCs w:val="28"/>
        </w:rPr>
      </w:pPr>
    </w:p>
    <w:p w14:paraId="19B7885B">
      <w:pPr>
        <w:snapToGrid w:val="0"/>
        <w:jc w:val="center"/>
        <w:rPr>
          <w:rFonts w:hint="eastAsia" w:ascii="仿宋_GB2312" w:hAnsi="宋体" w:eastAsia="仿宋_GB2312"/>
          <w:color w:val="auto"/>
          <w:sz w:val="28"/>
          <w:szCs w:val="28"/>
        </w:rPr>
      </w:pPr>
    </w:p>
    <w:p w14:paraId="45A5E4AC">
      <w:pPr>
        <w:snapToGrid w:val="0"/>
        <w:jc w:val="center"/>
        <w:rPr>
          <w:rFonts w:hint="eastAsia" w:ascii="仿宋_GB2312" w:hAnsi="宋体" w:eastAsia="仿宋_GB2312"/>
          <w:color w:val="auto"/>
          <w:sz w:val="28"/>
          <w:szCs w:val="28"/>
        </w:rPr>
      </w:pPr>
    </w:p>
    <w:p w14:paraId="65C55AD2">
      <w:pPr>
        <w:snapToGrid w:val="0"/>
        <w:jc w:val="center"/>
        <w:rPr>
          <w:rFonts w:hint="eastAsia" w:ascii="仿宋_GB2312" w:hAnsi="宋体" w:eastAsia="仿宋_GB2312"/>
          <w:color w:val="auto"/>
          <w:sz w:val="28"/>
          <w:szCs w:val="28"/>
        </w:rPr>
      </w:pPr>
      <w:r>
        <w:rPr>
          <w:rFonts w:hint="eastAsia" w:ascii="宋体" w:hAnsi="宋体" w:cs="宋体"/>
          <w:color w:val="auto"/>
          <w:sz w:val="32"/>
          <w:szCs w:val="32"/>
        </w:rPr>
        <w:pict>
          <v:shape id="_x0000_i1025" o:spt="75" alt="b718d151-a529-424b-9f16-4005debe9ad9" type="#_x0000_t75" style="height:58.4pt;width:133.35pt;" filled="f" o:preferrelative="t" stroked="f" coordsize="21600,21600">
            <v:path/>
            <v:fill on="f" focussize="0,0"/>
            <v:stroke on="f"/>
            <v:imagedata r:id="rId5" cropbottom="8133f" chromakey="#FFFFFF" o:title="b718d151-a529-424b-9f16-4005debe9ad9"/>
            <o:lock v:ext="edit" aspectratio="t"/>
            <w10:wrap type="none"/>
            <w10:anchorlock/>
          </v:shape>
        </w:pict>
      </w:r>
    </w:p>
    <w:p w14:paraId="4689FEA5">
      <w:pPr>
        <w:rPr>
          <w:rFonts w:hint="eastAsia"/>
          <w:color w:val="auto"/>
        </w:rPr>
      </w:pPr>
    </w:p>
    <w:p w14:paraId="5325BDCC">
      <w:pPr>
        <w:rPr>
          <w:rFonts w:hint="eastAsia"/>
          <w:color w:val="auto"/>
        </w:rPr>
      </w:pPr>
    </w:p>
    <w:p w14:paraId="79FE3F88">
      <w:pPr>
        <w:rPr>
          <w:rFonts w:hint="eastAsia"/>
          <w:color w:val="auto"/>
        </w:rPr>
      </w:pPr>
    </w:p>
    <w:p w14:paraId="4CC00A63">
      <w:pPr>
        <w:pStyle w:val="2"/>
        <w:snapToGrid w:val="0"/>
        <w:spacing w:before="120" w:after="312" w:afterLines="100" w:line="240" w:lineRule="auto"/>
        <w:ind w:firstLine="0"/>
        <w:jc w:val="center"/>
        <w:rPr>
          <w:rFonts w:hint="eastAsia" w:ascii="宋体" w:hAnsi="宋体" w:eastAsia="宋体"/>
          <w:color w:val="auto"/>
          <w:sz w:val="72"/>
          <w:szCs w:val="72"/>
        </w:rPr>
      </w:pPr>
      <w:r>
        <w:rPr>
          <w:rFonts w:hint="eastAsia" w:ascii="宋体" w:hAnsi="宋体" w:eastAsia="宋体"/>
          <w:color w:val="auto"/>
          <w:sz w:val="72"/>
          <w:szCs w:val="72"/>
        </w:rPr>
        <w:t>《科研项目立项报告书》</w:t>
      </w:r>
    </w:p>
    <w:p w14:paraId="785E1E3B">
      <w:pPr>
        <w:rPr>
          <w:rFonts w:hint="eastAsia"/>
          <w:color w:val="auto"/>
        </w:rPr>
      </w:pPr>
    </w:p>
    <w:p w14:paraId="52076639">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b/>
          <w:color w:val="auto"/>
          <w:sz w:val="32"/>
          <w:szCs w:val="32"/>
        </w:rPr>
      </w:pPr>
      <w:r>
        <w:rPr>
          <w:rFonts w:hint="eastAsia" w:ascii="仿宋_GB2312" w:hAnsi="宋体" w:eastAsia="仿宋_GB2312"/>
          <w:b/>
          <w:color w:val="auto"/>
          <w:sz w:val="32"/>
          <w:szCs w:val="32"/>
        </w:rPr>
        <w:t>项目名称：适用于高精准智能喷涂的铝制品表面处理技术研发</w:t>
      </w:r>
    </w:p>
    <w:p w14:paraId="06FF93B7">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b/>
          <w:color w:val="auto"/>
          <w:sz w:val="32"/>
          <w:szCs w:val="32"/>
        </w:rPr>
      </w:pPr>
      <w:r>
        <w:rPr>
          <w:rFonts w:hint="eastAsia" w:ascii="仿宋_GB2312" w:hAnsi="宋体" w:eastAsia="仿宋_GB2312"/>
          <w:b/>
          <w:color w:val="auto"/>
          <w:sz w:val="32"/>
          <w:szCs w:val="32"/>
        </w:rPr>
        <w:t>所属领域：新材料--金属材料--铝、铜、镁、钛合金清洁生产与深加工技术</w:t>
      </w:r>
    </w:p>
    <w:p w14:paraId="3270473A">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rPr>
      </w:pPr>
      <w:r>
        <w:rPr>
          <w:rFonts w:hint="eastAsia" w:ascii="仿宋_GB2312" w:hAnsi="宋体" w:eastAsia="仿宋_GB2312"/>
          <w:b/>
          <w:color w:val="auto"/>
          <w:sz w:val="32"/>
          <w:szCs w:val="32"/>
        </w:rPr>
        <w:t>承担单位：</w:t>
      </w:r>
      <w:r>
        <w:rPr>
          <w:rFonts w:hint="eastAsia" w:ascii="仿宋_GB2312" w:hAnsi="宋体" w:eastAsia="仿宋_GB2312" w:cs="Arial"/>
          <w:b/>
          <w:color w:val="auto"/>
          <w:sz w:val="32"/>
          <w:szCs w:val="32"/>
          <w:lang w:val="en-US" w:eastAsia="zh-CN"/>
        </w:rPr>
        <w:t>上海舜斯新材料科技有限公司</w:t>
      </w:r>
    </w:p>
    <w:p w14:paraId="4667C105">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lang w:val="en-US" w:eastAsia="zh-CN"/>
        </w:rPr>
      </w:pPr>
      <w:r>
        <w:rPr>
          <w:rFonts w:hint="eastAsia" w:ascii="仿宋_GB2312" w:hAnsi="宋体" w:eastAsia="仿宋_GB2312"/>
          <w:b/>
          <w:color w:val="auto"/>
          <w:sz w:val="32"/>
          <w:szCs w:val="32"/>
        </w:rPr>
        <w:t>管理</w:t>
      </w:r>
      <w:r>
        <w:rPr>
          <w:rFonts w:hint="eastAsia" w:ascii="仿宋_GB2312" w:hAnsi="宋体" w:eastAsia="仿宋_GB2312"/>
          <w:b/>
          <w:color w:val="auto"/>
          <w:sz w:val="32"/>
          <w:szCs w:val="32"/>
          <w:lang w:val="en-US" w:eastAsia="zh-CN"/>
        </w:rPr>
        <w:t>部门</w:t>
      </w:r>
      <w:r>
        <w:rPr>
          <w:rFonts w:hint="eastAsia" w:ascii="仿宋_GB2312" w:hAnsi="宋体" w:eastAsia="仿宋_GB2312"/>
          <w:b/>
          <w:color w:val="auto"/>
          <w:sz w:val="32"/>
          <w:szCs w:val="32"/>
        </w:rPr>
        <w:t>：</w:t>
      </w:r>
      <w:r>
        <w:rPr>
          <w:rFonts w:hint="eastAsia" w:ascii="仿宋_GB2312" w:hAnsi="宋体" w:eastAsia="仿宋_GB2312" w:cs="Arial"/>
          <w:b/>
          <w:color w:val="auto"/>
          <w:sz w:val="32"/>
          <w:szCs w:val="32"/>
          <w:lang w:val="en-US" w:eastAsia="zh-CN"/>
        </w:rPr>
        <w:t>研发部</w:t>
      </w:r>
    </w:p>
    <w:p w14:paraId="0FD3966D">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rPr>
      </w:pPr>
      <w:r>
        <w:rPr>
          <w:rFonts w:hint="eastAsia" w:ascii="仿宋_GB2312" w:hAnsi="宋体" w:eastAsia="仿宋_GB2312" w:cs="Arial"/>
          <w:b/>
          <w:color w:val="auto"/>
          <w:sz w:val="32"/>
          <w:szCs w:val="32"/>
        </w:rPr>
        <w:t>起止时间：</w:t>
      </w:r>
      <w:r>
        <w:rPr>
          <w:rFonts w:hint="eastAsia" w:ascii="仿宋_GB2312" w:hAnsi="宋体" w:eastAsia="仿宋_GB2312" w:cs="Arial"/>
          <w:b/>
          <w:color w:val="auto"/>
          <w:sz w:val="32"/>
          <w:szCs w:val="32"/>
          <w:lang w:val="en-US" w:eastAsia="zh-CN"/>
        </w:rPr>
        <w:t>2024</w:t>
      </w:r>
      <w:r>
        <w:rPr>
          <w:rFonts w:hint="eastAsia" w:ascii="仿宋_GB2312" w:hAnsi="宋体" w:eastAsia="仿宋_GB2312" w:cs="Arial"/>
          <w:b/>
          <w:color w:val="auto"/>
          <w:sz w:val="32"/>
          <w:szCs w:val="32"/>
        </w:rPr>
        <w:t>年</w:t>
      </w:r>
      <w:r>
        <w:rPr>
          <w:rFonts w:hint="eastAsia" w:ascii="仿宋_GB2312" w:hAnsi="宋体" w:eastAsia="仿宋_GB2312" w:cs="Arial"/>
          <w:b/>
          <w:color w:val="auto"/>
          <w:sz w:val="32"/>
          <w:szCs w:val="32"/>
          <w:lang w:val="en-US" w:eastAsia="zh-CN"/>
        </w:rPr>
        <w:t>1</w:t>
      </w:r>
      <w:r>
        <w:rPr>
          <w:rFonts w:hint="eastAsia" w:ascii="仿宋_GB2312" w:hAnsi="宋体" w:eastAsia="仿宋_GB2312" w:cs="Arial"/>
          <w:b/>
          <w:color w:val="auto"/>
          <w:sz w:val="32"/>
          <w:szCs w:val="32"/>
        </w:rPr>
        <w:t>月-</w:t>
      </w:r>
      <w:r>
        <w:rPr>
          <w:rFonts w:hint="eastAsia" w:ascii="仿宋_GB2312" w:hAnsi="宋体" w:eastAsia="仿宋_GB2312" w:cs="Arial"/>
          <w:b/>
          <w:color w:val="auto"/>
          <w:sz w:val="32"/>
          <w:szCs w:val="32"/>
          <w:lang w:val="en-US" w:eastAsia="zh-CN"/>
        </w:rPr>
        <w:t>2024</w:t>
      </w:r>
      <w:r>
        <w:rPr>
          <w:rFonts w:hint="eastAsia" w:ascii="仿宋_GB2312" w:hAnsi="宋体" w:eastAsia="仿宋_GB2312" w:cs="Arial"/>
          <w:b/>
          <w:color w:val="auto"/>
          <w:sz w:val="32"/>
          <w:szCs w:val="32"/>
        </w:rPr>
        <w:t>年</w:t>
      </w:r>
      <w:r>
        <w:rPr>
          <w:rFonts w:hint="eastAsia" w:ascii="仿宋_GB2312" w:hAnsi="宋体" w:eastAsia="仿宋_GB2312" w:cs="Arial"/>
          <w:b/>
          <w:color w:val="auto"/>
          <w:sz w:val="32"/>
          <w:szCs w:val="32"/>
          <w:lang w:val="en-US" w:eastAsia="zh-CN"/>
        </w:rPr>
        <w:t>12</w:t>
      </w:r>
      <w:r>
        <w:rPr>
          <w:rFonts w:hint="eastAsia" w:ascii="仿宋_GB2312" w:hAnsi="宋体" w:eastAsia="仿宋_GB2312" w:cs="Arial"/>
          <w:b/>
          <w:color w:val="auto"/>
          <w:sz w:val="32"/>
          <w:szCs w:val="32"/>
        </w:rPr>
        <w:t>月</w:t>
      </w:r>
    </w:p>
    <w:p w14:paraId="2E8414D7">
      <w:pPr>
        <w:snapToGrid w:val="0"/>
        <w:spacing w:after="312" w:afterLines="100" w:line="300" w:lineRule="auto"/>
        <w:jc w:val="center"/>
        <w:rPr>
          <w:rFonts w:hint="eastAsia" w:ascii="仿宋_GB2312" w:hAnsi="宋体" w:eastAsia="仿宋_GB2312" w:cs="Arial"/>
          <w:color w:val="auto"/>
          <w:sz w:val="28"/>
          <w:szCs w:val="28"/>
        </w:rPr>
      </w:pPr>
      <w:r>
        <w:rPr>
          <w:rFonts w:hint="eastAsia" w:ascii="仿宋_GB2312" w:hAnsi="宋体" w:eastAsia="仿宋_GB2312" w:cs="Arial"/>
          <w:color w:val="auto"/>
          <w:sz w:val="28"/>
          <w:szCs w:val="28"/>
        </w:rPr>
        <w:t>上海舜斯新材料科技有限公司</w:t>
      </w:r>
    </w:p>
    <w:p w14:paraId="65ADDD98">
      <w:pPr>
        <w:snapToGrid w:val="0"/>
        <w:spacing w:after="312" w:afterLines="100" w:line="300" w:lineRule="auto"/>
        <w:jc w:val="center"/>
        <w:rPr>
          <w:rFonts w:ascii="Times New Roman" w:hAnsi="Times New Roman"/>
          <w:color w:val="auto"/>
        </w:rPr>
      </w:pPr>
      <w:r>
        <w:rPr>
          <w:rFonts w:hint="eastAsia" w:ascii="Times New Roman" w:hAnsi="Times New Roman"/>
          <w:color w:val="auto"/>
          <w:lang w:val="en-US" w:eastAsia="zh-CN"/>
        </w:rPr>
        <w:t>2024年</w:t>
      </w:r>
    </w:p>
    <w:p w14:paraId="53FD1D56">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一、项目背景</w:t>
      </w:r>
    </w:p>
    <w:p w14:paraId="10798587">
      <w:pPr>
        <w:spacing w:line="360" w:lineRule="auto"/>
        <w:ind w:firstLine="440" w:firstLineChars="200"/>
        <w:rPr>
          <w:rFonts w:hint="eastAsia" w:ascii="Times New Roman" w:hAnsi="Times New Roman"/>
          <w:color w:val="auto"/>
          <w:sz w:val="22"/>
        </w:rPr>
      </w:pPr>
      <w:r>
        <w:rPr>
          <w:rFonts w:hint="eastAsia" w:ascii="Times New Roman" w:hAnsi="Times New Roman"/>
          <w:color w:val="auto"/>
          <w:sz w:val="22"/>
        </w:rPr>
        <w:t>随着制造业向高端化、智能化方向加速转型，铝制品因其轻质、高强、耐腐蚀等优异性能，在航空航天、汽车制造、电子设备等高端领域的应用日益广泛。表面处理作为提升铝制品耐腐蚀性、耐磨性及外观品质的关键工艺环节，其技术水平直接决定了产品的性能表现和市场竞争力。</w:t>
      </w:r>
    </w:p>
    <w:p w14:paraId="0CCAF50E">
      <w:pPr>
        <w:spacing w:line="360" w:lineRule="auto"/>
        <w:ind w:firstLine="440" w:firstLineChars="200"/>
        <w:rPr>
          <w:rFonts w:hint="eastAsia" w:ascii="Times New Roman" w:hAnsi="Times New Roman"/>
          <w:color w:val="auto"/>
          <w:sz w:val="22"/>
        </w:rPr>
      </w:pPr>
      <w:r>
        <w:rPr>
          <w:rFonts w:hint="eastAsia" w:ascii="Times New Roman" w:hAnsi="Times New Roman"/>
          <w:color w:val="auto"/>
          <w:sz w:val="22"/>
        </w:rPr>
        <w:t>然而，当前我国铝制品表面处理工艺仍面临诸多挑战：一是喷涂精度不足，传统设备高度依赖人工经验，导致涂层厚度不均，产品一致性差；二是工艺控制较为粗放，缺乏智能化调控手段，喷涂参数调整滞后，造成材料浪费率偏高；三是环保压力持续加剧，喷涂过程中挥发性有机物（VOCs）排放难以精准控制，企业环保合规成本不断上升。</w:t>
      </w:r>
    </w:p>
    <w:p w14:paraId="1458F6B0">
      <w:pPr>
        <w:spacing w:line="360" w:lineRule="auto"/>
        <w:ind w:firstLine="440" w:firstLineChars="200"/>
        <w:rPr>
          <w:rFonts w:hint="eastAsia" w:ascii="Times New Roman" w:hAnsi="Times New Roman"/>
          <w:color w:val="auto"/>
          <w:sz w:val="22"/>
        </w:rPr>
      </w:pPr>
      <w:r>
        <w:rPr>
          <w:rFonts w:hint="eastAsia" w:ascii="Times New Roman" w:hAnsi="Times New Roman"/>
          <w:color w:val="auto"/>
          <w:sz w:val="22"/>
        </w:rPr>
        <w:t>相比之下，发达国家已在铝材表面喷涂领域实现较高水平的智能化与自动化应用。德国广泛采用“机器人+视觉识别”系统，实现喷涂路径与工件三维形貌的动态匹配，显著提升涂层均匀性与覆盖精度；日本依托高精度传感器与闭环反馈控制系统，实时优化喷涂参数，材料利用率提升20%以上；美国部分领先企业已引入人工智能算法，对喷涂工艺进行预测性建模，有效减少试错成本，大幅提高生产效率与良品率。</w:t>
      </w:r>
    </w:p>
    <w:p w14:paraId="688A73DB">
      <w:pPr>
        <w:spacing w:line="360" w:lineRule="auto"/>
        <w:ind w:firstLine="440" w:firstLineChars="200"/>
        <w:rPr>
          <w:rFonts w:ascii="Times New Roman" w:hAnsi="Times New Roman"/>
          <w:color w:val="auto"/>
          <w:sz w:val="22"/>
          <w:szCs w:val="22"/>
        </w:rPr>
      </w:pPr>
      <w:r>
        <w:rPr>
          <w:rFonts w:hint="eastAsia" w:ascii="Times New Roman" w:hAnsi="Times New Roman"/>
          <w:color w:val="auto"/>
          <w:sz w:val="22"/>
        </w:rPr>
        <w:t>综上所述，</w:t>
      </w:r>
      <w:bookmarkStart w:id="0" w:name="_GoBack"/>
      <w:r>
        <w:rPr>
          <w:rFonts w:hint="eastAsia" w:ascii="Times New Roman" w:hAnsi="Times New Roman"/>
          <w:color w:val="auto"/>
          <w:sz w:val="22"/>
        </w:rPr>
        <w:t>推动铝制品表面处理技术向智能化、绿色化、精细化方向升级，已成为我国制造业高质量发展的迫切需求与关键突破口</w:t>
      </w:r>
      <w:r>
        <w:rPr>
          <w:rFonts w:hint="eastAsia" w:ascii="Times New Roman" w:hAnsi="Times New Roman"/>
          <w:color w:val="auto"/>
          <w:sz w:val="22"/>
          <w:lang w:eastAsia="zh-CN"/>
        </w:rPr>
        <w:t>。</w:t>
      </w:r>
      <w:r>
        <w:rPr>
          <w:rFonts w:ascii="Times New Roman" w:hAnsi="Times New Roman"/>
          <w:color w:val="auto"/>
          <w:sz w:val="22"/>
        </w:rPr>
        <w:t>国内制造业转型升级对高精度、低能耗、环保型喷涂工艺提出更高要求。本项目基于现有铝材深加工技术基础，结合智能控制手段，旨在提升喷涂过程的可控性和一致性，满足高端制造对铝制品表面质量的严苛标准，推动行业向绿色智能制造方向发展。</w:t>
      </w:r>
      <w:bookmarkEnd w:id="0"/>
    </w:p>
    <w:p w14:paraId="1E785E33">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二、项目目标</w:t>
      </w:r>
    </w:p>
    <w:p w14:paraId="35D5DC60">
      <w:pPr>
        <w:spacing w:line="360" w:lineRule="auto"/>
        <w:ind w:left="420" w:leftChars="200"/>
        <w:rPr>
          <w:rFonts w:ascii="Times New Roman" w:hAnsi="Times New Roman" w:cs="Segoe UI"/>
          <w:color w:val="auto"/>
          <w:sz w:val="22"/>
          <w:szCs w:val="22"/>
        </w:rPr>
      </w:pPr>
      <w:r>
        <w:rPr>
          <w:rFonts w:ascii="Times New Roman" w:hAnsi="Times New Roman"/>
          <w:color w:val="auto"/>
          <w:sz w:val="22"/>
        </w:rPr>
        <w:t>本项目聚焦铝制品表面处理工艺，重点研发适用于高精准智能喷涂的技术体系，实现以下技术目标：</w:t>
      </w:r>
    </w:p>
    <w:p w14:paraId="5E89D89F">
      <w:pPr>
        <w:pStyle w:val="9"/>
        <w:widowControl/>
        <w:numPr>
          <w:ilvl w:val="0"/>
          <w:numId w:val="1"/>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铝材表面智能清洗与钝化技术</w:t>
      </w:r>
      <w:r>
        <w:rPr>
          <w:rFonts w:hint="eastAsia" w:ascii="Times New Roman" w:hAnsi="Times New Roman"/>
          <w:color w:val="auto"/>
          <w:sz w:val="22"/>
          <w:lang w:eastAsia="zh-CN"/>
        </w:rPr>
        <w:t>；</w:t>
      </w:r>
    </w:p>
    <w:p w14:paraId="7D27B7DE">
      <w:pPr>
        <w:pStyle w:val="9"/>
        <w:widowControl/>
        <w:numPr>
          <w:ilvl w:val="0"/>
          <w:numId w:val="1"/>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喷涂参数动态调控技术</w:t>
      </w:r>
      <w:r>
        <w:rPr>
          <w:rFonts w:hint="eastAsia" w:ascii="Times New Roman" w:hAnsi="Times New Roman"/>
          <w:color w:val="auto"/>
          <w:sz w:val="22"/>
          <w:lang w:eastAsia="zh-CN"/>
        </w:rPr>
        <w:t>；</w:t>
      </w:r>
    </w:p>
    <w:p w14:paraId="4B84279E">
      <w:pPr>
        <w:pStyle w:val="9"/>
        <w:widowControl/>
        <w:numPr>
          <w:ilvl w:val="0"/>
          <w:numId w:val="1"/>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温度调试与能耗优化技术</w:t>
      </w:r>
      <w:r>
        <w:rPr>
          <w:rFonts w:hint="eastAsia" w:ascii="Times New Roman" w:hAnsi="Times New Roman"/>
          <w:color w:val="auto"/>
          <w:sz w:val="22"/>
          <w:lang w:eastAsia="zh-CN"/>
        </w:rPr>
        <w:t>；</w:t>
      </w:r>
    </w:p>
    <w:p w14:paraId="7AF8BF95">
      <w:pPr>
        <w:numPr>
          <w:ilvl w:val="0"/>
          <w:numId w:val="1"/>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智能喷涂控制系统集成</w:t>
      </w:r>
      <w:r>
        <w:rPr>
          <w:rFonts w:hint="eastAsia" w:ascii="Times New Roman" w:hAnsi="Times New Roman"/>
          <w:color w:val="auto"/>
          <w:sz w:val="22"/>
          <w:lang w:eastAsia="zh-CN"/>
        </w:rPr>
        <w:t>；</w:t>
      </w:r>
    </w:p>
    <w:p w14:paraId="2E22AF16">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三、预期效益与挑战</w:t>
      </w:r>
    </w:p>
    <w:p w14:paraId="16A85327">
      <w:pPr>
        <w:spacing w:line="360" w:lineRule="auto"/>
        <w:rPr>
          <w:rFonts w:ascii="Times New Roman" w:hAnsi="Times New Roman"/>
          <w:color w:val="auto"/>
          <w:sz w:val="22"/>
          <w:szCs w:val="22"/>
        </w:rPr>
      </w:pPr>
      <w:r>
        <w:rPr>
          <w:rFonts w:hint="eastAsia" w:ascii="Times New Roman" w:hAnsi="Times New Roman"/>
          <w:color w:val="auto"/>
          <w:sz w:val="22"/>
          <w:szCs w:val="22"/>
        </w:rPr>
        <w:t>（一）预期效益</w:t>
      </w:r>
    </w:p>
    <w:p w14:paraId="63894757">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经济效益：单位产品喷涂材料消耗量下降，设备运行效率提升，推动产品附加值增长。</w:t>
      </w:r>
    </w:p>
    <w:p w14:paraId="7191342B">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社会效益：减少喷涂过程中的有害物质排放，助力绿色工厂建设，符合国家环保政策导向。</w:t>
      </w:r>
    </w:p>
    <w:p w14:paraId="7DB614C8">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技术效益：提升铝制品表面处理的工艺稳定性，增强产品在高端市场的适配能力。</w:t>
      </w:r>
    </w:p>
    <w:p w14:paraId="2DAE8E01">
      <w:pPr>
        <w:spacing w:line="360" w:lineRule="auto"/>
        <w:rPr>
          <w:rFonts w:ascii="Times New Roman" w:hAnsi="Times New Roman" w:eastAsia="Segoe UI" w:cs="Segoe UI"/>
          <w:color w:val="auto"/>
          <w:sz w:val="22"/>
          <w:szCs w:val="22"/>
        </w:rPr>
      </w:pPr>
      <w:r>
        <w:rPr>
          <w:rFonts w:hint="eastAsia" w:ascii="Times New Roman" w:hAnsi="Times New Roman" w:eastAsia="Segoe UI" w:cs="Segoe UI"/>
          <w:color w:val="auto"/>
          <w:sz w:val="22"/>
          <w:szCs w:val="22"/>
        </w:rPr>
        <w:t>（二）面临的挑战</w:t>
      </w:r>
    </w:p>
    <w:p w14:paraId="5CA8BC0E">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参数优化难度：喷涂过程涉及多变量协同控制，算法建模与系统集成难度较高；</w:t>
      </w:r>
    </w:p>
    <w:p w14:paraId="2B93EA1D">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设备适配问题：现有喷涂设备与智能控制系统兼容性需进一步验证；</w:t>
      </w:r>
    </w:p>
    <w:p w14:paraId="3371A8C1">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技术推广阻力：中小企业对智能化改造的投入意愿和接受程度存在差异；</w:t>
      </w:r>
    </w:p>
    <w:p w14:paraId="777AAD6D">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项目预算：根据初步测算，项目总预算预计为</w:t>
      </w:r>
      <w:r>
        <w:rPr>
          <w:rFonts w:hint="eastAsia" w:ascii="Times New Roman" w:hAnsi="Times New Roman"/>
          <w:color w:val="auto"/>
          <w:sz w:val="22"/>
          <w:lang w:val="en-US" w:eastAsia="zh-CN"/>
        </w:rPr>
        <w:t>260</w:t>
      </w:r>
      <w:r>
        <w:rPr>
          <w:rFonts w:ascii="Times New Roman" w:hAnsi="Times New Roman"/>
          <w:color w:val="auto"/>
          <w:sz w:val="22"/>
        </w:rPr>
        <w:t>万元左右（具体金额需进一步细化）。</w:t>
      </w:r>
    </w:p>
    <w:p w14:paraId="4F3A0929">
      <w:pPr>
        <w:spacing w:line="360" w:lineRule="auto"/>
        <w:jc w:val="right"/>
        <w:rPr>
          <w:rFonts w:ascii="Times New Roman" w:hAnsi="Times New Roman"/>
          <w:color w:val="auto"/>
          <w:sz w:val="22"/>
          <w:szCs w:val="22"/>
        </w:rPr>
      </w:pPr>
    </w:p>
    <w:p w14:paraId="06F3A512">
      <w:pPr>
        <w:spacing w:line="360" w:lineRule="auto"/>
        <w:jc w:val="right"/>
        <w:rPr>
          <w:rFonts w:hint="eastAsia" w:ascii="Times New Roman" w:hAnsi="Times New Roman" w:eastAsia="宋体"/>
          <w:color w:val="auto"/>
          <w:sz w:val="22"/>
          <w:szCs w:val="22"/>
          <w:lang w:eastAsia="zh-CN"/>
        </w:rPr>
      </w:pPr>
      <w:r>
        <w:rPr>
          <w:rFonts w:hint="eastAsia" w:ascii="Times New Roman" w:hAnsi="Times New Roman"/>
          <w:color w:val="auto"/>
          <w:sz w:val="22"/>
          <w:szCs w:val="22"/>
          <w:lang w:eastAsia="zh-CN"/>
        </w:rPr>
        <w:t>上海舜斯新材料科技有限公司</w:t>
      </w:r>
    </w:p>
    <w:p w14:paraId="3A3DDD16">
      <w:pPr>
        <w:spacing w:line="360" w:lineRule="auto"/>
        <w:jc w:val="right"/>
        <w:rPr>
          <w:rFonts w:hint="eastAsia" w:ascii="Times New Roman" w:hAnsi="Times New Roman"/>
          <w:color w:val="auto"/>
          <w:sz w:val="22"/>
          <w:szCs w:val="22"/>
        </w:rPr>
      </w:pPr>
      <w:r>
        <w:rPr>
          <w:rFonts w:hint="eastAsia" w:ascii="Times New Roman" w:hAnsi="Times New Roman"/>
          <w:color w:val="auto"/>
          <w:sz w:val="22"/>
          <w:szCs w:val="22"/>
        </w:rPr>
        <w:t>2024年1月4日</w:t>
      </w:r>
    </w:p>
    <w:p w14:paraId="23007AE4">
      <w:pPr>
        <w:pStyle w:val="3"/>
        <w:jc w:val="center"/>
        <w:rPr>
          <w:rFonts w:ascii="Times New Roman" w:hAnsi="Times New Roman"/>
          <w:color w:val="auto"/>
          <w:sz w:val="36"/>
          <w:szCs w:val="28"/>
        </w:rPr>
      </w:pPr>
      <w:r>
        <w:rPr>
          <w:rFonts w:hint="eastAsia" w:ascii="Times New Roman" w:hAnsi="Times New Roman"/>
          <w:color w:val="auto"/>
          <w:sz w:val="22"/>
          <w:szCs w:val="22"/>
        </w:rPr>
        <w:br w:type="page"/>
      </w:r>
      <w:r>
        <w:rPr>
          <w:rFonts w:hint="eastAsia" w:ascii="Times New Roman" w:hAnsi="Times New Roman"/>
          <w:color w:val="auto"/>
          <w:sz w:val="36"/>
          <w:szCs w:val="28"/>
        </w:rPr>
        <w:t>项目立项通知</w:t>
      </w:r>
    </w:p>
    <w:p w14:paraId="35C7FFA1">
      <w:pPr>
        <w:spacing w:line="360" w:lineRule="auto"/>
        <w:rPr>
          <w:rFonts w:ascii="Times New Roman" w:hAnsi="Times New Roman"/>
          <w:color w:val="auto"/>
          <w:sz w:val="22"/>
          <w:szCs w:val="28"/>
        </w:rPr>
      </w:pPr>
      <w:r>
        <w:rPr>
          <w:rFonts w:hint="eastAsia" w:ascii="Times New Roman" w:hAnsi="Times New Roman"/>
          <w:color w:val="auto"/>
          <w:sz w:val="22"/>
          <w:szCs w:val="28"/>
        </w:rPr>
        <w:t>各部门：</w:t>
      </w:r>
    </w:p>
    <w:p w14:paraId="77F45158">
      <w:pPr>
        <w:spacing w:line="360" w:lineRule="auto"/>
        <w:ind w:firstLine="440" w:firstLineChars="200"/>
        <w:rPr>
          <w:rFonts w:ascii="Times New Roman" w:hAnsi="Times New Roman"/>
          <w:color w:val="auto"/>
          <w:sz w:val="22"/>
          <w:szCs w:val="28"/>
        </w:rPr>
      </w:pPr>
      <w:r>
        <w:rPr>
          <w:rFonts w:ascii="Times New Roman" w:hAnsi="Times New Roman"/>
          <w:color w:val="auto"/>
          <w:sz w:val="22"/>
        </w:rPr>
        <w:t>随着制造业智能化水平提升，传统铝制品表面处理工艺存在精度不高、自动化程度低、能耗较高等问题，已难以满足下游行业对产品表面质量日益提高的要求。为适应市场对高精度、高效率喷涂处理技术的需求，我司决定立项研发“适用于高精准智能喷涂的铝制品表面处理技术研发”项目。请项目负责人及团队成员严格按照项目计划执行，确保项目按时、按质、按量完成。同时，公司各相关部门应给予全力支持和配合，共同推动项目的顺利实施。</w:t>
      </w:r>
    </w:p>
    <w:p w14:paraId="0819AF2A">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一、项目信息</w:t>
      </w:r>
    </w:p>
    <w:p w14:paraId="6C926FF6">
      <w:pPr>
        <w:spacing w:line="360" w:lineRule="auto"/>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rPr>
        <w:t>立项编号：</w:t>
      </w:r>
      <w:r>
        <w:rPr>
          <w:rFonts w:hint="eastAsia" w:ascii="Times New Roman" w:hAnsi="Times New Roman"/>
          <w:color w:val="auto"/>
          <w:sz w:val="22"/>
          <w:szCs w:val="28"/>
          <w:lang w:val="en-US" w:eastAsia="zh-CN"/>
        </w:rPr>
        <w:t>RD06</w:t>
      </w:r>
    </w:p>
    <w:p w14:paraId="619387F6">
      <w:pPr>
        <w:spacing w:line="360" w:lineRule="auto"/>
        <w:rPr>
          <w:rFonts w:ascii="Times New Roman" w:hAnsi="Times New Roman"/>
          <w:color w:val="auto"/>
          <w:sz w:val="22"/>
          <w:szCs w:val="28"/>
        </w:rPr>
      </w:pPr>
      <w:r>
        <w:rPr>
          <w:rFonts w:hint="eastAsia" w:ascii="Times New Roman" w:hAnsi="Times New Roman"/>
          <w:color w:val="auto"/>
          <w:sz w:val="22"/>
          <w:szCs w:val="28"/>
        </w:rPr>
        <w:t>发文日期：2024年1月5日</w:t>
      </w:r>
    </w:p>
    <w:p w14:paraId="4D486910">
      <w:pPr>
        <w:spacing w:line="360" w:lineRule="auto"/>
        <w:rPr>
          <w:rFonts w:ascii="Times New Roman" w:hAnsi="Times New Roman"/>
          <w:color w:val="auto"/>
          <w:sz w:val="22"/>
          <w:szCs w:val="28"/>
        </w:rPr>
      </w:pPr>
      <w:r>
        <w:rPr>
          <w:rFonts w:hint="eastAsia" w:ascii="Times New Roman" w:hAnsi="Times New Roman"/>
          <w:color w:val="auto"/>
          <w:sz w:val="22"/>
          <w:szCs w:val="28"/>
        </w:rPr>
        <w:t>项目名称：适用于高精准智能喷涂的铝制品表面处理技术研发</w:t>
      </w:r>
    </w:p>
    <w:p w14:paraId="6DCB44CE">
      <w:pPr>
        <w:spacing w:line="360" w:lineRule="auto"/>
        <w:rPr>
          <w:rFonts w:hint="eastAsia" w:ascii="Times New Roman" w:hAnsi="Times New Roman" w:eastAsia="宋体"/>
          <w:color w:val="auto"/>
          <w:sz w:val="22"/>
          <w:szCs w:val="28"/>
          <w:lang w:eastAsia="zh-CN"/>
        </w:rPr>
      </w:pPr>
      <w:r>
        <w:rPr>
          <w:rFonts w:hint="eastAsia" w:ascii="Times New Roman" w:hAnsi="Times New Roman"/>
          <w:color w:val="auto"/>
          <w:sz w:val="22"/>
          <w:szCs w:val="28"/>
        </w:rPr>
        <w:t>项目负责人：</w:t>
      </w:r>
      <w:r>
        <w:rPr>
          <w:rFonts w:hint="eastAsia" w:ascii="Times New Roman" w:hAnsi="Times New Roman"/>
          <w:color w:val="auto"/>
          <w:sz w:val="22"/>
          <w:szCs w:val="28"/>
          <w:lang w:eastAsia="zh-CN"/>
        </w:rPr>
        <w:t>倪进</w:t>
      </w:r>
    </w:p>
    <w:p w14:paraId="3FD0D05C">
      <w:pPr>
        <w:spacing w:line="360" w:lineRule="auto"/>
        <w:rPr>
          <w:rFonts w:ascii="Times New Roman" w:hAnsi="Times New Roman"/>
          <w:color w:val="auto"/>
          <w:sz w:val="22"/>
          <w:szCs w:val="28"/>
        </w:rPr>
      </w:pPr>
      <w:r>
        <w:rPr>
          <w:rFonts w:hint="eastAsia" w:ascii="Times New Roman" w:hAnsi="Times New Roman"/>
          <w:color w:val="auto"/>
          <w:sz w:val="22"/>
          <w:szCs w:val="28"/>
        </w:rPr>
        <w:t>项目周期：2024年01月04日至2024年12月31日</w:t>
      </w:r>
    </w:p>
    <w:p w14:paraId="0CBDBE1B">
      <w:pPr>
        <w:spacing w:line="360" w:lineRule="auto"/>
        <w:rPr>
          <w:rFonts w:hint="eastAsia" w:ascii="Times New Roman" w:hAnsi="Times New Roman"/>
          <w:color w:val="auto"/>
          <w:sz w:val="22"/>
          <w:lang w:val="en-US" w:eastAsia="zh-CN"/>
        </w:rPr>
      </w:pPr>
      <w:r>
        <w:rPr>
          <w:rFonts w:hint="eastAsia" w:ascii="Times New Roman" w:hAnsi="Times New Roman"/>
          <w:color w:val="auto"/>
          <w:sz w:val="22"/>
        </w:rPr>
        <w:t>项目团队：</w:t>
      </w:r>
      <w:r>
        <w:rPr>
          <w:rFonts w:hint="eastAsia" w:ascii="Times New Roman" w:hAnsi="Times New Roman"/>
          <w:color w:val="auto"/>
          <w:sz w:val="22"/>
          <w:lang w:eastAsia="zh-CN"/>
        </w:rPr>
        <w:t>倪进、</w:t>
      </w:r>
      <w:r>
        <w:rPr>
          <w:rFonts w:hint="eastAsia" w:ascii="Times New Roman" w:hAnsi="Times New Roman"/>
          <w:color w:val="auto"/>
          <w:sz w:val="22"/>
          <w:lang w:val="en-US" w:eastAsia="zh-CN"/>
        </w:rPr>
        <w:t>严天元、夏冬飞、杜雪良、丁小花、聂泽慧、龚久林、何琳琳、芦银行、胡代红、姜华、刘庆磊、孟庭苇、路小珠、孙海梅、王丽霞、王平、倪先根、王志远、吴红艳、薛进刚、杨怀亮、张国强、张贤宝、杨通友、邸允浩、</w:t>
      </w:r>
      <w:r>
        <w:rPr>
          <w:rFonts w:hint="eastAsia"/>
          <w:color w:val="auto"/>
          <w:vertAlign w:val="baseline"/>
          <w:lang w:val="en-US" w:eastAsia="zh-CN"/>
        </w:rPr>
        <w:t>张伟、程志、沈秩君、秦洪鸣、秦涛、李景田、董小东、王雪刚</w:t>
      </w:r>
    </w:p>
    <w:p w14:paraId="00E0C84F">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二、工作要求</w:t>
      </w:r>
    </w:p>
    <w:p w14:paraId="5A34CB9B">
      <w:pPr>
        <w:spacing w:line="360" w:lineRule="auto"/>
        <w:ind w:firstLine="440" w:firstLineChars="200"/>
        <w:rPr>
          <w:rFonts w:ascii="Times New Roman" w:hAnsi="Times New Roman"/>
          <w:color w:val="auto"/>
          <w:sz w:val="22"/>
          <w:szCs w:val="28"/>
        </w:rPr>
      </w:pPr>
      <w:r>
        <w:rPr>
          <w:rFonts w:ascii="Times New Roman" w:hAnsi="Times New Roman"/>
          <w:color w:val="auto"/>
          <w:sz w:val="22"/>
        </w:rPr>
        <w:t>项目团队成员需严格按照项目进度安排开展工作，确保各阶段任务按时完成。</w:t>
      </w:r>
    </w:p>
    <w:p w14:paraId="39A4905B">
      <w:pPr>
        <w:spacing w:line="360" w:lineRule="auto"/>
        <w:ind w:firstLine="440" w:firstLineChars="200"/>
        <w:rPr>
          <w:rFonts w:ascii="Times New Roman" w:hAnsi="Times New Roman"/>
          <w:color w:val="auto"/>
          <w:sz w:val="22"/>
          <w:szCs w:val="28"/>
        </w:rPr>
      </w:pPr>
      <w:r>
        <w:rPr>
          <w:rFonts w:ascii="Times New Roman" w:hAnsi="Times New Roman"/>
          <w:color w:val="auto"/>
          <w:sz w:val="22"/>
        </w:rPr>
        <w:t>项目负责人需定期向相关部门及领导汇报项目进展情况，及时协调解决项目中的问题。</w:t>
      </w:r>
    </w:p>
    <w:p w14:paraId="0C629108">
      <w:pPr>
        <w:spacing w:line="360" w:lineRule="auto"/>
        <w:ind w:firstLine="440" w:firstLineChars="200"/>
        <w:rPr>
          <w:rFonts w:ascii="Times New Roman" w:hAnsi="Times New Roman"/>
          <w:color w:val="auto"/>
          <w:sz w:val="22"/>
          <w:szCs w:val="28"/>
        </w:rPr>
      </w:pPr>
      <w:r>
        <w:rPr>
          <w:rFonts w:ascii="Times New Roman" w:hAnsi="Times New Roman"/>
          <w:color w:val="auto"/>
          <w:sz w:val="22"/>
        </w:rPr>
        <w:t>相关部门需积极配合项目团队的工作，提供必要的支持和协助。</w:t>
      </w:r>
    </w:p>
    <w:p w14:paraId="774E6013">
      <w:pPr>
        <w:spacing w:line="360" w:lineRule="auto"/>
        <w:ind w:firstLine="440" w:firstLineChars="200"/>
        <w:rPr>
          <w:rFonts w:ascii="Times New Roman" w:hAnsi="Times New Roman"/>
          <w:color w:val="auto"/>
          <w:sz w:val="22"/>
          <w:szCs w:val="28"/>
        </w:rPr>
      </w:pPr>
      <w:r>
        <w:rPr>
          <w:rFonts w:hint="eastAsia" w:ascii="Times New Roman" w:hAnsi="Times New Roman"/>
          <w:color w:val="auto"/>
          <w:sz w:val="22"/>
          <w:szCs w:val="28"/>
        </w:rPr>
        <w:t>请项目团队成员及相关部门认真阅读以上内容，并按照要求开展工作。让我们共同努力，确保项目的顺利实施和圆满成功！</w:t>
      </w:r>
    </w:p>
    <w:p w14:paraId="7F456D33">
      <w:pPr>
        <w:spacing w:line="360" w:lineRule="auto"/>
        <w:rPr>
          <w:rFonts w:ascii="Times New Roman" w:hAnsi="Times New Roman"/>
          <w:color w:val="auto"/>
          <w:sz w:val="22"/>
          <w:szCs w:val="28"/>
        </w:rPr>
      </w:pPr>
    </w:p>
    <w:p w14:paraId="0F8CCD18">
      <w:pPr>
        <w:spacing w:line="360" w:lineRule="auto"/>
        <w:jc w:val="right"/>
        <w:rPr>
          <w:rFonts w:hint="eastAsia" w:ascii="Times New Roman" w:hAnsi="Times New Roman" w:eastAsia="宋体"/>
          <w:color w:val="auto"/>
          <w:sz w:val="22"/>
          <w:szCs w:val="28"/>
          <w:lang w:eastAsia="zh-CN"/>
        </w:rPr>
      </w:pPr>
      <w:r>
        <w:rPr>
          <w:rFonts w:hint="eastAsia" w:ascii="Times New Roman" w:hAnsi="Times New Roman" w:cs="宋体"/>
          <w:color w:val="auto"/>
          <w:sz w:val="24"/>
          <w:lang w:eastAsia="zh-CN"/>
        </w:rPr>
        <w:t>上海舜斯新材料科技有限公司</w:t>
      </w:r>
    </w:p>
    <w:p w14:paraId="4C88A75A">
      <w:pPr>
        <w:spacing w:line="360" w:lineRule="auto"/>
        <w:jc w:val="right"/>
        <w:rPr>
          <w:rFonts w:hint="eastAsia" w:ascii="Times New Roman" w:hAnsi="Times New Roman"/>
          <w:color w:val="auto"/>
          <w:sz w:val="22"/>
          <w:szCs w:val="28"/>
        </w:rPr>
      </w:pPr>
      <w:r>
        <w:rPr>
          <w:rFonts w:hint="eastAsia" w:ascii="Times New Roman" w:hAnsi="Times New Roman"/>
          <w:color w:val="auto"/>
          <w:sz w:val="22"/>
          <w:szCs w:val="28"/>
        </w:rPr>
        <w:t>2024年1月5日</w:t>
      </w:r>
    </w:p>
    <w:p w14:paraId="1ADFD1C8">
      <w:pPr>
        <w:pStyle w:val="3"/>
        <w:spacing w:line="360" w:lineRule="auto"/>
        <w:jc w:val="center"/>
        <w:rPr>
          <w:rFonts w:ascii="Times New Roman" w:hAnsi="Times New Roman"/>
          <w:color w:val="auto"/>
          <w:sz w:val="36"/>
          <w:szCs w:val="28"/>
        </w:rPr>
      </w:pPr>
      <w:r>
        <w:rPr>
          <w:rFonts w:hint="eastAsia" w:ascii="Times New Roman" w:hAnsi="Times New Roman"/>
          <w:color w:val="auto"/>
          <w:sz w:val="22"/>
          <w:szCs w:val="28"/>
        </w:rPr>
        <w:br w:type="page"/>
      </w:r>
      <w:r>
        <w:rPr>
          <w:rFonts w:hint="eastAsia" w:ascii="Times New Roman" w:hAnsi="Times New Roman"/>
          <w:color w:val="auto"/>
          <w:sz w:val="36"/>
          <w:szCs w:val="28"/>
        </w:rPr>
        <w:t>项目验收报告</w:t>
      </w:r>
    </w:p>
    <w:p w14:paraId="2B4DB2F7">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一、项目概况</w:t>
      </w:r>
    </w:p>
    <w:p w14:paraId="6F8DFB63">
      <w:pPr>
        <w:spacing w:line="360" w:lineRule="auto"/>
        <w:ind w:firstLine="440" w:firstLineChars="200"/>
        <w:rPr>
          <w:rFonts w:ascii="Times New Roman" w:hAnsi="Times New Roman"/>
          <w:color w:val="auto"/>
          <w:sz w:val="22"/>
          <w:szCs w:val="28"/>
        </w:rPr>
      </w:pPr>
      <w:r>
        <w:rPr>
          <w:rFonts w:ascii="Times New Roman" w:hAnsi="Times New Roman"/>
          <w:color w:val="auto"/>
          <w:sz w:val="22"/>
        </w:rPr>
        <w:t>“适用于高精准智能喷涂的铝制品表面处理技术研发”项目围绕铝制品在喷涂前的表面处理工艺，结合智能制造与新材料加工技术，开展适用于高精度喷涂的铝材表面清洁与涂层附着性能优化技术的研发。项目重点解决了传统喷涂工艺中表面处理不均匀、涂层附着力不稳定、工艺参数依赖人工等问题。在研发过程中，项目团队申请并取得了包括“铝卷智能喷涂控制系统2023SR0895277”、“有色金属冶炼温度调试系统2024SR1349390”等软件著作权，支撑了项目核心技术的落地与应用。</w:t>
      </w:r>
    </w:p>
    <w:p w14:paraId="1C57CB74">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二、项目目标与完成情况</w:t>
      </w:r>
    </w:p>
    <w:p w14:paraId="4FECB136">
      <w:pPr>
        <w:spacing w:line="360" w:lineRule="auto"/>
        <w:ind w:firstLine="440" w:firstLineChars="200"/>
        <w:rPr>
          <w:rFonts w:ascii="Times New Roman" w:hAnsi="Times New Roman"/>
          <w:color w:val="auto"/>
          <w:sz w:val="22"/>
          <w:szCs w:val="28"/>
        </w:rPr>
      </w:pPr>
      <w:r>
        <w:rPr>
          <w:rFonts w:ascii="Times New Roman" w:hAnsi="Times New Roman"/>
          <w:color w:val="auto"/>
          <w:sz w:val="22"/>
        </w:rPr>
        <w:t>本项目旨在提升铝制品在智能喷涂过程中的表面处理精度与一致性，实现喷涂工艺参数的自动调节与过程控制。通过优化铝材表面清洗、钝化、烘干等关键工序，提升涂层附着性能，降低喷涂缺陷率。项目完成了对喷涂控制系统的软件开发与集成，实现了对喷涂厚度、速度、温度等关键参数的实时监测与反馈调整。项目研发的铝卷智能喷涂控制系统已在实验环境中完成测试，满足了项目初期设定的技术目标。</w:t>
      </w:r>
    </w:p>
    <w:p w14:paraId="0517B5BD">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三、项目核心技术点与创新点</w:t>
      </w:r>
    </w:p>
    <w:p w14:paraId="429341E8">
      <w:pPr>
        <w:spacing w:line="360" w:lineRule="auto"/>
        <w:ind w:firstLine="442" w:firstLineChars="200"/>
        <w:rPr>
          <w:rFonts w:ascii="Times New Roman" w:hAnsi="Times New Roman"/>
          <w:b/>
          <w:bCs/>
          <w:color w:val="auto"/>
          <w:sz w:val="22"/>
          <w:szCs w:val="28"/>
        </w:rPr>
      </w:pPr>
      <w:r>
        <w:rPr>
          <w:rFonts w:ascii="Times New Roman" w:hAnsi="Times New Roman"/>
          <w:b/>
          <w:bCs/>
          <w:color w:val="auto"/>
          <w:sz w:val="22"/>
          <w:szCs w:val="28"/>
        </w:rPr>
        <w:t>1. 核心技术点</w:t>
      </w:r>
    </w:p>
    <w:p w14:paraId="4799F441">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铝材表面智能清洗与钝化技术：通过自动化清洗系统结合化学处理工艺，实现对铝材表面油污、氧化层的高效去除，并在表面形成均匀的钝化膜，为后续喷涂提供良好的附着基础。</w:t>
      </w:r>
    </w:p>
    <w:p w14:paraId="0B81A11E">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喷涂参数动态调控技术：基于传感器采集的环境温湿度、铝材厚度及运行速度等数据，利用控制算法对喷涂压力、涂料流量及喷涂距离进行实时调整，提升喷涂均匀性与稳定性。</w:t>
      </w:r>
    </w:p>
    <w:p w14:paraId="7A283362">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温度调试与能耗优化技术：开发了适用于喷涂前处理的温度控制模块，结合“有色金属冶炼温度调试系统”软件，优化加热过程中的能耗分配，提升加热效率并降低能源消耗。</w:t>
      </w:r>
    </w:p>
    <w:p w14:paraId="1394863F">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智能喷涂控制系统集成：将喷涂设备、温控系统与数据采集模块集成，实现喷涂过程的全流程数字化控制，提升设备运行效率与操作便捷性。</w:t>
      </w:r>
    </w:p>
    <w:p w14:paraId="15761C08">
      <w:pPr>
        <w:spacing w:line="360" w:lineRule="auto"/>
        <w:ind w:firstLine="442" w:firstLineChars="200"/>
        <w:rPr>
          <w:rFonts w:ascii="Times New Roman" w:hAnsi="Times New Roman"/>
          <w:b/>
          <w:bCs/>
          <w:color w:val="auto"/>
          <w:sz w:val="22"/>
          <w:szCs w:val="28"/>
        </w:rPr>
      </w:pPr>
    </w:p>
    <w:p w14:paraId="3F2E501C">
      <w:pPr>
        <w:spacing w:line="360" w:lineRule="auto"/>
        <w:ind w:firstLine="442" w:firstLineChars="200"/>
        <w:rPr>
          <w:rFonts w:ascii="Times New Roman" w:hAnsi="Times New Roman"/>
          <w:b/>
          <w:bCs/>
          <w:color w:val="auto"/>
          <w:sz w:val="22"/>
          <w:szCs w:val="28"/>
        </w:rPr>
      </w:pPr>
      <w:r>
        <w:rPr>
          <w:rFonts w:ascii="Times New Roman" w:hAnsi="Times New Roman"/>
          <w:b/>
          <w:bCs/>
          <w:color w:val="auto"/>
          <w:sz w:val="22"/>
          <w:szCs w:val="28"/>
        </w:rPr>
        <w:t>2. 创新点</w:t>
      </w:r>
    </w:p>
    <w:p w14:paraId="77A4B8F0">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基于多参数融合的喷涂反馈控制机制：在喷涂控制系统中引入多源数据融合算法，实现对喷涂质量的动态评估与工艺参数的闭环调整。</w:t>
      </w:r>
    </w:p>
    <w:p w14:paraId="476EAD04">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表面处理与喷涂一体化控制架构：将铝材表面预处理与喷涂过程进行系统集成，形成统一的数据平台与控制界面，提升整体工艺流程的协同性与智能化水平。</w:t>
      </w:r>
    </w:p>
    <w:p w14:paraId="79CED575">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低能耗高精度喷涂模式：通过优化喷涂前处理的加热与干燥环节，减少能耗的同时提升铝材表面处理的一致性，为高精度喷涂奠定基础。</w:t>
      </w:r>
    </w:p>
    <w:p w14:paraId="6F37EFC9">
      <w:pPr>
        <w:numPr>
          <w:ilvl w:val="0"/>
          <w:numId w:val="6"/>
        </w:num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项目经费统计</w:t>
      </w:r>
    </w:p>
    <w:tbl>
      <w:tblPr>
        <w:tblStyle w:val="10"/>
        <w:tblpPr w:leftFromText="180" w:rightFromText="180" w:vertAnchor="text" w:horzAnchor="page" w:tblpX="1800" w:tblpY="469"/>
        <w:tblOverlap w:val="never"/>
        <w:tblW w:w="8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6"/>
        <w:gridCol w:w="2866"/>
        <w:gridCol w:w="2866"/>
      </w:tblGrid>
      <w:tr w14:paraId="35194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8" w:hRule="atLeast"/>
        </w:trPr>
        <w:tc>
          <w:tcPr>
            <w:tcW w:w="2866" w:type="dxa"/>
            <w:vMerge w:val="restart"/>
            <w:shd w:val="clear" w:color="auto" w:fill="auto"/>
            <w:vAlign w:val="center"/>
          </w:tcPr>
          <w:p w14:paraId="7463EFDC">
            <w:pPr>
              <w:spacing w:line="360" w:lineRule="auto"/>
              <w:jc w:val="center"/>
              <w:rPr>
                <w:rFonts w:ascii="Times New Roman" w:hAnsi="Times New Roman"/>
                <w:color w:val="auto"/>
                <w:sz w:val="22"/>
                <w:szCs w:val="28"/>
              </w:rPr>
            </w:pPr>
            <w:r>
              <w:rPr>
                <w:rFonts w:hint="eastAsia" w:ascii="Times New Roman" w:hAnsi="Times New Roman"/>
                <w:color w:val="auto"/>
                <w:sz w:val="22"/>
                <w:szCs w:val="28"/>
              </w:rPr>
              <w:t>经费统计</w:t>
            </w:r>
          </w:p>
        </w:tc>
        <w:tc>
          <w:tcPr>
            <w:tcW w:w="2866" w:type="dxa"/>
            <w:shd w:val="clear" w:color="auto" w:fill="auto"/>
            <w:vAlign w:val="center"/>
          </w:tcPr>
          <w:p w14:paraId="192B0167">
            <w:pPr>
              <w:spacing w:line="360" w:lineRule="auto"/>
              <w:rPr>
                <w:rFonts w:ascii="Times New Roman" w:hAnsi="Times New Roman"/>
                <w:color w:val="auto"/>
                <w:sz w:val="22"/>
                <w:szCs w:val="28"/>
              </w:rPr>
            </w:pPr>
            <w:r>
              <w:rPr>
                <w:rFonts w:hint="eastAsia" w:ascii="Times New Roman" w:hAnsi="Times New Roman"/>
                <w:color w:val="auto"/>
                <w:sz w:val="22"/>
                <w:szCs w:val="28"/>
              </w:rPr>
              <w:t>人员人工费用</w:t>
            </w:r>
          </w:p>
        </w:tc>
        <w:tc>
          <w:tcPr>
            <w:tcW w:w="2866" w:type="dxa"/>
            <w:shd w:val="clear" w:color="auto" w:fill="auto"/>
            <w:vAlign w:val="center"/>
          </w:tcPr>
          <w:p w14:paraId="3571AC42">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167.8万</w:t>
            </w:r>
            <w:r>
              <w:rPr>
                <w:rFonts w:hint="eastAsia" w:ascii="Times New Roman" w:hAnsi="Times New Roman"/>
                <w:color w:val="auto"/>
                <w:sz w:val="22"/>
                <w:szCs w:val="28"/>
              </w:rPr>
              <w:t>元</w:t>
            </w:r>
          </w:p>
        </w:tc>
      </w:tr>
      <w:tr w14:paraId="7E1E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8" w:hRule="atLeast"/>
        </w:trPr>
        <w:tc>
          <w:tcPr>
            <w:tcW w:w="2866" w:type="dxa"/>
            <w:vMerge w:val="continue"/>
            <w:shd w:val="clear" w:color="auto" w:fill="auto"/>
            <w:vAlign w:val="center"/>
          </w:tcPr>
          <w:p w14:paraId="239A3738">
            <w:pPr>
              <w:spacing w:line="360" w:lineRule="auto"/>
              <w:jc w:val="center"/>
              <w:rPr>
                <w:rFonts w:ascii="Times New Roman" w:hAnsi="Times New Roman"/>
                <w:color w:val="auto"/>
                <w:sz w:val="22"/>
                <w:szCs w:val="28"/>
              </w:rPr>
            </w:pPr>
          </w:p>
        </w:tc>
        <w:tc>
          <w:tcPr>
            <w:tcW w:w="2866" w:type="dxa"/>
            <w:shd w:val="clear" w:color="auto" w:fill="auto"/>
            <w:vAlign w:val="center"/>
          </w:tcPr>
          <w:p w14:paraId="3263B340">
            <w:pPr>
              <w:spacing w:line="360" w:lineRule="auto"/>
              <w:rPr>
                <w:rFonts w:ascii="Times New Roman" w:hAnsi="Times New Roman"/>
                <w:color w:val="auto"/>
                <w:sz w:val="22"/>
                <w:szCs w:val="28"/>
              </w:rPr>
            </w:pPr>
            <w:r>
              <w:rPr>
                <w:rFonts w:hint="eastAsia" w:ascii="Times New Roman" w:hAnsi="Times New Roman"/>
                <w:color w:val="auto"/>
                <w:sz w:val="22"/>
                <w:szCs w:val="28"/>
              </w:rPr>
              <w:t>直接投入费用</w:t>
            </w:r>
          </w:p>
        </w:tc>
        <w:tc>
          <w:tcPr>
            <w:tcW w:w="2866" w:type="dxa"/>
            <w:shd w:val="clear" w:color="auto" w:fill="auto"/>
            <w:vAlign w:val="center"/>
          </w:tcPr>
          <w:p w14:paraId="3C4F5571">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50.74万</w:t>
            </w:r>
            <w:r>
              <w:rPr>
                <w:rFonts w:hint="eastAsia" w:ascii="Times New Roman" w:hAnsi="Times New Roman"/>
                <w:color w:val="auto"/>
                <w:sz w:val="22"/>
                <w:szCs w:val="28"/>
              </w:rPr>
              <w:t>元</w:t>
            </w:r>
          </w:p>
        </w:tc>
      </w:tr>
      <w:tr w14:paraId="5A54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8" w:hRule="atLeast"/>
        </w:trPr>
        <w:tc>
          <w:tcPr>
            <w:tcW w:w="2866" w:type="dxa"/>
            <w:vMerge w:val="continue"/>
            <w:shd w:val="clear" w:color="auto" w:fill="auto"/>
            <w:vAlign w:val="center"/>
          </w:tcPr>
          <w:p w14:paraId="4F275BDA">
            <w:pPr>
              <w:spacing w:line="360" w:lineRule="auto"/>
              <w:jc w:val="center"/>
              <w:rPr>
                <w:rFonts w:ascii="Times New Roman" w:hAnsi="Times New Roman"/>
                <w:color w:val="auto"/>
                <w:sz w:val="22"/>
                <w:szCs w:val="28"/>
              </w:rPr>
            </w:pPr>
          </w:p>
        </w:tc>
        <w:tc>
          <w:tcPr>
            <w:tcW w:w="2866" w:type="dxa"/>
            <w:shd w:val="clear" w:color="auto" w:fill="auto"/>
            <w:vAlign w:val="center"/>
          </w:tcPr>
          <w:p w14:paraId="03A94C5B">
            <w:pPr>
              <w:spacing w:line="360" w:lineRule="auto"/>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lang w:val="en-US" w:eastAsia="zh-CN"/>
              </w:rPr>
              <w:t>折旧费用</w:t>
            </w:r>
          </w:p>
        </w:tc>
        <w:tc>
          <w:tcPr>
            <w:tcW w:w="2866" w:type="dxa"/>
            <w:shd w:val="clear" w:color="auto" w:fill="auto"/>
            <w:vAlign w:val="center"/>
          </w:tcPr>
          <w:p w14:paraId="5580B92D">
            <w:pPr>
              <w:spacing w:line="360" w:lineRule="auto"/>
              <w:jc w:val="center"/>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lang w:val="en-US" w:eastAsia="zh-CN"/>
              </w:rPr>
              <w:t>37.13万元</w:t>
            </w:r>
          </w:p>
        </w:tc>
      </w:tr>
      <w:tr w14:paraId="539A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8" w:hRule="atLeast"/>
        </w:trPr>
        <w:tc>
          <w:tcPr>
            <w:tcW w:w="2866" w:type="dxa"/>
            <w:vMerge w:val="continue"/>
            <w:shd w:val="clear" w:color="auto" w:fill="auto"/>
            <w:vAlign w:val="center"/>
          </w:tcPr>
          <w:p w14:paraId="11F9547A">
            <w:pPr>
              <w:spacing w:line="360" w:lineRule="auto"/>
              <w:jc w:val="center"/>
              <w:rPr>
                <w:rFonts w:ascii="Times New Roman" w:hAnsi="Times New Roman"/>
                <w:color w:val="auto"/>
                <w:sz w:val="22"/>
                <w:szCs w:val="28"/>
              </w:rPr>
            </w:pPr>
          </w:p>
        </w:tc>
        <w:tc>
          <w:tcPr>
            <w:tcW w:w="2866" w:type="dxa"/>
            <w:shd w:val="clear" w:color="auto" w:fill="auto"/>
            <w:vAlign w:val="center"/>
          </w:tcPr>
          <w:p w14:paraId="4A1B62E1">
            <w:pPr>
              <w:spacing w:line="360" w:lineRule="auto"/>
              <w:rPr>
                <w:rFonts w:ascii="Times New Roman" w:hAnsi="Times New Roman"/>
                <w:color w:val="auto"/>
                <w:sz w:val="22"/>
                <w:szCs w:val="28"/>
              </w:rPr>
            </w:pPr>
            <w:r>
              <w:rPr>
                <w:rFonts w:hint="eastAsia" w:ascii="Times New Roman" w:hAnsi="Times New Roman"/>
                <w:color w:val="auto"/>
                <w:sz w:val="22"/>
                <w:szCs w:val="28"/>
              </w:rPr>
              <w:t>其他费用</w:t>
            </w:r>
          </w:p>
        </w:tc>
        <w:tc>
          <w:tcPr>
            <w:tcW w:w="2866" w:type="dxa"/>
            <w:shd w:val="clear" w:color="auto" w:fill="auto"/>
            <w:vAlign w:val="center"/>
          </w:tcPr>
          <w:p w14:paraId="4D9BF2BF">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0.55万</w:t>
            </w:r>
            <w:r>
              <w:rPr>
                <w:rFonts w:hint="eastAsia" w:ascii="Times New Roman" w:hAnsi="Times New Roman"/>
                <w:color w:val="auto"/>
                <w:sz w:val="22"/>
                <w:szCs w:val="28"/>
              </w:rPr>
              <w:t>元</w:t>
            </w:r>
          </w:p>
        </w:tc>
      </w:tr>
      <w:tr w14:paraId="3E4E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866" w:type="dxa"/>
            <w:vMerge w:val="continue"/>
            <w:shd w:val="clear" w:color="auto" w:fill="auto"/>
            <w:vAlign w:val="center"/>
          </w:tcPr>
          <w:p w14:paraId="13EA9A30">
            <w:pPr>
              <w:spacing w:line="360" w:lineRule="auto"/>
              <w:jc w:val="center"/>
              <w:rPr>
                <w:rFonts w:ascii="Times New Roman" w:hAnsi="Times New Roman"/>
                <w:color w:val="auto"/>
                <w:sz w:val="22"/>
                <w:szCs w:val="28"/>
              </w:rPr>
            </w:pPr>
          </w:p>
        </w:tc>
        <w:tc>
          <w:tcPr>
            <w:tcW w:w="2866" w:type="dxa"/>
            <w:shd w:val="clear" w:color="auto" w:fill="auto"/>
            <w:vAlign w:val="center"/>
          </w:tcPr>
          <w:p w14:paraId="76A91F63">
            <w:pPr>
              <w:spacing w:line="360" w:lineRule="auto"/>
              <w:rPr>
                <w:rFonts w:ascii="Times New Roman" w:hAnsi="Times New Roman"/>
                <w:color w:val="auto"/>
                <w:sz w:val="22"/>
                <w:szCs w:val="28"/>
              </w:rPr>
            </w:pPr>
            <w:r>
              <w:rPr>
                <w:rFonts w:hint="eastAsia" w:ascii="Times New Roman" w:hAnsi="Times New Roman"/>
                <w:color w:val="auto"/>
                <w:sz w:val="22"/>
                <w:szCs w:val="28"/>
              </w:rPr>
              <w:t>总计</w:t>
            </w:r>
          </w:p>
        </w:tc>
        <w:tc>
          <w:tcPr>
            <w:tcW w:w="2866" w:type="dxa"/>
            <w:shd w:val="clear" w:color="auto" w:fill="auto"/>
            <w:vAlign w:val="center"/>
          </w:tcPr>
          <w:p w14:paraId="1BF4FB01">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256.21万</w:t>
            </w:r>
            <w:r>
              <w:rPr>
                <w:rFonts w:hint="eastAsia" w:ascii="Times New Roman" w:hAnsi="Times New Roman"/>
                <w:color w:val="auto"/>
                <w:sz w:val="22"/>
                <w:szCs w:val="28"/>
              </w:rPr>
              <w:t>元</w:t>
            </w:r>
          </w:p>
        </w:tc>
      </w:tr>
    </w:tbl>
    <w:p w14:paraId="37187E91">
      <w:pPr>
        <w:spacing w:line="360" w:lineRule="auto"/>
        <w:ind w:firstLine="440" w:firstLineChars="200"/>
        <w:rPr>
          <w:rFonts w:ascii="Times New Roman" w:hAnsi="Times New Roman"/>
          <w:color w:val="auto"/>
          <w:sz w:val="22"/>
          <w:szCs w:val="28"/>
        </w:rPr>
      </w:pPr>
      <w:r>
        <w:rPr>
          <w:rFonts w:hint="eastAsia" w:ascii="Times New Roman" w:hAnsi="Times New Roman"/>
          <w:color w:val="auto"/>
          <w:sz w:val="22"/>
          <w:szCs w:val="28"/>
        </w:rPr>
        <w:t>经统计，项目经费符合预算要求。</w:t>
      </w:r>
    </w:p>
    <w:p w14:paraId="16B424D0">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五、项目验收情况</w:t>
      </w:r>
    </w:p>
    <w:p w14:paraId="27B81BDE">
      <w:pPr>
        <w:spacing w:line="360" w:lineRule="auto"/>
        <w:rPr>
          <w:rFonts w:ascii="Times New Roman" w:hAnsi="Times New Roman"/>
          <w:b/>
          <w:bCs/>
          <w:color w:val="auto"/>
          <w:sz w:val="22"/>
          <w:szCs w:val="28"/>
        </w:rPr>
      </w:pPr>
      <w:r>
        <w:rPr>
          <w:rFonts w:hint="eastAsia" w:ascii="Times New Roman" w:hAnsi="Times New Roman"/>
          <w:b/>
          <w:bCs/>
          <w:color w:val="auto"/>
          <w:sz w:val="22"/>
          <w:szCs w:val="28"/>
        </w:rPr>
        <w:t>（一）验收内容</w:t>
      </w:r>
    </w:p>
    <w:p w14:paraId="733CC384">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工艺规范验收：对铝材表面处理的清洗、钝化、干燥等关键步骤进行工艺参数核查，确认其符合企业内部工艺标准及行业相关技术要求。</w:t>
      </w:r>
    </w:p>
    <w:p w14:paraId="1C486181">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喷涂质量验收：对喷涂后的铝材进行涂层厚度检测、附着力测试及外观检查，评估喷涂均匀性与表面质量。</w:t>
      </w:r>
    </w:p>
    <w:p w14:paraId="178C02BF">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控制系统功能验收：对“铝卷智能喷涂控制系统”进行功能测试，验证其对喷涂参数的采集、分析与调节能力。</w:t>
      </w:r>
    </w:p>
    <w:p w14:paraId="2C7C46F4">
      <w:pPr>
        <w:spacing w:line="360" w:lineRule="auto"/>
        <w:rPr>
          <w:rFonts w:ascii="Times New Roman" w:hAnsi="Times New Roman"/>
          <w:b/>
          <w:bCs/>
          <w:color w:val="auto"/>
          <w:sz w:val="22"/>
          <w:szCs w:val="28"/>
        </w:rPr>
      </w:pPr>
      <w:r>
        <w:rPr>
          <w:rFonts w:hint="eastAsia" w:ascii="Times New Roman" w:hAnsi="Times New Roman"/>
          <w:b/>
          <w:bCs/>
          <w:color w:val="auto"/>
          <w:sz w:val="22"/>
          <w:szCs w:val="28"/>
        </w:rPr>
        <w:t>（二）验收结论</w:t>
      </w:r>
    </w:p>
    <w:p w14:paraId="250E84BE">
      <w:pPr>
        <w:spacing w:line="360" w:lineRule="auto"/>
        <w:ind w:firstLine="440" w:firstLineChars="200"/>
        <w:rPr>
          <w:rFonts w:ascii="Times New Roman" w:hAnsi="Times New Roman"/>
          <w:color w:val="auto"/>
          <w:sz w:val="22"/>
          <w:szCs w:val="28"/>
        </w:rPr>
      </w:pPr>
      <w:r>
        <w:rPr>
          <w:rFonts w:ascii="Times New Roman" w:hAnsi="Times New Roman"/>
          <w:color w:val="auto"/>
          <w:sz w:val="22"/>
        </w:rPr>
        <w:t>经过对项目工艺流程、喷涂质量、控制系统功能及能耗表现的全面验收，项目各项技术指标达到预期目标，符合项目实施的技术要求。项目成果具备良好的应用前景，可在铝制品表面处理与智能喷涂领域逐步推广应用。项目顺利通过验收，具备转入试运行阶段的条件。</w:t>
      </w:r>
    </w:p>
    <w:p w14:paraId="201BFCD3">
      <w:pPr>
        <w:spacing w:line="360" w:lineRule="auto"/>
        <w:ind w:firstLine="440" w:firstLineChars="200"/>
        <w:rPr>
          <w:rFonts w:ascii="Times New Roman" w:hAnsi="Times New Roman"/>
          <w:color w:val="auto"/>
          <w:sz w:val="22"/>
          <w:szCs w:val="28"/>
        </w:rPr>
      </w:pPr>
    </w:p>
    <w:p w14:paraId="2C2B551A">
      <w:pPr>
        <w:spacing w:line="360" w:lineRule="auto"/>
        <w:jc w:val="right"/>
        <w:rPr>
          <w:rFonts w:hint="eastAsia" w:ascii="Times New Roman" w:hAnsi="Times New Roman" w:eastAsia="宋体"/>
          <w:color w:val="auto"/>
          <w:sz w:val="22"/>
          <w:szCs w:val="28"/>
          <w:lang w:eastAsia="zh-CN"/>
        </w:rPr>
      </w:pPr>
      <w:r>
        <w:rPr>
          <w:rFonts w:hint="eastAsia" w:ascii="Times New Roman" w:hAnsi="Times New Roman"/>
          <w:color w:val="auto"/>
          <w:sz w:val="22"/>
          <w:szCs w:val="28"/>
          <w:lang w:eastAsia="zh-CN"/>
        </w:rPr>
        <w:t>上海舜斯新材料科技有限公司</w:t>
      </w:r>
    </w:p>
    <w:p w14:paraId="32F2ABEF">
      <w:pPr>
        <w:spacing w:line="360" w:lineRule="auto"/>
        <w:jc w:val="right"/>
        <w:rPr>
          <w:rFonts w:ascii="Times New Roman" w:hAnsi="Times New Roman"/>
          <w:color w:val="auto"/>
          <w:sz w:val="22"/>
          <w:szCs w:val="28"/>
        </w:rPr>
      </w:pPr>
      <w:r>
        <w:rPr>
          <w:rFonts w:hint="eastAsia" w:ascii="Times New Roman" w:hAnsi="Times New Roman"/>
          <w:color w:val="auto"/>
          <w:sz w:val="22"/>
          <w:szCs w:val="28"/>
        </w:rPr>
        <w:t>2024年12月29日</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651D4">
    <w:pPr>
      <w:pStyle w:val="9"/>
      <w:widowControl/>
      <w:jc w:val="distribu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1363C1"/>
    <w:multiLevelType w:val="singleLevel"/>
    <w:tmpl w:val="A31363C1"/>
    <w:lvl w:ilvl="0" w:tentative="0">
      <w:start w:val="1"/>
      <w:numFmt w:val="decimal"/>
      <w:lvlText w:val="(%1)"/>
      <w:lvlJc w:val="left"/>
      <w:pPr>
        <w:ind w:left="425" w:hanging="425"/>
      </w:pPr>
      <w:rPr>
        <w:rFonts w:hint="default"/>
      </w:rPr>
    </w:lvl>
  </w:abstractNum>
  <w:abstractNum w:abstractNumId="1">
    <w:nsid w:val="D9DBAEED"/>
    <w:multiLevelType w:val="singleLevel"/>
    <w:tmpl w:val="D9DBAEED"/>
    <w:lvl w:ilvl="0" w:tentative="0">
      <w:start w:val="4"/>
      <w:numFmt w:val="chineseCounting"/>
      <w:suff w:val="nothing"/>
      <w:lvlText w:val="%1、"/>
      <w:lvlJc w:val="left"/>
      <w:rPr>
        <w:rFonts w:hint="eastAsia"/>
      </w:rPr>
    </w:lvl>
  </w:abstractNum>
  <w:abstractNum w:abstractNumId="2">
    <w:nsid w:val="E8744EF6"/>
    <w:multiLevelType w:val="singleLevel"/>
    <w:tmpl w:val="E8744EF6"/>
    <w:lvl w:ilvl="0" w:tentative="0">
      <w:start w:val="1"/>
      <w:numFmt w:val="decimal"/>
      <w:lvlText w:val="(%1)"/>
      <w:lvlJc w:val="left"/>
      <w:pPr>
        <w:ind w:left="425" w:hanging="425"/>
      </w:pPr>
      <w:rPr>
        <w:rFonts w:hint="default"/>
      </w:rPr>
    </w:lvl>
  </w:abstractNum>
  <w:abstractNum w:abstractNumId="3">
    <w:nsid w:val="36AE33EB"/>
    <w:multiLevelType w:val="singleLevel"/>
    <w:tmpl w:val="36AE33EB"/>
    <w:lvl w:ilvl="0" w:tentative="0">
      <w:start w:val="1"/>
      <w:numFmt w:val="decimal"/>
      <w:lvlText w:val="(%1)"/>
      <w:lvlJc w:val="left"/>
      <w:pPr>
        <w:ind w:left="425" w:hanging="425"/>
      </w:pPr>
      <w:rPr>
        <w:rFonts w:hint="default"/>
      </w:rPr>
    </w:lvl>
  </w:abstractNum>
  <w:abstractNum w:abstractNumId="4">
    <w:nsid w:val="72CCA1C2"/>
    <w:multiLevelType w:val="singleLevel"/>
    <w:tmpl w:val="72CCA1C2"/>
    <w:lvl w:ilvl="0" w:tentative="0">
      <w:start w:val="1"/>
      <w:numFmt w:val="decimal"/>
      <w:lvlText w:val="(%1)"/>
      <w:lvlJc w:val="left"/>
      <w:pPr>
        <w:ind w:left="425" w:hanging="425"/>
      </w:pPr>
      <w:rPr>
        <w:rFonts w:hint="default"/>
      </w:rPr>
    </w:lvl>
  </w:abstractNum>
  <w:abstractNum w:abstractNumId="5">
    <w:nsid w:val="77A6CEAA"/>
    <w:multiLevelType w:val="singleLevel"/>
    <w:tmpl w:val="77A6CEAA"/>
    <w:lvl w:ilvl="0" w:tentative="0">
      <w:start w:val="1"/>
      <w:numFmt w:val="decimal"/>
      <w:lvlText w:val="(%1)"/>
      <w:lvlJc w:val="left"/>
      <w:pPr>
        <w:ind w:left="425" w:hanging="425"/>
      </w:pPr>
      <w:rPr>
        <w:rFonts w:hint="default"/>
      </w:rPr>
    </w:lvl>
  </w:abstractNum>
  <w:abstractNum w:abstractNumId="6">
    <w:nsid w:val="7F75FB38"/>
    <w:multiLevelType w:val="singleLevel"/>
    <w:tmpl w:val="7F75FB38"/>
    <w:lvl w:ilvl="0" w:tentative="0">
      <w:start w:val="1"/>
      <w:numFmt w:val="decimal"/>
      <w:lvlText w:val="(%1)"/>
      <w:lvlJc w:val="left"/>
      <w:pPr>
        <w:ind w:left="425" w:hanging="425"/>
      </w:pPr>
      <w:rPr>
        <w:rFonts w:hint="default"/>
      </w:rPr>
    </w:lvl>
  </w:abstractNum>
  <w:num w:numId="1">
    <w:abstractNumId w:val="5"/>
  </w:num>
  <w:num w:numId="2">
    <w:abstractNumId w:val="3"/>
  </w:num>
  <w:num w:numId="3">
    <w:abstractNumId w:val="0"/>
  </w:num>
  <w:num w:numId="4">
    <w:abstractNumId w:val="6"/>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WJlMTc4NGIxMGQzZGM3ZTI0N2NkOWFkZjAxZDY0MjcifQ=="/>
  </w:docVars>
  <w:rsids>
    <w:rsidRoot w:val="0033114D"/>
    <w:rsid w:val="002C0477"/>
    <w:rsid w:val="0033114D"/>
    <w:rsid w:val="00425A1B"/>
    <w:rsid w:val="005C37D8"/>
    <w:rsid w:val="006038E5"/>
    <w:rsid w:val="00617ED8"/>
    <w:rsid w:val="007D16B8"/>
    <w:rsid w:val="008248FA"/>
    <w:rsid w:val="008875A8"/>
    <w:rsid w:val="00936276"/>
    <w:rsid w:val="009D476B"/>
    <w:rsid w:val="009E3E1B"/>
    <w:rsid w:val="00B71F36"/>
    <w:rsid w:val="00C21A53"/>
    <w:rsid w:val="00D12CCD"/>
    <w:rsid w:val="00DA49F5"/>
    <w:rsid w:val="00DD3395"/>
    <w:rsid w:val="00E1589E"/>
    <w:rsid w:val="00E41409"/>
    <w:rsid w:val="00E568F2"/>
    <w:rsid w:val="00ED4C7B"/>
    <w:rsid w:val="00F16D0A"/>
    <w:rsid w:val="00FB6327"/>
    <w:rsid w:val="00FE2B5A"/>
    <w:rsid w:val="01E0373D"/>
    <w:rsid w:val="02BA3F8E"/>
    <w:rsid w:val="032B6C3A"/>
    <w:rsid w:val="03F4702C"/>
    <w:rsid w:val="04293179"/>
    <w:rsid w:val="047D1717"/>
    <w:rsid w:val="051200B1"/>
    <w:rsid w:val="05545FD4"/>
    <w:rsid w:val="06680FFF"/>
    <w:rsid w:val="070B6B66"/>
    <w:rsid w:val="07D63618"/>
    <w:rsid w:val="07E35D35"/>
    <w:rsid w:val="081E6D6D"/>
    <w:rsid w:val="083420ED"/>
    <w:rsid w:val="09F93DAC"/>
    <w:rsid w:val="0AA572D2"/>
    <w:rsid w:val="0B1D155E"/>
    <w:rsid w:val="0B2D79F3"/>
    <w:rsid w:val="0B995089"/>
    <w:rsid w:val="0BFE4EEC"/>
    <w:rsid w:val="0C882A07"/>
    <w:rsid w:val="0CD43E9E"/>
    <w:rsid w:val="0E320E7D"/>
    <w:rsid w:val="0F4C2412"/>
    <w:rsid w:val="105C48D7"/>
    <w:rsid w:val="108A4FA0"/>
    <w:rsid w:val="117B2B3A"/>
    <w:rsid w:val="11E22BBA"/>
    <w:rsid w:val="12DB5F87"/>
    <w:rsid w:val="134578A4"/>
    <w:rsid w:val="14123C2A"/>
    <w:rsid w:val="148B578A"/>
    <w:rsid w:val="156C2EC6"/>
    <w:rsid w:val="167F2A48"/>
    <w:rsid w:val="16BA2357"/>
    <w:rsid w:val="16F5338F"/>
    <w:rsid w:val="17143815"/>
    <w:rsid w:val="171657DF"/>
    <w:rsid w:val="186500A0"/>
    <w:rsid w:val="18ED431E"/>
    <w:rsid w:val="19B27315"/>
    <w:rsid w:val="1A705EAE"/>
    <w:rsid w:val="1CCC06EE"/>
    <w:rsid w:val="1E0B5246"/>
    <w:rsid w:val="1E780B2E"/>
    <w:rsid w:val="1F1B063B"/>
    <w:rsid w:val="1FC54BA9"/>
    <w:rsid w:val="21314E79"/>
    <w:rsid w:val="21CD59F3"/>
    <w:rsid w:val="23272B22"/>
    <w:rsid w:val="2355143D"/>
    <w:rsid w:val="23AD74CB"/>
    <w:rsid w:val="24613F68"/>
    <w:rsid w:val="247E6772"/>
    <w:rsid w:val="24952F7F"/>
    <w:rsid w:val="24C90239"/>
    <w:rsid w:val="25357778"/>
    <w:rsid w:val="25BF7042"/>
    <w:rsid w:val="25FC0296"/>
    <w:rsid w:val="26C2328E"/>
    <w:rsid w:val="27A26C1B"/>
    <w:rsid w:val="289E0ED0"/>
    <w:rsid w:val="296A5517"/>
    <w:rsid w:val="29F574D6"/>
    <w:rsid w:val="2A224043"/>
    <w:rsid w:val="2C086FAD"/>
    <w:rsid w:val="2C435514"/>
    <w:rsid w:val="2C9F16FD"/>
    <w:rsid w:val="2D7B07E4"/>
    <w:rsid w:val="2E9D638E"/>
    <w:rsid w:val="2EA65243"/>
    <w:rsid w:val="2F104DB2"/>
    <w:rsid w:val="2FA21EAE"/>
    <w:rsid w:val="30C65728"/>
    <w:rsid w:val="31097D0B"/>
    <w:rsid w:val="311B1C02"/>
    <w:rsid w:val="31554CFE"/>
    <w:rsid w:val="31AC0DC2"/>
    <w:rsid w:val="326A47D9"/>
    <w:rsid w:val="32BB6DE3"/>
    <w:rsid w:val="33174961"/>
    <w:rsid w:val="339A4C4A"/>
    <w:rsid w:val="33A87367"/>
    <w:rsid w:val="34076784"/>
    <w:rsid w:val="351F7AFD"/>
    <w:rsid w:val="358564A0"/>
    <w:rsid w:val="35F25212"/>
    <w:rsid w:val="36C00E6C"/>
    <w:rsid w:val="36DD557A"/>
    <w:rsid w:val="37B54749"/>
    <w:rsid w:val="38374A39"/>
    <w:rsid w:val="3A8B353F"/>
    <w:rsid w:val="3AFB2473"/>
    <w:rsid w:val="3B3D6F2F"/>
    <w:rsid w:val="3C5F2ED5"/>
    <w:rsid w:val="3C5F6A31"/>
    <w:rsid w:val="3CB5254A"/>
    <w:rsid w:val="3EC80563"/>
    <w:rsid w:val="3EEB27FE"/>
    <w:rsid w:val="3F9410E8"/>
    <w:rsid w:val="40BC4452"/>
    <w:rsid w:val="41456B3D"/>
    <w:rsid w:val="41957E0C"/>
    <w:rsid w:val="41B432B2"/>
    <w:rsid w:val="41CF4659"/>
    <w:rsid w:val="42AE24C0"/>
    <w:rsid w:val="42B21FB1"/>
    <w:rsid w:val="42BA70B7"/>
    <w:rsid w:val="43051DBA"/>
    <w:rsid w:val="430976F7"/>
    <w:rsid w:val="455E01CE"/>
    <w:rsid w:val="45795008"/>
    <w:rsid w:val="459E681C"/>
    <w:rsid w:val="460A2104"/>
    <w:rsid w:val="46492C2C"/>
    <w:rsid w:val="46A00372"/>
    <w:rsid w:val="47E10C42"/>
    <w:rsid w:val="491C4628"/>
    <w:rsid w:val="499E6DEB"/>
    <w:rsid w:val="49C10D2B"/>
    <w:rsid w:val="49E93701"/>
    <w:rsid w:val="4A3D4856"/>
    <w:rsid w:val="4B2E21B9"/>
    <w:rsid w:val="4C875885"/>
    <w:rsid w:val="4CD314A1"/>
    <w:rsid w:val="4D150366"/>
    <w:rsid w:val="4D9E1AAF"/>
    <w:rsid w:val="500876B4"/>
    <w:rsid w:val="501A2F43"/>
    <w:rsid w:val="50830AE8"/>
    <w:rsid w:val="511D2CEB"/>
    <w:rsid w:val="51844B18"/>
    <w:rsid w:val="52187956"/>
    <w:rsid w:val="527E4DA2"/>
    <w:rsid w:val="545F7ABE"/>
    <w:rsid w:val="546724CF"/>
    <w:rsid w:val="54BF35C3"/>
    <w:rsid w:val="55C7591B"/>
    <w:rsid w:val="55EB785C"/>
    <w:rsid w:val="56A93273"/>
    <w:rsid w:val="56CD51B3"/>
    <w:rsid w:val="580B5F93"/>
    <w:rsid w:val="582E57DE"/>
    <w:rsid w:val="5842572D"/>
    <w:rsid w:val="58813D2B"/>
    <w:rsid w:val="5AE12FDB"/>
    <w:rsid w:val="5B084A0C"/>
    <w:rsid w:val="5B800A46"/>
    <w:rsid w:val="5B841BB9"/>
    <w:rsid w:val="5C3B2178"/>
    <w:rsid w:val="5C7F0CFE"/>
    <w:rsid w:val="5D080CF3"/>
    <w:rsid w:val="5D331AE8"/>
    <w:rsid w:val="5DF179D9"/>
    <w:rsid w:val="5E4E6BDA"/>
    <w:rsid w:val="5F334021"/>
    <w:rsid w:val="5F926F9A"/>
    <w:rsid w:val="60235E44"/>
    <w:rsid w:val="602D6CC3"/>
    <w:rsid w:val="608A337D"/>
    <w:rsid w:val="60A12E65"/>
    <w:rsid w:val="60AA0313"/>
    <w:rsid w:val="60D31618"/>
    <w:rsid w:val="618648DC"/>
    <w:rsid w:val="61B41449"/>
    <w:rsid w:val="61CB0541"/>
    <w:rsid w:val="63E8362C"/>
    <w:rsid w:val="64535652"/>
    <w:rsid w:val="64DB5A2C"/>
    <w:rsid w:val="65037931"/>
    <w:rsid w:val="655D3BA6"/>
    <w:rsid w:val="65BC6B1F"/>
    <w:rsid w:val="6620498E"/>
    <w:rsid w:val="678B49FB"/>
    <w:rsid w:val="67BF46A4"/>
    <w:rsid w:val="683926A8"/>
    <w:rsid w:val="684D7F02"/>
    <w:rsid w:val="685E210F"/>
    <w:rsid w:val="68D128E1"/>
    <w:rsid w:val="693D54D2"/>
    <w:rsid w:val="6A1D1B56"/>
    <w:rsid w:val="6AD018B4"/>
    <w:rsid w:val="6B036F9E"/>
    <w:rsid w:val="6B5B0B88"/>
    <w:rsid w:val="6B662E80"/>
    <w:rsid w:val="6BE0108D"/>
    <w:rsid w:val="6C7434BE"/>
    <w:rsid w:val="6CC8224D"/>
    <w:rsid w:val="6D003795"/>
    <w:rsid w:val="6D1A237D"/>
    <w:rsid w:val="6D3639D2"/>
    <w:rsid w:val="6D45564C"/>
    <w:rsid w:val="6E6935BC"/>
    <w:rsid w:val="6E7361E8"/>
    <w:rsid w:val="6F370FC4"/>
    <w:rsid w:val="6F421E67"/>
    <w:rsid w:val="6F5E0C47"/>
    <w:rsid w:val="6FB24AEE"/>
    <w:rsid w:val="71A87F57"/>
    <w:rsid w:val="728C5ACB"/>
    <w:rsid w:val="73CF79E1"/>
    <w:rsid w:val="747B5DF7"/>
    <w:rsid w:val="7487654A"/>
    <w:rsid w:val="75BF7F65"/>
    <w:rsid w:val="782A00B9"/>
    <w:rsid w:val="786372CE"/>
    <w:rsid w:val="78DA7590"/>
    <w:rsid w:val="797F3C93"/>
    <w:rsid w:val="798219D5"/>
    <w:rsid w:val="79C32547"/>
    <w:rsid w:val="79D55FA9"/>
    <w:rsid w:val="7AD16771"/>
    <w:rsid w:val="7B42766E"/>
    <w:rsid w:val="7B474C85"/>
    <w:rsid w:val="7B784E3E"/>
    <w:rsid w:val="7B7B492E"/>
    <w:rsid w:val="7B8E1B67"/>
    <w:rsid w:val="7BF32717"/>
    <w:rsid w:val="7C52740B"/>
    <w:rsid w:val="7C5B0E2F"/>
    <w:rsid w:val="7CAA7279"/>
    <w:rsid w:val="7D0D15B6"/>
    <w:rsid w:val="7E0E55E6"/>
    <w:rsid w:val="7EFE1AFE"/>
    <w:rsid w:val="7F0F5AB9"/>
    <w:rsid w:val="7F9D4E73"/>
    <w:rsid w:val="7FF62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b/>
      <w:bCs/>
      <w:kern w:val="0"/>
      <w:sz w:val="27"/>
      <w:szCs w:val="27"/>
    </w:rPr>
  </w:style>
  <w:style w:type="paragraph" w:styleId="5">
    <w:name w:val="heading 4"/>
    <w:basedOn w:val="1"/>
    <w:next w:val="1"/>
    <w:qFormat/>
    <w:uiPriority w:val="0"/>
    <w:pPr>
      <w:spacing w:before="100" w:beforeAutospacing="1" w:after="100" w:afterAutospacing="1"/>
      <w:jc w:val="left"/>
      <w:outlineLvl w:val="3"/>
    </w:pPr>
    <w:rPr>
      <w:rFonts w:hint="eastAsia" w:ascii="宋体" w:hAnsi="宋体"/>
      <w:b/>
      <w:bCs/>
      <w:kern w:val="0"/>
      <w:sz w:val="24"/>
    </w:rPr>
  </w:style>
  <w:style w:type="paragraph" w:styleId="6">
    <w:name w:val="heading 5"/>
    <w:basedOn w:val="1"/>
    <w:next w:val="1"/>
    <w:semiHidden/>
    <w:unhideWhenUsed/>
    <w:qFormat/>
    <w:uiPriority w:val="0"/>
    <w:pPr>
      <w:spacing w:before="100" w:beforeAutospacing="1" w:after="100" w:afterAutospacing="1"/>
      <w:jc w:val="left"/>
      <w:outlineLvl w:val="4"/>
    </w:pPr>
    <w:rPr>
      <w:rFonts w:hint="eastAsia" w:ascii="宋体" w:hAnsi="宋体"/>
      <w:b/>
      <w:bCs/>
      <w:kern w:val="0"/>
      <w:sz w:val="20"/>
      <w:szCs w:val="20"/>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0"/>
    <w:pPr>
      <w:spacing w:before="100" w:beforeAutospacing="1" w:after="100" w:afterAutospacing="1"/>
      <w:jc w:val="left"/>
    </w:pPr>
    <w:rPr>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3067</Words>
  <Characters>3165</Characters>
  <Lines>9</Lines>
  <Paragraphs>2</Paragraphs>
  <TotalTime>0</TotalTime>
  <ScaleCrop>false</ScaleCrop>
  <LinksUpToDate>false</LinksUpToDate>
  <CharactersWithSpaces>3167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2025-06-13T03:08:00Z</dcterms:created>
  <dc:creator>cyipxm5</dc:creator>
  <cp:lastModifiedBy>你走啊</cp:lastModifiedBy>
  <dcterms:modified xsi:type="dcterms:W3CDTF">2025-09-16T12:06:36Z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693A9790FBF9434FB3155F70764415C6_13</vt:lpwstr>
  </property>
  <property fmtid="{D5CDD505-2E9C-101B-9397-08002B2CF9AE}" pid="4" name="KSOTemplateDocerSaveRecord">
    <vt:lpwstr>eyJoZGlkIjoiYWJlMTc4NGIxMGQzZGM3ZTI0N2NkOWFkZjAxZDY0MjciLCJ1c2VySWQiOiIzODg4NjQwMzAifQ==</vt:lpwstr>
  </property>
</Properties>
</file>