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bookmarkStart w:id="0" w:name="_GoBack"/>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default" w:ascii="宋体" w:hAnsi="宋体"/>
                <w:color w:val="auto"/>
                <w:kern w:val="0"/>
                <w:sz w:val="20"/>
                <w:lang w:val="en-US"/>
              </w:rPr>
            </w:pPr>
            <w:r>
              <w:rPr>
                <w:rFonts w:hint="eastAsia" w:ascii="宋体" w:hAnsi="宋体"/>
                <w:color w:val="auto"/>
                <w:kern w:val="0"/>
                <w:sz w:val="20"/>
                <w:lang w:val="en-US" w:eastAsia="zh-CN"/>
              </w:rPr>
              <w:t>RD08</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5"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项目名称：基于智能控制搅拌系统的高性能化学合成涂料研发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2024</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2024</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65ADDD98">
      <w:pPr>
        <w:snapToGrid w:val="0"/>
        <w:spacing w:after="312" w:afterLines="100" w:line="300" w:lineRule="auto"/>
        <w:jc w:val="center"/>
        <w:rPr>
          <w:rFonts w:ascii="Times New Roman" w:hAnsi="Times New Roman"/>
          <w:color w:val="auto"/>
        </w:rPr>
      </w:pPr>
      <w:r>
        <w:rPr>
          <w:rFonts w:hint="eastAsia" w:ascii="Times New Roman" w:hAnsi="Times New Roman"/>
          <w:color w:val="auto"/>
          <w:lang w:val="en-US" w:eastAsia="zh-CN"/>
        </w:rPr>
        <w:t>2024年</w:t>
      </w:r>
    </w:p>
    <w:p w14:paraId="7EE8748D">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5AE732D6">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随着我国工业涂料市场的持续快速发展，高性能化学合成涂料在汽车制造、建筑装饰、电子设备以及航空航天等高端领域的应用日益广泛，市场需求呈现稳步增长态势。然而，当前国内涂料生产过程中仍面临诸多技术瓶颈，尤其是在关键的树脂混合与分散环节，普遍存在搅拌不均匀、能耗偏高、生产效率低下等问题，严重制约了产品质量的一致性与稳定性。</w:t>
      </w:r>
    </w:p>
    <w:p w14:paraId="2963B7A1">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传统搅拌设备多依赖固定转速和经验化操作，难以适应多组分、高粘度物料的复杂流变特性，导致物料分散不均、微观结构不一致，进而引发产品批次间性能波动大、缺陷率高等问题。这不仅增加了返工与废品风险，也影响了高端涂料产品的国产化进程，成为制约我国涂料行业向高质量、智能化转型升级的关键短板。</w:t>
      </w:r>
    </w:p>
    <w:p w14:paraId="00C9EE57">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相比之下，欧美及日本等发达国家在涂料生产智能化、精细化控制方面已取得显著进展，为行业提供了有益借鉴：德国部分领先企业已引入基于多传感器融合的智能搅拌系统，通过实时监测温度、粘度、扭矩及流场分布等关键参数，结合闭环反馈控制，实现搅拌过程的动态优化与自适应调节，显著提升了混合均匀度与工艺稳定性；日本则在搅拌装置的结构创新方面成果突出，采用多级桨叶组合、变频调速及流场优化设计，有效增强了对高粘度树脂体系的剪切与循环能力，使混合效率提升30%以上，同时实现能耗降低20%以上，兼顾了能效与品质；美国部分高科技涂料企业已将人工智能（AI）与大数据分析技术深度融入生产控制系统，利用机器学习算法对历史工艺数据进行建模，预测最优搅拌参数并实现自主决策控制，大幅提升了生产自动化水平与过程鲁棒性。</w:t>
      </w:r>
    </w:p>
    <w:p w14:paraId="0A9340E5">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综上所述，面对日益激烈的国际竞争和下游产业对涂料性能日益严苛的要求，</w:t>
      </w:r>
      <w:r>
        <w:rPr>
          <w:rFonts w:ascii="Times New Roman" w:hAnsi="Times New Roman"/>
          <w:color w:val="auto"/>
          <w:sz w:val="22"/>
        </w:rPr>
        <w:t>国内涂料行业正处于从传统制造向智能制造转型的关键阶段。本项目基于现有搅拌技术基础，结合智能控制手段，旨在解决现有搅拌系统能耗高、效率低、清洁困难等问题，推动高性能化学合成涂料的稳定化、绿色化生产，具有重要的现实意义和应用价值。</w:t>
      </w:r>
    </w:p>
    <w:p w14:paraId="3DAD7702">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11F4C896">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本项目围绕高性能化学合成涂料的生产需求，重点研发基于智能控制搅拌系统的新型工艺，实现以下技术目标：</w:t>
      </w:r>
    </w:p>
    <w:p w14:paraId="1640CD9F">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智能混合搅拌控制技术</w:t>
      </w:r>
      <w:r>
        <w:rPr>
          <w:rFonts w:hint="eastAsia" w:ascii="Times New Roman" w:hAnsi="Times New Roman"/>
          <w:color w:val="auto"/>
          <w:sz w:val="22"/>
          <w:lang w:eastAsia="zh-CN"/>
        </w:rPr>
        <w:t>；</w:t>
      </w:r>
    </w:p>
    <w:p w14:paraId="424AB9A5">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高强度吸水剂合成技术</w:t>
      </w:r>
      <w:r>
        <w:rPr>
          <w:rFonts w:hint="eastAsia" w:ascii="Times New Roman" w:hAnsi="Times New Roman"/>
          <w:color w:val="auto"/>
          <w:sz w:val="22"/>
          <w:lang w:eastAsia="zh-CN"/>
        </w:rPr>
        <w:t>；</w:t>
      </w:r>
    </w:p>
    <w:p w14:paraId="3BC79245">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多轴同步搅拌装置技术</w:t>
      </w:r>
      <w:r>
        <w:rPr>
          <w:rFonts w:hint="eastAsia" w:ascii="Times New Roman" w:hAnsi="Times New Roman"/>
          <w:color w:val="auto"/>
          <w:sz w:val="22"/>
          <w:lang w:eastAsia="zh-CN"/>
        </w:rPr>
        <w:t>；</w:t>
      </w:r>
    </w:p>
    <w:p w14:paraId="1B7358CD">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油漆桶转运定位与夹紧技术</w:t>
      </w:r>
      <w:r>
        <w:rPr>
          <w:rFonts w:hint="eastAsia" w:ascii="Times New Roman" w:hAnsi="Times New Roman"/>
          <w:color w:val="auto"/>
          <w:sz w:val="22"/>
          <w:lang w:eastAsia="zh-CN"/>
        </w:rPr>
        <w:t>；</w:t>
      </w:r>
    </w:p>
    <w:p w14:paraId="726E158A">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740937E4">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0B8B84E6">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经济效益：提升涂料生产效率，降低单位能耗，减少原料浪费，提高产品一致性，增强市场竞争力。</w:t>
      </w:r>
    </w:p>
    <w:p w14:paraId="7475A137">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社会效益：促进涂料行业绿色制造水平提升，减少生产过程中的污染排放，符合国家节能减排政策导向。</w:t>
      </w:r>
    </w:p>
    <w:p w14:paraId="36F7CFC0">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技术效益：推动搅拌系统向智能化、节能化方向发展，提升设备自动化水平，延长设备使用寿命。</w:t>
      </w:r>
    </w:p>
    <w:p w14:paraId="5C8177A4">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2F14216D">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控制系统优化：如何实现不同物料特性下的搅拌参数自适应调节，仍需进一步验证与优化。</w:t>
      </w:r>
    </w:p>
    <w:p w14:paraId="569D997A">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设备稳定性问题：在连续生产过程中，搅拌系统运行的稳定性与耐久性需要长期测试验证。</w:t>
      </w:r>
    </w:p>
    <w:p w14:paraId="369EFA40">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工艺适配性：不同种类涂料对搅拌工艺的要求存在差异，系统需具备较强的工艺兼容性。</w:t>
      </w:r>
    </w:p>
    <w:p w14:paraId="73DE57E5">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项目预算：初步估算项目研发总预算为</w:t>
      </w:r>
      <w:r>
        <w:rPr>
          <w:rFonts w:hint="eastAsia" w:ascii="Times New Roman" w:hAnsi="Times New Roman"/>
          <w:color w:val="auto"/>
          <w:sz w:val="22"/>
          <w:lang w:val="en-US" w:eastAsia="zh-CN"/>
        </w:rPr>
        <w:t>230</w:t>
      </w:r>
      <w:r>
        <w:rPr>
          <w:rFonts w:ascii="Times New Roman" w:hAnsi="Times New Roman"/>
          <w:color w:val="auto"/>
          <w:sz w:val="22"/>
        </w:rPr>
        <w:t>万元（具体金额根据研发进度和资源配置进一步细化）。</w:t>
      </w:r>
    </w:p>
    <w:p w14:paraId="365BF0F0">
      <w:pPr>
        <w:spacing w:line="360" w:lineRule="auto"/>
        <w:jc w:val="right"/>
        <w:rPr>
          <w:rFonts w:ascii="Times New Roman" w:hAnsi="Times New Roman"/>
          <w:color w:val="auto"/>
          <w:sz w:val="22"/>
          <w:szCs w:val="22"/>
        </w:rPr>
      </w:pPr>
    </w:p>
    <w:p w14:paraId="6E164710">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266B4926">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rPr>
        <w:t>2024年1月4日</w:t>
      </w:r>
    </w:p>
    <w:p w14:paraId="48351FA8">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1CFFCA9E">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2E8A490E">
      <w:pPr>
        <w:spacing w:line="360" w:lineRule="auto"/>
        <w:ind w:firstLine="440" w:firstLineChars="200"/>
        <w:rPr>
          <w:rFonts w:ascii="Times New Roman" w:hAnsi="Times New Roman"/>
          <w:color w:val="auto"/>
          <w:sz w:val="22"/>
          <w:szCs w:val="28"/>
        </w:rPr>
      </w:pPr>
      <w:r>
        <w:rPr>
          <w:rFonts w:ascii="Times New Roman" w:hAnsi="Times New Roman"/>
          <w:color w:val="auto"/>
          <w:sz w:val="22"/>
        </w:rPr>
        <w:t>当前涂料行业对高性能化学合成涂料的需求日益增长，但传统生产工艺在混合均匀性、反应控制稳定性等方面仍存在不足，影响产品性能与生产效率。为提升涂料合成过程中的自动化控制水平，优化工艺参数管理，我司决定立项研发“基于智能控制搅拌系统的高性能化学合成涂料研发”项目。请项目负责人</w:t>
      </w:r>
      <w:r>
        <w:rPr>
          <w:rFonts w:hint="eastAsia" w:ascii="Times New Roman" w:hAnsi="Times New Roman"/>
          <w:color w:val="auto"/>
          <w:sz w:val="22"/>
          <w:lang w:eastAsia="zh-CN"/>
        </w:rPr>
        <w:t>倪进</w:t>
      </w:r>
      <w:r>
        <w:rPr>
          <w:rFonts w:ascii="Times New Roman" w:hAnsi="Times New Roman"/>
          <w:color w:val="auto"/>
          <w:sz w:val="22"/>
        </w:rPr>
        <w:t>及团队成员严格按照项目计划执行，确保项目按时、按质、按量完成。同时，公司各相关部门应给予全力支持和配合，共同推动项目的顺利实施。</w:t>
      </w:r>
    </w:p>
    <w:p w14:paraId="7409CB96">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60C74339">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RD08</w:t>
      </w:r>
    </w:p>
    <w:p w14:paraId="77F2E663">
      <w:pPr>
        <w:spacing w:line="360" w:lineRule="auto"/>
        <w:rPr>
          <w:rFonts w:ascii="Times New Roman" w:hAnsi="Times New Roman"/>
          <w:color w:val="auto"/>
          <w:sz w:val="22"/>
          <w:szCs w:val="28"/>
        </w:rPr>
      </w:pPr>
      <w:r>
        <w:rPr>
          <w:rFonts w:hint="eastAsia" w:ascii="Times New Roman" w:hAnsi="Times New Roman"/>
          <w:color w:val="auto"/>
          <w:sz w:val="22"/>
          <w:szCs w:val="28"/>
        </w:rPr>
        <w:t>发文日期：2024年1月5日</w:t>
      </w:r>
    </w:p>
    <w:p w14:paraId="4EF41FC1">
      <w:pPr>
        <w:spacing w:line="360" w:lineRule="auto"/>
        <w:rPr>
          <w:rFonts w:ascii="Times New Roman" w:hAnsi="Times New Roman"/>
          <w:color w:val="auto"/>
          <w:sz w:val="22"/>
          <w:szCs w:val="28"/>
        </w:rPr>
      </w:pPr>
      <w:r>
        <w:rPr>
          <w:rFonts w:hint="eastAsia" w:ascii="Times New Roman" w:hAnsi="Times New Roman"/>
          <w:color w:val="auto"/>
          <w:sz w:val="22"/>
          <w:szCs w:val="28"/>
        </w:rPr>
        <w:t>项目名称：</w:t>
      </w:r>
      <w:r>
        <w:rPr>
          <w:rFonts w:ascii="Times New Roman" w:hAnsi="Times New Roman"/>
          <w:color w:val="auto"/>
          <w:sz w:val="22"/>
        </w:rPr>
        <w:t>基于智能控制搅拌系统的高性能化学合成涂料研发</w:t>
      </w:r>
    </w:p>
    <w:p w14:paraId="0CBDBE1B">
      <w:pPr>
        <w:spacing w:line="360" w:lineRule="auto"/>
        <w:rPr>
          <w:rFonts w:hint="eastAsia" w:ascii="Times New Roman" w:hAnsi="Times New Roman"/>
          <w:color w:val="auto"/>
          <w:sz w:val="22"/>
          <w:lang w:val="en-US" w:eastAsia="zh-CN"/>
        </w:rPr>
      </w:pPr>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丁小花、聂泽慧、龚久林、何琳琳、芦银行、胡代红、姜华、刘庆磊、孟庭苇、路小珠、孙海梅、王丽霞、王平、倪先根、王志远、吴红艳、薛进刚、杨怀亮、张国强、张贤宝、杨通友、邸允浩、</w:t>
      </w:r>
      <w:r>
        <w:rPr>
          <w:rFonts w:hint="eastAsia"/>
          <w:color w:val="auto"/>
          <w:vertAlign w:val="baseline"/>
          <w:lang w:val="en-US" w:eastAsia="zh-CN"/>
        </w:rPr>
        <w:t>张伟、程志、沈秩君、秦洪鸣、秦涛、李景田、董小东、王雪刚</w:t>
      </w:r>
    </w:p>
    <w:p w14:paraId="5F870C5C">
      <w:pPr>
        <w:spacing w:line="360" w:lineRule="auto"/>
        <w:rPr>
          <w:rFonts w:ascii="Times New Roman" w:hAnsi="Times New Roman"/>
          <w:color w:val="auto"/>
          <w:sz w:val="22"/>
          <w:szCs w:val="28"/>
        </w:rPr>
      </w:pPr>
      <w:r>
        <w:rPr>
          <w:rFonts w:hint="eastAsia" w:ascii="Times New Roman" w:hAnsi="Times New Roman"/>
          <w:color w:val="auto"/>
          <w:sz w:val="22"/>
          <w:szCs w:val="28"/>
        </w:rPr>
        <w:t>项目周期：2024年01月04日至2024年12月31日</w:t>
      </w:r>
    </w:p>
    <w:p w14:paraId="78B1E449">
      <w:pPr>
        <w:spacing w:line="360" w:lineRule="auto"/>
        <w:rPr>
          <w:rFonts w:ascii="Times New Roman" w:hAnsi="Times New Roman"/>
          <w:color w:val="auto"/>
          <w:sz w:val="22"/>
          <w:szCs w:val="28"/>
        </w:rPr>
      </w:pPr>
      <w:r>
        <w:rPr>
          <w:rFonts w:hint="eastAsia" w:ascii="Times New Roman" w:hAnsi="Times New Roman"/>
          <w:color w:val="auto"/>
          <w:sz w:val="22"/>
          <w:szCs w:val="28"/>
        </w:rPr>
        <w:t>项目预算：根据初步估算，项目总预算为</w:t>
      </w:r>
      <w:r>
        <w:rPr>
          <w:rFonts w:hint="eastAsia" w:ascii="Times New Roman" w:hAnsi="Times New Roman"/>
          <w:color w:val="auto"/>
          <w:sz w:val="22"/>
          <w:szCs w:val="28"/>
          <w:lang w:val="en-US" w:eastAsia="zh-CN"/>
        </w:rPr>
        <w:t>230</w:t>
      </w:r>
      <w:r>
        <w:rPr>
          <w:rFonts w:hint="eastAsia" w:ascii="Times New Roman" w:hAnsi="Times New Roman"/>
          <w:color w:val="auto"/>
          <w:sz w:val="22"/>
          <w:szCs w:val="28"/>
        </w:rPr>
        <w:t>万元（具体金额待细化后公布）</w:t>
      </w:r>
    </w:p>
    <w:p w14:paraId="4A34839A">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3FA9E74A">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74E77C84">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13EF9E02">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1340F144">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请项目团队成员及相关部门认真阅读以上内容，并按照要求开展工作。让我们共同努力，确保项目的顺利实施和圆满成功！</w:t>
      </w:r>
    </w:p>
    <w:p w14:paraId="1CEA07C8">
      <w:pPr>
        <w:spacing w:line="360" w:lineRule="auto"/>
        <w:rPr>
          <w:rFonts w:ascii="Times New Roman" w:hAnsi="Times New Roman"/>
          <w:color w:val="auto"/>
          <w:sz w:val="22"/>
          <w:szCs w:val="28"/>
        </w:rPr>
      </w:pPr>
    </w:p>
    <w:p w14:paraId="491D0E30">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24801455">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rPr>
        <w:t>2024年1月5日</w:t>
      </w:r>
    </w:p>
    <w:p w14:paraId="362218AC">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3B19B5A2">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5447D0FD">
      <w:pPr>
        <w:spacing w:line="360" w:lineRule="auto"/>
        <w:ind w:firstLine="440" w:firstLineChars="200"/>
        <w:rPr>
          <w:rFonts w:ascii="Times New Roman" w:hAnsi="Times New Roman"/>
          <w:color w:val="auto"/>
          <w:sz w:val="22"/>
          <w:szCs w:val="28"/>
        </w:rPr>
      </w:pPr>
      <w:r>
        <w:rPr>
          <w:rFonts w:ascii="Times New Roman" w:hAnsi="Times New Roman"/>
          <w:color w:val="auto"/>
          <w:sz w:val="22"/>
        </w:rPr>
        <w:t>“基于智能控制搅拌系统的高性能化学合成涂料研发”项目聚焦于高性能化学合成涂料的制备工艺优化与智能控制技术应用，重点研发适用于新材料领域的智能搅拌系统与高性能涂料配方。项目研发过程中，围绕涂料混合工艺与材料性能提升，形成了多项知识产权成果，包括软件著作权“智能混合搅拌树脂控制系统2024SR0200023”，以及实用新型专利“一种膨润土复合甲基丙烯酸聚合物高强度吸水剂及其制备方法ZL201910466194.7”、“一种合成树脂用搅拌装置ZL202320490196.1”、“一种油漆生产中的油漆桶转运装置ZL202221656904.6”。</w:t>
      </w:r>
    </w:p>
    <w:p w14:paraId="441C6413">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0160A251">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围绕高性能化学合成涂料的生产过程，重点解决树脂搅拌不均、吸水性能不足、转运效率低等关键技术问题，提升涂料产品的性能稳定性与生产效率。通过智能控制搅拌系统的开发，实现对树脂混合过程的实时监测与调节；通过吸水剂材料的优化，提高涂料的吸水性和机械强度；通过转运装置的设计，提升涂料在生产过程中的搬运效率和安全性。项目各项技术目标均已实现，为高性能涂料的清洁生产提供了技术支撑。</w:t>
      </w:r>
    </w:p>
    <w:p w14:paraId="4C1BA2DA">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669BD5C4">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07C04DC2">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智能混合搅拌控制技术：基于智能混合搅拌树脂控制系统，实现对搅拌过程的参数设定、运行监控与数据反馈，提升搅拌均匀性与过程可控性。</w:t>
      </w:r>
    </w:p>
    <w:p w14:paraId="1578AD72">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高强度吸水剂合成技术：采用膨润土复合甲基丙烯酸体系，结合交联剂和引发剂过硫酸铵，通过溶液聚合法制备出具备较高吸水倍率和压缩强度的吸水剂材料。</w:t>
      </w:r>
    </w:p>
    <w:p w14:paraId="7032A8FB">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多轴同步搅拌装置技术：通过蜗轮蜗杆传动结构，实现多个搅拌轴的同步旋转，提升树脂混合效率，降低能耗，增强搅拌效果。</w:t>
      </w:r>
    </w:p>
    <w:p w14:paraId="6E6CE5EB">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油漆桶转运定位与夹紧技术：通过导辊与限位结构的配合，实现油漆桶的快速定位与多桶同步夹紧，提升转运过程的安全性与效率。</w:t>
      </w:r>
    </w:p>
    <w:p w14:paraId="6EED4A8E">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2B6E4B8A">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搅拌过程智能化控制：将搅拌工艺与控制系统结合，实现树脂混合过程的数据化管理，提升生产过程的稳定性和可重复性。</w:t>
      </w:r>
    </w:p>
    <w:p w14:paraId="625CCFB4">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吸水剂材料结构优化：引入膨润土作为复合组分，提升吸水剂的机械强度，同时保持较高的吸水能力，适用于涂料中对水分调节的需求。</w:t>
      </w:r>
    </w:p>
    <w:p w14:paraId="2C95EACD">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多轴搅拌结构设计：通过蜗轮蜗杆传动方式，实现单电机驱动多轴搅拌，减少能耗，提高搅拌均匀性。</w:t>
      </w:r>
    </w:p>
    <w:p w14:paraId="097566C0">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pPr w:leftFromText="180" w:rightFromText="180" w:vertAnchor="text" w:horzAnchor="page" w:tblpX="1800" w:tblpY="469"/>
        <w:tblOverlap w:val="never"/>
        <w:tblW w:w="84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2833"/>
        <w:gridCol w:w="2833"/>
      </w:tblGrid>
      <w:tr w14:paraId="0CD7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restart"/>
            <w:shd w:val="clear" w:color="auto" w:fill="auto"/>
            <w:vAlign w:val="center"/>
          </w:tcPr>
          <w:p w14:paraId="174D2E77">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833" w:type="dxa"/>
            <w:shd w:val="clear" w:color="auto" w:fill="auto"/>
            <w:vAlign w:val="center"/>
          </w:tcPr>
          <w:p w14:paraId="6E09F69F">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833" w:type="dxa"/>
            <w:shd w:val="clear" w:color="auto" w:fill="auto"/>
            <w:vAlign w:val="center"/>
          </w:tcPr>
          <w:p w14:paraId="6EF41644">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144.49万</w:t>
            </w:r>
            <w:r>
              <w:rPr>
                <w:rFonts w:hint="eastAsia" w:ascii="Times New Roman" w:hAnsi="Times New Roman"/>
                <w:color w:val="auto"/>
                <w:sz w:val="22"/>
                <w:szCs w:val="28"/>
              </w:rPr>
              <w:t>元</w:t>
            </w:r>
          </w:p>
        </w:tc>
      </w:tr>
      <w:tr w14:paraId="2E1F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56E3D4B5">
            <w:pPr>
              <w:spacing w:line="360" w:lineRule="auto"/>
              <w:jc w:val="center"/>
              <w:rPr>
                <w:rFonts w:ascii="Times New Roman" w:hAnsi="Times New Roman"/>
                <w:color w:val="auto"/>
                <w:sz w:val="22"/>
                <w:szCs w:val="28"/>
              </w:rPr>
            </w:pPr>
          </w:p>
        </w:tc>
        <w:tc>
          <w:tcPr>
            <w:tcW w:w="2833" w:type="dxa"/>
            <w:shd w:val="clear" w:color="auto" w:fill="auto"/>
            <w:vAlign w:val="center"/>
          </w:tcPr>
          <w:p w14:paraId="06DEE796">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833" w:type="dxa"/>
            <w:shd w:val="clear" w:color="auto" w:fill="auto"/>
            <w:vAlign w:val="center"/>
          </w:tcPr>
          <w:p w14:paraId="559BA4EA">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43.69万</w:t>
            </w:r>
            <w:r>
              <w:rPr>
                <w:rFonts w:hint="eastAsia" w:ascii="Times New Roman" w:hAnsi="Times New Roman"/>
                <w:color w:val="auto"/>
                <w:sz w:val="22"/>
                <w:szCs w:val="28"/>
              </w:rPr>
              <w:t>元</w:t>
            </w:r>
          </w:p>
        </w:tc>
      </w:tr>
      <w:tr w14:paraId="71B4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2785533E">
            <w:pPr>
              <w:spacing w:line="360" w:lineRule="auto"/>
              <w:jc w:val="center"/>
              <w:rPr>
                <w:rFonts w:ascii="Times New Roman" w:hAnsi="Times New Roman"/>
                <w:color w:val="auto"/>
                <w:sz w:val="22"/>
                <w:szCs w:val="28"/>
              </w:rPr>
            </w:pPr>
          </w:p>
        </w:tc>
        <w:tc>
          <w:tcPr>
            <w:tcW w:w="2833" w:type="dxa"/>
            <w:shd w:val="clear" w:color="auto" w:fill="auto"/>
            <w:vAlign w:val="center"/>
          </w:tcPr>
          <w:p w14:paraId="626CFBE7">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833" w:type="dxa"/>
            <w:shd w:val="clear" w:color="auto" w:fill="auto"/>
            <w:vAlign w:val="center"/>
          </w:tcPr>
          <w:p w14:paraId="252435D8">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31.97万元</w:t>
            </w:r>
          </w:p>
        </w:tc>
      </w:tr>
      <w:tr w14:paraId="5EF9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583FA0B3">
            <w:pPr>
              <w:spacing w:line="360" w:lineRule="auto"/>
              <w:jc w:val="center"/>
              <w:rPr>
                <w:rFonts w:ascii="Times New Roman" w:hAnsi="Times New Roman"/>
                <w:color w:val="auto"/>
                <w:sz w:val="22"/>
                <w:szCs w:val="28"/>
              </w:rPr>
            </w:pPr>
          </w:p>
        </w:tc>
        <w:tc>
          <w:tcPr>
            <w:tcW w:w="2833" w:type="dxa"/>
            <w:shd w:val="clear" w:color="auto" w:fill="auto"/>
            <w:vAlign w:val="center"/>
          </w:tcPr>
          <w:p w14:paraId="0ED0B059">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833" w:type="dxa"/>
            <w:shd w:val="clear" w:color="auto" w:fill="auto"/>
            <w:vAlign w:val="center"/>
          </w:tcPr>
          <w:p w14:paraId="69FE6DFC">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0.47万</w:t>
            </w:r>
            <w:r>
              <w:rPr>
                <w:rFonts w:hint="eastAsia" w:ascii="Times New Roman" w:hAnsi="Times New Roman"/>
                <w:color w:val="auto"/>
                <w:sz w:val="22"/>
                <w:szCs w:val="28"/>
              </w:rPr>
              <w:t>元</w:t>
            </w:r>
          </w:p>
        </w:tc>
      </w:tr>
      <w:tr w14:paraId="69F2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2833" w:type="dxa"/>
            <w:vMerge w:val="continue"/>
            <w:shd w:val="clear" w:color="auto" w:fill="auto"/>
            <w:vAlign w:val="center"/>
          </w:tcPr>
          <w:p w14:paraId="378F4491">
            <w:pPr>
              <w:spacing w:line="360" w:lineRule="auto"/>
              <w:jc w:val="center"/>
              <w:rPr>
                <w:rFonts w:ascii="Times New Roman" w:hAnsi="Times New Roman"/>
                <w:color w:val="auto"/>
                <w:sz w:val="22"/>
                <w:szCs w:val="28"/>
              </w:rPr>
            </w:pPr>
          </w:p>
        </w:tc>
        <w:tc>
          <w:tcPr>
            <w:tcW w:w="2833" w:type="dxa"/>
            <w:shd w:val="clear" w:color="auto" w:fill="auto"/>
            <w:vAlign w:val="center"/>
          </w:tcPr>
          <w:p w14:paraId="15B4C145">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833" w:type="dxa"/>
            <w:shd w:val="clear" w:color="auto" w:fill="auto"/>
            <w:vAlign w:val="center"/>
          </w:tcPr>
          <w:p w14:paraId="6D3A8254">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220.62万</w:t>
            </w:r>
            <w:r>
              <w:rPr>
                <w:rFonts w:hint="eastAsia" w:ascii="Times New Roman" w:hAnsi="Times New Roman"/>
                <w:color w:val="auto"/>
                <w:sz w:val="22"/>
                <w:szCs w:val="28"/>
              </w:rPr>
              <w:t>元</w:t>
            </w:r>
          </w:p>
        </w:tc>
      </w:tr>
    </w:tbl>
    <w:p w14:paraId="461C3E6E">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74127EB7">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7C4708BE">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260EA665">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技术指标验收：对搅拌系统的控制精度、吸水剂的吸水倍率与压缩强度、搅拌装置的混合效率、转运装置的夹紧稳定性等关键技术指标进行测试，确认是否满足项目设定的技术要求。</w:t>
      </w:r>
    </w:p>
    <w:p w14:paraId="7E888850">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工艺流程验收：检查涂料生产过程中搅拌、混合、转运等环节的衔接性与稳定性，确保工艺流程顺畅、可控。</w:t>
      </w:r>
    </w:p>
    <w:p w14:paraId="5D8D426A">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安全与环境验收：评估搅拌装置与转运设备在运行过程中的安全性，检查是否存在漏电、漏液、滑动等安全隐患，确保符合安全生产规范。</w:t>
      </w:r>
    </w:p>
    <w:p w14:paraId="67A3B20A">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60FED782">
      <w:pPr>
        <w:spacing w:line="360" w:lineRule="auto"/>
        <w:ind w:firstLine="440" w:firstLineChars="200"/>
        <w:rPr>
          <w:rFonts w:ascii="Times New Roman" w:hAnsi="Times New Roman"/>
          <w:color w:val="auto"/>
          <w:sz w:val="22"/>
          <w:szCs w:val="28"/>
        </w:rPr>
      </w:pPr>
      <w:r>
        <w:rPr>
          <w:rFonts w:ascii="Times New Roman" w:hAnsi="Times New Roman"/>
          <w:color w:val="auto"/>
          <w:sz w:val="22"/>
        </w:rPr>
        <w:t>经过对项目技术指标、工艺流程、安全与环境等方面的综合评估，项目已达到预期目标，各项成果具备实际应用价值。项目通过验收，可进入后续推广应用阶段。</w:t>
      </w:r>
    </w:p>
    <w:p w14:paraId="1E64B216">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24D3FAF1">
      <w:pPr>
        <w:spacing w:line="360" w:lineRule="auto"/>
        <w:jc w:val="right"/>
        <w:rPr>
          <w:rFonts w:ascii="Times New Roman" w:hAnsi="Times New Roman"/>
          <w:color w:val="auto"/>
          <w:sz w:val="22"/>
          <w:szCs w:val="28"/>
        </w:rPr>
      </w:pPr>
      <w:r>
        <w:rPr>
          <w:rFonts w:hint="eastAsia" w:ascii="Times New Roman" w:hAnsi="Times New Roman"/>
          <w:color w:val="auto"/>
          <w:sz w:val="22"/>
          <w:szCs w:val="28"/>
        </w:rPr>
        <w:t>2024年12月29日</w:t>
      </w:r>
    </w:p>
    <w:bookmarkEnd w:id="0"/>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EC88">
    <w:pPr>
      <w:pStyle w:val="9"/>
      <w:widowControl/>
      <w:jc w:val="distribu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363C1"/>
    <w:multiLevelType w:val="singleLevel"/>
    <w:tmpl w:val="A31363C1"/>
    <w:lvl w:ilvl="0" w:tentative="0">
      <w:start w:val="1"/>
      <w:numFmt w:val="decimal"/>
      <w:lvlText w:val="(%1)"/>
      <w:lvlJc w:val="left"/>
      <w:pPr>
        <w:ind w:left="425" w:hanging="425"/>
      </w:pPr>
      <w:rPr>
        <w:rFonts w:hint="default"/>
      </w:rPr>
    </w:lvl>
  </w:abstractNum>
  <w:abstractNum w:abstractNumId="1">
    <w:nsid w:val="D9DBAEED"/>
    <w:multiLevelType w:val="singleLevel"/>
    <w:tmpl w:val="D9DBAEED"/>
    <w:lvl w:ilvl="0" w:tentative="0">
      <w:start w:val="4"/>
      <w:numFmt w:val="chineseCounting"/>
      <w:suff w:val="nothing"/>
      <w:lvlText w:val="%1、"/>
      <w:lvlJc w:val="left"/>
      <w:rPr>
        <w:rFonts w:hint="eastAsia"/>
      </w:rPr>
    </w:lvl>
  </w:abstractNum>
  <w:abstractNum w:abstractNumId="2">
    <w:nsid w:val="E8744EF6"/>
    <w:multiLevelType w:val="singleLevel"/>
    <w:tmpl w:val="E8744EF6"/>
    <w:lvl w:ilvl="0" w:tentative="0">
      <w:start w:val="1"/>
      <w:numFmt w:val="decimal"/>
      <w:lvlText w:val="(%1)"/>
      <w:lvlJc w:val="left"/>
      <w:pPr>
        <w:ind w:left="425" w:hanging="425"/>
      </w:pPr>
      <w:rPr>
        <w:rFonts w:hint="default"/>
      </w:rPr>
    </w:lvl>
  </w:abstractNum>
  <w:abstractNum w:abstractNumId="3">
    <w:nsid w:val="06EC32C5"/>
    <w:multiLevelType w:val="singleLevel"/>
    <w:tmpl w:val="06EC32C5"/>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72CCA1C2"/>
    <w:multiLevelType w:val="singleLevel"/>
    <w:tmpl w:val="72CCA1C2"/>
    <w:lvl w:ilvl="0" w:tentative="0">
      <w:start w:val="1"/>
      <w:numFmt w:val="decimal"/>
      <w:lvlText w:val="(%1)"/>
      <w:lvlJc w:val="left"/>
      <w:pPr>
        <w:ind w:left="425" w:hanging="425"/>
      </w:pPr>
      <w:rPr>
        <w:rFonts w:hint="default"/>
      </w:rPr>
    </w:lvl>
  </w:abstractNum>
  <w:abstractNum w:abstractNumId="6">
    <w:nsid w:val="77A6CEAA"/>
    <w:multiLevelType w:val="singleLevel"/>
    <w:tmpl w:val="77A6CEAA"/>
    <w:lvl w:ilvl="0" w:tentative="0">
      <w:start w:val="1"/>
      <w:numFmt w:val="decimal"/>
      <w:lvlText w:val="(%1)"/>
      <w:lvlJc w:val="left"/>
      <w:pPr>
        <w:ind w:left="425" w:hanging="425"/>
      </w:pPr>
      <w:rPr>
        <w:rFonts w:hint="default"/>
      </w:rPr>
    </w:lvl>
  </w:abstractNum>
  <w:num w:numId="1">
    <w:abstractNumId w:val="6"/>
  </w:num>
  <w:num w:numId="2">
    <w:abstractNumId w:val="4"/>
  </w:num>
  <w:num w:numId="3">
    <w:abstractNumId w:val="0"/>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084000"/>
    <w:rsid w:val="26C2328E"/>
    <w:rsid w:val="27A26C1B"/>
    <w:rsid w:val="289E0ED0"/>
    <w:rsid w:val="296A5517"/>
    <w:rsid w:val="29F574D6"/>
    <w:rsid w:val="2A224043"/>
    <w:rsid w:val="2B285689"/>
    <w:rsid w:val="2C9F16FD"/>
    <w:rsid w:val="2CD55C55"/>
    <w:rsid w:val="2D7B07E4"/>
    <w:rsid w:val="2E9D638E"/>
    <w:rsid w:val="2EA65243"/>
    <w:rsid w:val="2F104DB2"/>
    <w:rsid w:val="2FA21EAE"/>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9E76710"/>
    <w:rsid w:val="3A8B353F"/>
    <w:rsid w:val="3AFB2473"/>
    <w:rsid w:val="3B3D6F2F"/>
    <w:rsid w:val="3C5F2ED5"/>
    <w:rsid w:val="3C5F6A31"/>
    <w:rsid w:val="3CB5254A"/>
    <w:rsid w:val="3EC80563"/>
    <w:rsid w:val="3EEB27FE"/>
    <w:rsid w:val="3F9410E8"/>
    <w:rsid w:val="403A7968"/>
    <w:rsid w:val="40BC4452"/>
    <w:rsid w:val="41456B3D"/>
    <w:rsid w:val="41957E0C"/>
    <w:rsid w:val="41B432B2"/>
    <w:rsid w:val="41CF4659"/>
    <w:rsid w:val="42AE24C0"/>
    <w:rsid w:val="42B21FB1"/>
    <w:rsid w:val="42BA70B7"/>
    <w:rsid w:val="430976F7"/>
    <w:rsid w:val="44F05CF6"/>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1986815"/>
    <w:rsid w:val="52187956"/>
    <w:rsid w:val="527E4DA2"/>
    <w:rsid w:val="545F7ABE"/>
    <w:rsid w:val="546724CF"/>
    <w:rsid w:val="54BF35C3"/>
    <w:rsid w:val="55C7591B"/>
    <w:rsid w:val="55EB785C"/>
    <w:rsid w:val="56A93273"/>
    <w:rsid w:val="56CD51B3"/>
    <w:rsid w:val="57A26BF6"/>
    <w:rsid w:val="580B5F93"/>
    <w:rsid w:val="582E57DE"/>
    <w:rsid w:val="5842572D"/>
    <w:rsid w:val="58813D2B"/>
    <w:rsid w:val="588560FE"/>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7D55C76"/>
    <w:rsid w:val="682D7860"/>
    <w:rsid w:val="683926A8"/>
    <w:rsid w:val="684D7F02"/>
    <w:rsid w:val="685E210F"/>
    <w:rsid w:val="68D128E1"/>
    <w:rsid w:val="693D54D2"/>
    <w:rsid w:val="6A1D1B56"/>
    <w:rsid w:val="6AD018B4"/>
    <w:rsid w:val="6B036F9E"/>
    <w:rsid w:val="6B5B0B88"/>
    <w:rsid w:val="6B662E80"/>
    <w:rsid w:val="6BE0108D"/>
    <w:rsid w:val="6C042FCD"/>
    <w:rsid w:val="6C7434BE"/>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0F41D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3106</Words>
  <Characters>3248</Characters>
  <Lines>9</Lines>
  <Paragraphs>2</Paragraphs>
  <TotalTime>0</TotalTime>
  <ScaleCrop>false</ScaleCrop>
  <LinksUpToDate>false</LinksUpToDate>
  <CharactersWithSpaces>3250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2025-09-12T07:13:25Z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FE14C334EE7C484C9456BADA57DF475A_13</vt:lpwstr>
  </property>
  <property fmtid="{D5CDD505-2E9C-101B-9397-08002B2CF9AE}" pid="4" name="KSOTemplateDocerSaveRecord">
    <vt:lpwstr>eyJoZGlkIjoiYWJlMTc4NGIxMGQzZGM3ZTI0N2NkOWFkZjAxZDY0MjciLCJ1c2VySWQiOiIzODg4NjQwMzAifQ==</vt:lpwstr>
  </property>
</Properties>
</file>