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442B" w14:textId="2BB75633" w:rsidR="005B2DD3" w:rsidRDefault="009A40BE">
      <w:pPr>
        <w:rPr>
          <w:rFonts w:ascii="*Times New Roman-BoldItalic-452" w:hAnsi="*Times New Roman-BoldItalic-452" w:cs="*Times New Roman-BoldItalic-452"/>
          <w:b/>
          <w:bCs/>
          <w:i/>
          <w:iCs/>
          <w:kern w:val="0"/>
          <w:sz w:val="41"/>
          <w:szCs w:val="41"/>
        </w:rPr>
      </w:pPr>
      <w:r>
        <w:rPr>
          <w:rFonts w:ascii="*Minion Pro-Italic-4529-Identit" w:hAnsi="*Minion Pro-Italic-4529-Identit" w:cs="*Minion Pro-Italic-4529-Identit"/>
          <w:i/>
          <w:iCs/>
          <w:kern w:val="0"/>
          <w:sz w:val="25"/>
          <w:szCs w:val="25"/>
        </w:rPr>
        <w:t xml:space="preserve">Chapter </w:t>
      </w:r>
      <w:r>
        <w:rPr>
          <w:rFonts w:ascii="*Times New Roman-BoldItalic-452" w:hAnsi="*Times New Roman-BoldItalic-452" w:cs="*Times New Roman-BoldItalic-452"/>
          <w:b/>
          <w:bCs/>
          <w:i/>
          <w:iCs/>
          <w:kern w:val="0"/>
          <w:sz w:val="41"/>
          <w:szCs w:val="41"/>
        </w:rPr>
        <w:t>8</w:t>
      </w:r>
    </w:p>
    <w:p w14:paraId="4F89A3AC" w14:textId="77777777" w:rsidR="009A40BE" w:rsidRDefault="009A40BE">
      <w:pPr>
        <w:rPr>
          <w:rFonts w:ascii="*Times New Roman-BoldItalic-452" w:hAnsi="*Times New Roman-BoldItalic-452" w:cs="*Times New Roman-BoldItalic-452"/>
          <w:b/>
          <w:bCs/>
          <w:i/>
          <w:iCs/>
          <w:kern w:val="0"/>
          <w:sz w:val="41"/>
          <w:szCs w:val="41"/>
        </w:rPr>
      </w:pPr>
    </w:p>
    <w:p w14:paraId="2878E80F" w14:textId="77777777" w:rsidR="009A40BE" w:rsidRDefault="009A40BE" w:rsidP="009A40BE">
      <w:pPr>
        <w:autoSpaceDE w:val="0"/>
        <w:autoSpaceDN w:val="0"/>
        <w:adjustRightInd w:val="0"/>
        <w:spacing w:after="0" w:line="240" w:lineRule="auto"/>
        <w:jc w:val="center"/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</w:pPr>
      <w:r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  <w:t xml:space="preserve">Beyond Philosophy: </w:t>
      </w:r>
      <w:proofErr w:type="spellStart"/>
      <w:r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  <w:t>Suhrawardi's</w:t>
      </w:r>
      <w:proofErr w:type="spellEnd"/>
    </w:p>
    <w:p w14:paraId="5FC26E69" w14:textId="416B55FA" w:rsidR="009A40BE" w:rsidRDefault="009A40BE" w:rsidP="009A40BE">
      <w:pPr>
        <w:jc w:val="center"/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</w:pPr>
      <w:r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  <w:t>Illuminationist Path to Wisdom</w:t>
      </w:r>
    </w:p>
    <w:p w14:paraId="7A1794C7" w14:textId="77777777" w:rsidR="009A40BE" w:rsidRDefault="009A40BE" w:rsidP="009A40BE">
      <w:pPr>
        <w:rPr>
          <w:rFonts w:ascii="*Minion Pro-Bold-4528-Identity-" w:hAnsi="*Minion Pro-Bold-4528-Identity-" w:cs="*Minion Pro-Bold-4528-Identity-"/>
          <w:b/>
          <w:bCs/>
          <w:kern w:val="0"/>
          <w:sz w:val="43"/>
          <w:szCs w:val="43"/>
        </w:rPr>
      </w:pPr>
    </w:p>
    <w:p w14:paraId="0708A7A6" w14:textId="0B356D4D" w:rsidR="009A40BE" w:rsidRDefault="009A40BE" w:rsidP="009A40BE">
      <w:pPr>
        <w:jc w:val="center"/>
        <w:rPr>
          <w:rFonts w:ascii="*Minion Pro-BoldItalic-4527-Ide" w:hAnsi="*Minion Pro-BoldItalic-4527-Ide" w:cs="*Minion Pro-BoldItalic-4527-Ide"/>
          <w:b/>
          <w:bCs/>
          <w:i/>
          <w:iCs/>
          <w:kern w:val="0"/>
          <w:sz w:val="37"/>
          <w:szCs w:val="37"/>
        </w:rPr>
      </w:pPr>
      <w:r>
        <w:rPr>
          <w:rFonts w:ascii="*Minion Pro-BoldItalic-4527-Ide" w:hAnsi="*Minion Pro-BoldItalic-4527-Ide" w:cs="*Minion Pro-BoldItalic-4527-Ide"/>
          <w:b/>
          <w:bCs/>
          <w:i/>
          <w:iCs/>
          <w:kern w:val="0"/>
          <w:sz w:val="37"/>
          <w:szCs w:val="37"/>
        </w:rPr>
        <w:t>Hossein Ziai</w:t>
      </w:r>
    </w:p>
    <w:p w14:paraId="1DB647D5" w14:textId="77777777" w:rsidR="009A40BE" w:rsidRDefault="009A40BE" w:rsidP="009A40BE">
      <w:pPr>
        <w:rPr>
          <w:rFonts w:ascii="*Minion Pro-BoldItalic-4527-Ide" w:hAnsi="*Minion Pro-BoldItalic-4527-Ide" w:cs="*Minion Pro-BoldItalic-4527-Ide"/>
          <w:b/>
          <w:bCs/>
          <w:i/>
          <w:iCs/>
          <w:kern w:val="0"/>
          <w:sz w:val="37"/>
          <w:szCs w:val="37"/>
        </w:rPr>
      </w:pPr>
    </w:p>
    <w:p w14:paraId="486CBDF2" w14:textId="6922CB48" w:rsidR="009A40BE" w:rsidRDefault="009A40BE" w:rsidP="009A40BE">
      <w:pPr>
        <w:autoSpaceDE w:val="0"/>
        <w:autoSpaceDN w:val="0"/>
        <w:adjustRightInd w:val="0"/>
        <w:spacing w:after="0" w:line="240" w:lineRule="auto"/>
        <w:rPr>
          <w:rFonts w:ascii="*Times New Roman-9805-Identity-" w:hAnsi="*Times New Roman-9805-Identity-" w:cs="*Times New Roman-9805-Identity-"/>
          <w:kern w:val="0"/>
        </w:rPr>
      </w:pP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Is there a dimension in the religious tradition of Islam related to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"Myth, Philosophy, and Practice" confined neither to the prevalent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juridical nor to the historians' </w:t>
      </w:r>
      <w:proofErr w:type="gramStart"/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interpretation?*</w:t>
      </w:r>
      <w:proofErr w:type="gramEnd"/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As a participant in the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Colloquium I began to probe this question in earnest. I looked beyond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the Muslim jurists' and theologians' views of religious life, including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thought and practice, shaped purely on the basis of God's revelation to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Muhammad codified as a complete set of laws- 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the shar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i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'a.</w:t>
      </w:r>
      <w:r w:rsidRPr="009A40BE">
        <w:rPr>
          <w:rFonts w:ascii="*Minion Pro-Italic-4526-Identit" w:hAnsi="*Minion Pro-Italic-4526-Identit" w:cs="*Minion Pro-Italic-4526-Identit"/>
          <w:i/>
          <w:iCs/>
          <w:kern w:val="0"/>
          <w:vertAlign w:val="superscript"/>
        </w:rPr>
        <w:t>1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In examining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the intellectual traditions of Islam I concentrated on a school of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philosophy known as the philosophy of illumination, </w:t>
      </w:r>
      <w:proofErr w:type="spellStart"/>
      <w:r>
        <w:rPr>
          <w:rFonts w:ascii="*Minion Pro-Italic-4526-Identit" w:hAnsi="*Minion Pro-Italic-4526-Identit" w:cs="*Minion Pro-Italic-4526-Identit"/>
          <w:i/>
          <w:iCs/>
          <w:kern w:val="0"/>
        </w:rPr>
        <w:t>h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ikmat</w:t>
      </w:r>
      <w:proofErr w:type="spellEnd"/>
      <w:r>
        <w:rPr>
          <w:rFonts w:ascii="*Minion Pro-Italic-4526-Identit" w:hAnsi="*Minion Pro-Italic-4526-Identit" w:cs="*Minion Pro-Italic-4526-Identit"/>
          <w:i/>
          <w:iCs/>
          <w:kern w:val="0"/>
        </w:rPr>
        <w:t xml:space="preserve"> al-</w:t>
      </w:r>
      <w:proofErr w:type="spellStart"/>
      <w:r>
        <w:rPr>
          <w:rFonts w:ascii="*Minion Pro-Italic-4526-Identit" w:hAnsi="*Minion Pro-Italic-4526-Identit" w:cs="*Minion Pro-Italic-4526-Identit"/>
          <w:i/>
          <w:iCs/>
          <w:kern w:val="0"/>
        </w:rPr>
        <w:t>ishr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a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>q</w:t>
      </w:r>
      <w:proofErr w:type="spellEnd"/>
      <w:r>
        <w:rPr>
          <w:rFonts w:ascii="*Minion Pro-Italic-4526-Identit" w:hAnsi="*Minion Pro-Italic-4526-Identit" w:cs="*Minion Pro-Italic-4526-Identit"/>
          <w:i/>
          <w:iCs/>
          <w:kern w:val="0"/>
        </w:rPr>
        <w:t>.</w:t>
      </w:r>
      <w:r>
        <w:rPr>
          <w:rFonts w:ascii="*Minion Pro-Italic-4526-Identit" w:hAnsi="*Minion Pro-Italic-4526-Identit" w:cs="*Minion Pro-Italic-4526-Identit"/>
          <w:i/>
          <w:iCs/>
          <w:kern w:val="0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This philosophical way, while including the impact of Hellenic philosophy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on Islamic intellectual traditions, a s does the Islamic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proofErr w:type="spellStart"/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Peripateticism</w:t>
      </w:r>
      <w:proofErr w:type="spellEnd"/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>, attempts further to incorporate a special initial and</w:t>
      </w:r>
      <w:r>
        <w:rPr>
          <w:rFonts w:ascii="*Minion Pro-4525-Identity-H" w:hAnsi="*Minion Pro-4525-Identity-H" w:cs="*Minion Pro-4525-Identity-H"/>
          <w:kern w:val="0"/>
          <w:sz w:val="23"/>
          <w:szCs w:val="23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intuitive grasp of the whole of reality. In its attempt at a total formulation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of reality the philosophy of illumination aims to construct a consistent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system based on a prior innate knowledge.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This prior knowledge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 xml:space="preserve">is claimed to be based on an </w:t>
      </w:r>
      <w:r>
        <w:rPr>
          <w:rFonts w:ascii="*Times New Roman-Italic-9806-Id" w:hAnsi="*Times New Roman-Italic-9806-Id" w:cs="*Times New Roman-Italic-9806-Id"/>
          <w:i/>
          <w:iCs/>
          <w:kern w:val="0"/>
          <w:sz w:val="23"/>
          <w:szCs w:val="23"/>
        </w:rPr>
        <w:t xml:space="preserve">experience </w:t>
      </w:r>
      <w:r>
        <w:rPr>
          <w:rFonts w:ascii="*Times New Roman-9805-Identity-" w:hAnsi="*Times New Roman-9805-Identity-" w:cs="*Times New Roman-9805-Identity-"/>
          <w:kern w:val="0"/>
        </w:rPr>
        <w:t>of reality not confined to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cogitation and simple sense perception. The language of the philosophy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of illumination in its attempt to combine philosophical construction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and poetic perceptions is beyond ordinary language and ultimately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mytho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>-poetic. As I examined, with a comparative eye, the varied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texts in this tradition of philosophy in Islam, comparing its discursive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language to its metalanguage of the experienced and the imagined, a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set of issues presented themselves. These comprise questions relating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to a type of experienced knowledge which in practice continues to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inform and shape the world view not only of individual philosophers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and thinkers, but also of a larger group of poets as it relates to their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conception of God, man, and nature. Through a conscious use of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poetic language employing metaphor and using symbols of widely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 xml:space="preserve">known myths and legends, the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illuminationist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 xml:space="preserve">, </w:t>
      </w:r>
      <w:proofErr w:type="spellStart"/>
      <w:r>
        <w:rPr>
          <w:rFonts w:ascii="*Times New Roman-Italic-9806-Id" w:hAnsi="*Times New Roman-Italic-9806-Id" w:cs="*Times New Roman-Italic-9806-Id"/>
          <w:i/>
          <w:iCs/>
          <w:kern w:val="0"/>
          <w:sz w:val="23"/>
          <w:szCs w:val="23"/>
        </w:rPr>
        <w:t>ishraqi</w:t>
      </w:r>
      <w:proofErr w:type="spellEnd"/>
      <w:r>
        <w:rPr>
          <w:rFonts w:ascii="*Times New Roman-Italic-9806-Id" w:hAnsi="*Times New Roman-Italic-9806-Id" w:cs="*Times New Roman-Italic-9806-Id"/>
          <w:i/>
          <w:iCs/>
          <w:kern w:val="0"/>
          <w:sz w:val="23"/>
          <w:szCs w:val="23"/>
        </w:rPr>
        <w:t xml:space="preserve">, </w:t>
      </w:r>
      <w:r>
        <w:rPr>
          <w:rFonts w:ascii="*Times New Roman-9805-Identity-" w:hAnsi="*Times New Roman-9805-Identity-" w:cs="*Times New Roman-9805-Identity-"/>
          <w:kern w:val="0"/>
        </w:rPr>
        <w:t>tradition was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able to go beyond the formal Peripatetic philosophical teachings and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in so doing influence a much wider audience. This is evidenced in the</w:t>
      </w:r>
    </w:p>
    <w:p w14:paraId="0CDEDC07" w14:textId="0700400A" w:rsidR="009A40BE" w:rsidRDefault="009A40BE" w:rsidP="009A40BE">
      <w:pPr>
        <w:autoSpaceDE w:val="0"/>
        <w:autoSpaceDN w:val="0"/>
        <w:adjustRightInd w:val="0"/>
        <w:spacing w:after="0" w:line="240" w:lineRule="auto"/>
        <w:rPr>
          <w:rFonts w:ascii="*Times New Roman-9805-Identity-" w:hAnsi="*Times New Roman-9805-Identity-" w:cs="*Times New Roman-9805-Identity-"/>
          <w:kern w:val="0"/>
        </w:rPr>
      </w:pPr>
      <w:r>
        <w:rPr>
          <w:rFonts w:ascii="*Times New Roman-9805-Identity-" w:hAnsi="*Times New Roman-9805-Identity-" w:cs="*Times New Roman-9805-Identity-"/>
          <w:kern w:val="0"/>
        </w:rPr>
        <w:t xml:space="preserve">widespread use of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illuminationist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 xml:space="preserve"> terminology, symbols, and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metaphors in mystical poetry and in allegorical mystical and philosophical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tales. In this tradition, poetic wisdom came to be considered</w:t>
      </w:r>
    </w:p>
    <w:p w14:paraId="79430985" w14:textId="7BCCA2F8" w:rsidR="009A40BE" w:rsidRDefault="009A40BE" w:rsidP="009A40BE">
      <w:pPr>
        <w:autoSpaceDE w:val="0"/>
        <w:autoSpaceDN w:val="0"/>
        <w:adjustRightInd w:val="0"/>
        <w:spacing w:after="0" w:line="240" w:lineRule="auto"/>
        <w:rPr>
          <w:rFonts w:ascii="*Times New Roman-9805-Identity-" w:hAnsi="*Times New Roman-9805-Identity-" w:cs="*Times New Roman-9805-Identity-"/>
          <w:kern w:val="0"/>
        </w:rPr>
      </w:pPr>
      <w:r>
        <w:rPr>
          <w:rFonts w:ascii="*Times New Roman-9805-Identity-" w:hAnsi="*Times New Roman-9805-Identity-" w:cs="*Times New Roman-9805-Identity-"/>
          <w:kern w:val="0"/>
        </w:rPr>
        <w:t>the final means by which man was to learn his position in the world.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 xml:space="preserve">The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illuminationist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 xml:space="preserve"> dimension in the civilization of Islam may be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thought of as mystical indeed, but should not be identified purely with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Sufism and with the history of Sufi orders. Here the language of myth,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legend, and allegory is used to narrate stories that convey an experience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of life not confined to the recitation of a singular revelation.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Ordinary language is replaced by metaphor, and poetic wisdom comes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to be the recognized end of philosophy.</w:t>
      </w:r>
    </w:p>
    <w:p w14:paraId="143744E8" w14:textId="7D91E6D0" w:rsidR="009A40BE" w:rsidRDefault="009A40BE" w:rsidP="009A40BE">
      <w:pPr>
        <w:autoSpaceDE w:val="0"/>
        <w:autoSpaceDN w:val="0"/>
        <w:adjustRightInd w:val="0"/>
        <w:spacing w:after="0" w:line="240" w:lineRule="auto"/>
      </w:pPr>
      <w:r>
        <w:rPr>
          <w:rFonts w:ascii="*Times New Roman-9805-Identity-" w:hAnsi="*Times New Roman-9805-Identity-" w:cs="*Times New Roman-9805-Identity-"/>
          <w:kern w:val="0"/>
        </w:rPr>
        <w:t>In order to show the interconnection among myth, philosophy,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and poetic wisdom I shall concentrate on the allegorical formulation of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the philosophy of illumination, whose main proponent is the twelfth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century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 xml:space="preserve">Persian sage Shihab al-Din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Suhrawardi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 xml:space="preserve"> the Divine Master as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he is referred to in the texts-who in the year 1191 was executed by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order of the A</w:t>
      </w:r>
      <w:r>
        <w:rPr>
          <w:rFonts w:ascii="*Times New Roman-9808-Identity-" w:hAnsi="*Times New Roman-9808-Identity-" w:cs="*Times New Roman-9808-Identity-"/>
          <w:kern w:val="0"/>
          <w:sz w:val="14"/>
          <w:szCs w:val="14"/>
        </w:rPr>
        <w:t>yyu</w:t>
      </w:r>
      <w:r>
        <w:rPr>
          <w:rFonts w:ascii="*Times New Roman-9805-Identity-" w:hAnsi="*Times New Roman-9805-Identity-" w:cs="*Times New Roman-9805-Identity-"/>
          <w:kern w:val="0"/>
        </w:rPr>
        <w:t xml:space="preserve">bid Sultan Saladin in Aleppo, on </w:t>
      </w:r>
      <w:r>
        <w:rPr>
          <w:rFonts w:ascii="*Times New Roman-9805-Identity-" w:hAnsi="*Times New Roman-9805-Identity-" w:cs="*Times New Roman-9805-Identity-"/>
          <w:kern w:val="0"/>
        </w:rPr>
        <w:lastRenderedPageBreak/>
        <w:t>charges of proclaiming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prophethood.</w:t>
      </w:r>
      <w:r>
        <w:rPr>
          <w:rFonts w:ascii="*Minion Pro-9811-Identity-H" w:hAnsi="*Minion Pro-9811-Identity-H" w:cs="*Minion Pro-9811-Identity-H"/>
          <w:kern w:val="0"/>
          <w:sz w:val="12"/>
          <w:szCs w:val="12"/>
        </w:rPr>
        <w:t xml:space="preserve">2 </w:t>
      </w:r>
      <w:r>
        <w:rPr>
          <w:rFonts w:ascii="*Times New Roman-9805-Identity-" w:hAnsi="*Times New Roman-9805-Identity-" w:cs="*Times New Roman-9805-Identity-"/>
          <w:kern w:val="0"/>
        </w:rPr>
        <w:t>His major writings have been published by the late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 xml:space="preserve">Henry Corbin whose contribution to our understanding of </w:t>
      </w:r>
      <w:proofErr w:type="spellStart"/>
      <w:r>
        <w:rPr>
          <w:rFonts w:ascii="*Times New Roman-9805-Identity-" w:hAnsi="*Times New Roman-9805-Identity-" w:cs="*Times New Roman-9805-Identity-"/>
          <w:kern w:val="0"/>
        </w:rPr>
        <w:t>Suhraward</w:t>
      </w:r>
      <w:r>
        <w:rPr>
          <w:rFonts w:ascii="*Times New Roman-9805-Identity-" w:hAnsi="*Times New Roman-9805-Identity-" w:cs="*Times New Roman-9805-Identity-"/>
          <w:kern w:val="0"/>
        </w:rPr>
        <w:t>i</w:t>
      </w:r>
      <w:r>
        <w:rPr>
          <w:rFonts w:ascii="*Times New Roman-9805-Identity-" w:hAnsi="*Times New Roman-9805-Identity-" w:cs="*Times New Roman-9805-Identity-"/>
          <w:kern w:val="0"/>
        </w:rPr>
        <w:t>'s</w:t>
      </w:r>
      <w:proofErr w:type="spellEnd"/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thought and its impact on the development of "Iranian Islam" cannot be</w:t>
      </w:r>
      <w:r>
        <w:rPr>
          <w:rFonts w:ascii="*Times New Roman-9805-Identity-" w:hAnsi="*Times New Roman-9805-Identity-" w:cs="*Times New Roman-9805-Identity-"/>
          <w:kern w:val="0"/>
        </w:rPr>
        <w:t xml:space="preserve"> </w:t>
      </w:r>
      <w:r>
        <w:rPr>
          <w:rFonts w:ascii="*Times New Roman-9805-Identity-" w:hAnsi="*Times New Roman-9805-Identity-" w:cs="*Times New Roman-9805-Identity-"/>
          <w:kern w:val="0"/>
        </w:rPr>
        <w:t>overestimated.</w:t>
      </w:r>
      <w:r w:rsidRPr="009A40BE">
        <w:rPr>
          <w:rFonts w:ascii="*Times New Roman-9805-Identity-" w:hAnsi="*Times New Roman-9805-Identity-" w:cs="*Times New Roman-9805-Identity-"/>
          <w:kern w:val="0"/>
          <w:vertAlign w:val="superscript"/>
        </w:rPr>
        <w:t>3</w:t>
      </w:r>
      <w:r>
        <w:rPr>
          <w:rFonts w:ascii="*Times New Roman-9805-Identity-" w:hAnsi="*Times New Roman-9805-Identity-" w:cs="*Times New Roman-9805-Identity-"/>
          <w:kern w:val="0"/>
        </w:rPr>
        <w:t xml:space="preserve"> The philosophy of illumination is heir to an ancient</w:t>
      </w:r>
    </w:p>
    <w:sectPr w:rsidR="009A40BE" w:rsidSect="009A40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Times New Roman-BoldItalic-45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Italic-4529-Ident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Bold-4528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BoldItalic-4527-Id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4525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Times New Roman-9805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Italic-4526-Ident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Times New Roman-Italic-9806-I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Times New Roman-9808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981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E"/>
    <w:rsid w:val="005B2DD3"/>
    <w:rsid w:val="00761118"/>
    <w:rsid w:val="00780B4F"/>
    <w:rsid w:val="009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9B96"/>
  <w15:chartTrackingRefBased/>
  <w15:docId w15:val="{B8CBFDB3-D1CD-4C7D-97E8-A715A608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K. Rezakhani</dc:creator>
  <cp:keywords/>
  <dc:description/>
  <cp:lastModifiedBy>Hasan K. Rezakhani</cp:lastModifiedBy>
  <cp:revision>1</cp:revision>
  <dcterms:created xsi:type="dcterms:W3CDTF">2024-07-06T18:53:00Z</dcterms:created>
  <dcterms:modified xsi:type="dcterms:W3CDTF">2024-07-06T19:03:00Z</dcterms:modified>
</cp:coreProperties>
</file>