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320"/>
        <w:jc w:val="center"/>
        <w:rPr/>
      </w:pPr>
      <w:r>
        <w:rPr>
          <w:rFonts w:eastAsia="Arial" w:cs="Arial"/>
          <w:color w:val="9A7D0A"/>
          <w:sz w:val="18"/>
          <w:szCs w:val="18"/>
        </w:rPr>
        <w:t>HOARD: Heritage Observation And Report Drafter</w:t>
      </w:r>
    </w:p>
    <w:p>
      <w:pPr>
        <w:pStyle w:val="Normal"/>
        <w:spacing w:before="0" w:after="240"/>
        <w:jc w:val="center"/>
        <w:rPr/>
      </w:pPr>
      <w:r>
        <w:rPr>
          <w:rFonts w:eastAsia="Arial" w:cs="Arial"/>
          <w:b/>
          <w:bCs/>
          <w:color w:val="1B3A5C"/>
          <w:sz w:val="48"/>
          <w:szCs w:val="48"/>
        </w:rPr>
        <w:t>Technical Design Document</w:t>
      </w:r>
    </w:p>
    <w:p>
      <w:pPr>
        <w:pStyle w:val="Normal"/>
        <w:spacing w:before="0" w:after="120"/>
        <w:jc w:val="center"/>
        <w:rPr/>
      </w:pPr>
      <w:r>
        <w:rPr>
          <w:rFonts w:eastAsia="Arial" w:cs="Arial"/>
          <w:i/>
          <w:iCs/>
          <w:color w:val="2471A3"/>
          <w:sz w:val="24"/>
          <w:szCs w:val="24"/>
        </w:rPr>
        <w:t>Local Multi-Stage Pipeline · 6 GB VRAM Target · v2.0</w:t>
      </w:r>
    </w:p>
    <w:p>
      <w:pPr>
        <w:pStyle w:val="Normal"/>
        <w:pBdr>
          <w:top w:val="single" w:sz="8" w:space="0" w:color="9A7D0A"/>
          <w:bottom w:val="single" w:sz="8" w:space="0" w:color="9A7D0A"/>
        </w:pBdr>
        <w:spacing w:before="0" w:after="80"/>
        <w:jc w:val="center"/>
        <w:rPr/>
      </w:pPr>
      <w:r>
        <w:rPr>
          <w:rFonts w:eastAsia="Arial" w:cs="Arial"/>
          <w:color w:val="1C2833"/>
          <w:sz w:val="22"/>
          <w:szCs w:val="22"/>
        </w:rPr>
        <w:t xml:space="preserve"> </w:t>
      </w:r>
    </w:p>
    <w:p>
      <w:pPr>
        <w:pStyle w:val="Normal"/>
        <w:spacing w:before="160" w:after="80"/>
        <w:jc w:val="center"/>
        <w:rPr/>
      </w:pPr>
      <w:r>
        <w:rPr>
          <w:rFonts w:eastAsia="Arial" w:cs="Arial"/>
          <w:color w:val="5D6D7E"/>
          <w:sz w:val="20"/>
          <w:szCs w:val="20"/>
        </w:rPr>
        <w:t>Revised: 9 May 2026  ·  Status: Draft for Review</w:t>
      </w:r>
    </w:p>
    <w:p>
      <w:pPr>
        <w:pStyle w:val="Normal"/>
        <w:rPr/>
      </w:pPr>
      <w:r>
        <w:rPr/>
      </w:r>
      <w:r>
        <w:br w:type="page"/>
      </w:r>
    </w:p>
    <w:p>
      <w:pPr>
        <w:pStyle w:val="Heading1"/>
        <w:spacing w:before="0" w:after="200"/>
        <w:rPr/>
      </w:pPr>
      <w:r>
        <w:rPr>
          <w:rFonts w:eastAsia="Arial" w:cs="Arial" w:ascii="Arial" w:hAnsi="Arial"/>
          <w:b/>
          <w:bCs/>
          <w:color w:val="1B3A5C"/>
          <w:sz w:val="34"/>
          <w:szCs w:val="34"/>
        </w:rPr>
        <w:t>Document Purpose &amp; Scope</w:t>
      </w:r>
    </w:p>
    <w:p>
      <w:pPr>
        <w:pStyle w:val="Normal"/>
        <w:spacing w:before="80" w:after="140"/>
        <w:rPr/>
      </w:pPr>
      <w:r>
        <w:rPr>
          <w:rFonts w:eastAsia="Arial" w:cs="Arial"/>
          <w:color w:val="1C2833"/>
          <w:sz w:val="22"/>
          <w:szCs w:val="22"/>
        </w:rPr>
        <w:t>This document is the authoritative technical design for the Excavation Report Drafter: a fully local, multi-stage AI pipeline that converts raw field data — handwritten context sheets, finds catalogues, site photographs, section drawings, and sample results — into a near-publication-ready grey literature report conforming to the relevant national or regional heritage authority standard.</w:t>
      </w:r>
    </w:p>
    <w:p>
      <w:pPr>
        <w:pStyle w:val="Normal"/>
        <w:spacing w:before="80" w:after="140"/>
        <w:rPr/>
      </w:pPr>
      <w:r>
        <w:rPr>
          <w:rFonts w:eastAsia="Arial" w:cs="Arial"/>
          <w:color w:val="1C2833"/>
          <w:sz w:val="22"/>
          <w:szCs w:val="22"/>
        </w:rPr>
        <w:t>This revision substantially expands the original outline to provide: concrete intermediate data schemas, per-model VRAM budgets, confidence-gated review triggers, fallback strategies, a jurisdiction template engine specification, a CLI interface design, error handling policies, and a testing plan. A developer reading this document should be able to produce a working implementation without further scoping research.</w:t>
      </w:r>
    </w:p>
    <w:tbl>
      <w:tblPr>
        <w:tblW w:w="9360" w:type="dxa"/>
        <w:jc w:val="start"/>
        <w:tblInd w:w="0" w:type="dxa"/>
        <w:tblLayout w:type="fixed"/>
        <w:tblCellMar>
          <w:top w:w="100" w:type="dxa"/>
          <w:start w:w="160" w:type="dxa"/>
          <w:bottom w:w="100" w:type="dxa"/>
          <w:end w:w="120" w:type="dxa"/>
        </w:tblCellMar>
      </w:tblPr>
      <w:tblGrid>
        <w:gridCol w:w="1400"/>
        <w:gridCol w:w="7960"/>
      </w:tblGrid>
      <w:tr>
        <w:trPr/>
        <w:tc>
          <w:tcPr>
            <w:tcW w:w="1400" w:type="dxa"/>
            <w:tcBorders/>
            <w:shd w:fill="EBF5FB" w:val="clear"/>
          </w:tcPr>
          <w:p>
            <w:pPr>
              <w:pStyle w:val="Normal"/>
              <w:jc w:val="center"/>
              <w:rPr/>
            </w:pPr>
            <w:r>
              <w:rPr>
                <w:rFonts w:eastAsia="Arial" w:cs="Arial"/>
                <w:b/>
                <w:bCs/>
                <w:color w:val="2471A3"/>
                <w:sz w:val="19"/>
                <w:szCs w:val="19"/>
              </w:rPr>
              <w:t xml:space="preserve">ℹ  </w:t>
            </w:r>
            <w:r>
              <w:rPr>
                <w:rFonts w:eastAsia="Arial" w:cs="Arial"/>
                <w:b/>
                <w:bCs/>
                <w:color w:val="2471A3"/>
                <w:sz w:val="19"/>
                <w:szCs w:val="19"/>
              </w:rPr>
              <w:t>NOTE</w:t>
            </w:r>
          </w:p>
        </w:tc>
        <w:tc>
          <w:tcPr>
            <w:tcW w:w="7960" w:type="dxa"/>
            <w:tcBorders/>
            <w:shd w:fill="EBF5FB" w:val="clear"/>
            <w:tcMar>
              <w:end w:w="160" w:type="dxa"/>
            </w:tcMar>
          </w:tcPr>
          <w:p>
            <w:pPr>
              <w:pStyle w:val="Normal"/>
              <w:rPr/>
            </w:pPr>
            <w:r>
              <w:rPr>
                <w:rFonts w:eastAsia="Arial" w:cs="Arial"/>
                <w:color w:val="1B3A5C"/>
                <w:sz w:val="20"/>
                <w:szCs w:val="20"/>
              </w:rPr>
              <w:t>The pipeline is intentionally modular. Each phase writes its output to disk before the next phase loads. This allows models to be loaded and cleared sequentially, keeping peak VRAM within the 6 GB envelope, and allows individual phases to be re-run without repeating earlier work.</w:t>
            </w:r>
          </w:p>
        </w:tc>
      </w:tr>
    </w:tbl>
    <w:p>
      <w:pPr>
        <w:pStyle w:val="Normal"/>
        <w:spacing w:before="0" w:after="60"/>
        <w:rPr/>
      </w:pPr>
      <w:r>
        <w:rPr/>
      </w:r>
    </w:p>
    <w:p>
      <w:pPr>
        <w:pStyle w:val="Normal"/>
        <w:pBdr>
          <w:bottom w:val="single" w:sz="6" w:space="1" w:color="2471A3"/>
        </w:pBdr>
        <w:spacing w:before="240" w:after="240"/>
        <w:rPr/>
      </w:pPr>
      <w:r>
        <w:rPr/>
      </w:r>
    </w:p>
    <w:p>
      <w:pPr>
        <w:pStyle w:val="Heading1"/>
        <w:spacing w:before="560" w:after="200"/>
        <w:rPr/>
      </w:pPr>
      <w:r>
        <w:rPr>
          <w:rFonts w:eastAsia="Arial" w:cs="Arial" w:ascii="Arial" w:hAnsi="Arial"/>
          <w:b/>
          <w:bCs/>
          <w:color w:val="1B3A5C"/>
          <w:sz w:val="34"/>
          <w:szCs w:val="34"/>
        </w:rPr>
        <w:t>System Architecture Overview</w:t>
      </w:r>
    </w:p>
    <w:p>
      <w:pPr>
        <w:pStyle w:val="Normal"/>
        <w:spacing w:before="80" w:after="140"/>
        <w:rPr/>
      </w:pPr>
      <w:r>
        <w:rPr>
          <w:rFonts w:eastAsia="Arial" w:cs="Arial"/>
          <w:color w:val="1C2833"/>
          <w:sz w:val="22"/>
          <w:szCs w:val="22"/>
        </w:rPr>
        <w:t>The pipeline consists of five discrete phases plus a final assembly step. Each phase is an independent Python process invoked by a CLI orchestrator. All intermediate outputs are written to a structured working directory (</w:t>
      </w:r>
      <w:r>
        <w:rPr>
          <w:rFonts w:eastAsia="Courier New" w:cs="Courier New" w:ascii="Courier New" w:hAnsi="Courier New"/>
          <w:color w:val="1B3A5C"/>
          <w:sz w:val="18"/>
          <w:szCs w:val="18"/>
        </w:rPr>
        <w:t>./erd_workspace/{project_id}/</w:t>
      </w:r>
      <w:r>
        <w:rPr>
          <w:rFonts w:eastAsia="Arial" w:cs="Arial"/>
          <w:color w:val="1C2833"/>
          <w:sz w:val="22"/>
          <w:szCs w:val="22"/>
        </w:rPr>
        <w:t>).</w:t>
      </w:r>
    </w:p>
    <w:p>
      <w:pPr>
        <w:pStyle w:val="Normal"/>
        <w:spacing w:before="0" w:after="60"/>
        <w:rPr/>
      </w:pPr>
      <w:r>
        <w:rPr/>
      </w:r>
    </w:p>
    <w:tbl>
      <w:tblPr>
        <w:tblW w:w="9360" w:type="dxa"/>
        <w:jc w:val="start"/>
        <w:tblInd w:w="0" w:type="dxa"/>
        <w:tblLayout w:type="fixed"/>
        <w:tblCellMar>
          <w:top w:w="80" w:type="dxa"/>
          <w:start w:w="120" w:type="dxa"/>
          <w:bottom w:w="80" w:type="dxa"/>
          <w:end w:w="80" w:type="dxa"/>
        </w:tblCellMar>
      </w:tblPr>
      <w:tblGrid>
        <w:gridCol w:w="1872"/>
        <w:gridCol w:w="1872"/>
        <w:gridCol w:w="1872"/>
        <w:gridCol w:w="1872"/>
        <w:gridCol w:w="1872"/>
      </w:tblGrid>
      <w:tr>
        <w:trPr>
          <w:tblHeader w:val="true"/>
        </w:trPr>
        <w:tc>
          <w:tcPr>
            <w:tcW w:w="1872"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Phase</w:t>
            </w:r>
          </w:p>
        </w:tc>
        <w:tc>
          <w:tcPr>
            <w:tcW w:w="1872"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Name</w:t>
            </w:r>
          </w:p>
        </w:tc>
        <w:tc>
          <w:tcPr>
            <w:tcW w:w="1872"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Input</w:t>
            </w:r>
          </w:p>
        </w:tc>
        <w:tc>
          <w:tcPr>
            <w:tcW w:w="1872"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Output</w:t>
            </w:r>
          </w:p>
        </w:tc>
        <w:tc>
          <w:tcPr>
            <w:tcW w:w="1872"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Primary Model(s)</w:t>
            </w:r>
          </w:p>
        </w:tc>
      </w:tr>
      <w:tr>
        <w:trPr/>
        <w:tc>
          <w:tcPr>
            <w:tcW w:w="1872"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0</w:t>
            </w:r>
          </w:p>
        </w:tc>
        <w:tc>
          <w:tcPr>
            <w:tcW w:w="1872"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Ingestion &amp; Triage</w:t>
            </w:r>
          </w:p>
        </w:tc>
        <w:tc>
          <w:tcPr>
            <w:tcW w:w="1872"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Raw files (PDF, JPG, PNG, CSV)</w:t>
            </w:r>
          </w:p>
        </w:tc>
        <w:tc>
          <w:tcPr>
            <w:tcW w:w="1872"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File manifest JSON + quality flags</w:t>
            </w:r>
          </w:p>
        </w:tc>
        <w:tc>
          <w:tcPr>
            <w:tcW w:w="1872"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Rule-based + PaddleOCR-VL</w:t>
            </w:r>
          </w:p>
        </w:tc>
      </w:tr>
      <w:tr>
        <w:trPr/>
        <w:tc>
          <w:tcPr>
            <w:tcW w:w="187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1</w:t>
            </w:r>
          </w:p>
        </w:tc>
        <w:tc>
          <w:tcPr>
            <w:tcW w:w="187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Multi-Modal Digitisation</w:t>
            </w:r>
          </w:p>
        </w:tc>
        <w:tc>
          <w:tcPr>
            <w:tcW w:w="187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Scanned images, photos</w:t>
            </w:r>
          </w:p>
        </w:tc>
        <w:tc>
          <w:tcPr>
            <w:tcW w:w="187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Structured JSON + Markdown tables</w:t>
            </w:r>
          </w:p>
        </w:tc>
        <w:tc>
          <w:tcPr>
            <w:tcW w:w="187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TrOCR / Chandra OCR 2 / MinerU</w:t>
            </w:r>
          </w:p>
        </w:tc>
      </w:tr>
      <w:tr>
        <w:trPr/>
        <w:tc>
          <w:tcPr>
            <w:tcW w:w="1872"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2</w:t>
            </w:r>
          </w:p>
        </w:tc>
        <w:tc>
          <w:tcPr>
            <w:tcW w:w="1872"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Spatial Reconstruction</w:t>
            </w:r>
          </w:p>
        </w:tc>
        <w:tc>
          <w:tcPr>
            <w:tcW w:w="1872"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Plans, sections, drawings</w:t>
            </w:r>
          </w:p>
        </w:tc>
        <w:tc>
          <w:tcPr>
            <w:tcW w:w="1872"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CadQuery Python + annotated images</w:t>
            </w:r>
          </w:p>
        </w:tc>
        <w:tc>
          <w:tcPr>
            <w:tcW w:w="1872"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Zero-To-CAD + Gemma 4-E2B</w:t>
            </w:r>
          </w:p>
        </w:tc>
      </w:tr>
      <w:tr>
        <w:trPr/>
        <w:tc>
          <w:tcPr>
            <w:tcW w:w="187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3</w:t>
            </w:r>
          </w:p>
        </w:tc>
        <w:tc>
          <w:tcPr>
            <w:tcW w:w="187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Synthesis &amp; Drafting</w:t>
            </w:r>
          </w:p>
        </w:tc>
        <w:tc>
          <w:tcPr>
            <w:tcW w:w="187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All Phase 1-2 outputs</w:t>
            </w:r>
          </w:p>
        </w:tc>
        <w:tc>
          <w:tcPr>
            <w:tcW w:w="187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Structured draft (Markdown)</w:t>
            </w:r>
          </w:p>
        </w:tc>
        <w:tc>
          <w:tcPr>
            <w:tcW w:w="187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Qwen3.5-4B (Thinking Mode)</w:t>
            </w:r>
          </w:p>
        </w:tc>
      </w:tr>
      <w:tr>
        <w:trPr/>
        <w:tc>
          <w:tcPr>
            <w:tcW w:w="1872"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4</w:t>
            </w:r>
          </w:p>
        </w:tc>
        <w:tc>
          <w:tcPr>
            <w:tcW w:w="1872"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Compliance Refinement</w:t>
            </w:r>
          </w:p>
        </w:tc>
        <w:tc>
          <w:tcPr>
            <w:tcW w:w="1872"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Draft + jurisdiction template</w:t>
            </w:r>
          </w:p>
        </w:tc>
        <w:tc>
          <w:tcPr>
            <w:tcW w:w="1872"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Compliant report (Markdown/DOCX)</w:t>
            </w:r>
          </w:p>
        </w:tc>
        <w:tc>
          <w:tcPr>
            <w:tcW w:w="1872"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Gemma 4-E2B</w:t>
            </w:r>
          </w:p>
        </w:tc>
      </w:tr>
      <w:tr>
        <w:trPr/>
        <w:tc>
          <w:tcPr>
            <w:tcW w:w="187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5</w:t>
            </w:r>
          </w:p>
        </w:tc>
        <w:tc>
          <w:tcPr>
            <w:tcW w:w="187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Assembly &amp; Export</w:t>
            </w:r>
          </w:p>
        </w:tc>
        <w:tc>
          <w:tcPr>
            <w:tcW w:w="187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Refined report + assets</w:t>
            </w:r>
          </w:p>
        </w:tc>
        <w:tc>
          <w:tcPr>
            <w:tcW w:w="187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Final DOCX + PDF + archive package</w:t>
            </w:r>
          </w:p>
        </w:tc>
        <w:tc>
          <w:tcPr>
            <w:tcW w:w="187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Rule-based + pandoc</w:t>
            </w:r>
          </w:p>
        </w:tc>
      </w:tr>
    </w:tbl>
    <w:p>
      <w:pPr>
        <w:pStyle w:val="Normal"/>
        <w:spacing w:before="0" w:after="60"/>
        <w:rPr/>
      </w:pPr>
      <w:r>
        <w:rPr/>
      </w:r>
    </w:p>
    <w:p>
      <w:pPr>
        <w:pStyle w:val="Heading2"/>
        <w:spacing w:before="360" w:after="160"/>
        <w:rPr/>
      </w:pPr>
      <w:r>
        <w:rPr>
          <w:rFonts w:eastAsia="Arial" w:cs="Arial" w:ascii="Arial" w:hAnsi="Arial"/>
          <w:b/>
          <w:bCs/>
          <w:color w:val="2471A3"/>
          <w:sz w:val="26"/>
          <w:szCs w:val="26"/>
        </w:rPr>
        <w:t>Working Directory Structure</w:t>
      </w:r>
    </w:p>
    <w:tbl>
      <w:tblPr>
        <w:tblW w:w="9360" w:type="dxa"/>
        <w:jc w:val="start"/>
        <w:tblInd w:w="0" w:type="dxa"/>
        <w:tblLayout w:type="fixed"/>
        <w:tblCellMar>
          <w:top w:w="120" w:type="dxa"/>
          <w:start w:w="200" w:type="dxa"/>
          <w:bottom w:w="12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1C2833" w:val="clear"/>
          </w:tcPr>
          <w:p>
            <w:pPr>
              <w:pStyle w:val="Normal"/>
              <w:spacing w:before="0" w:after="20"/>
              <w:rPr/>
            </w:pPr>
            <w:r>
              <w:rPr>
                <w:rFonts w:eastAsia="Courier New" w:cs="Courier New" w:ascii="Courier New" w:hAnsi="Courier New"/>
                <w:color w:val="A9CCE3"/>
                <w:sz w:val="17"/>
                <w:szCs w:val="17"/>
              </w:rPr>
              <w:t>erd_workspace/</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{project_id}/</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00_manifest/        # Phase 0 file manifest and quality report</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01_digitised/       # Phase 1 JSON outputs per source document</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02_spatial/         # Phase 2 CadQuery scripts and annotated images</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03_draft/           # Phase 3 Markdown draft sections</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04_refined/         # Phase 4 jurisdiction-compliant Markdown</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05_final/           # Final DOCX, PDF, archive ZIP</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assets/             # Copied/normalised input images for embedding</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logs/               # Per-phase logs with model confidence scores</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pipeline_state.json # Resumable pipeline state</w:t>
            </w:r>
          </w:p>
        </w:tc>
      </w:tr>
    </w:tbl>
    <w:p>
      <w:pPr>
        <w:pStyle w:val="Normal"/>
        <w:spacing w:before="0" w:after="60"/>
        <w:rPr/>
      </w:pPr>
      <w:r>
        <w:rPr/>
      </w:r>
    </w:p>
    <w:p>
      <w:pPr>
        <w:pStyle w:val="Heading2"/>
        <w:spacing w:before="360" w:after="160"/>
        <w:rPr/>
      </w:pPr>
      <w:r>
        <w:rPr>
          <w:rFonts w:eastAsia="Arial" w:cs="Arial" w:ascii="Arial" w:hAnsi="Arial"/>
          <w:b/>
          <w:bCs/>
          <w:color w:val="2471A3"/>
          <w:sz w:val="26"/>
          <w:szCs w:val="26"/>
        </w:rPr>
        <w:t>Resumability</w:t>
      </w:r>
    </w:p>
    <w:p>
      <w:pPr>
        <w:pStyle w:val="Normal"/>
        <w:spacing w:before="80" w:after="140"/>
        <w:rPr/>
      </w:pPr>
      <w:r>
        <w:rPr>
          <w:rFonts w:eastAsia="Arial" w:cs="Arial"/>
          <w:color w:val="1C2833"/>
          <w:sz w:val="22"/>
          <w:szCs w:val="22"/>
        </w:rPr>
        <w:t xml:space="preserve">Each phase checks </w:t>
      </w:r>
      <w:r>
        <w:rPr>
          <w:rFonts w:eastAsia="Courier New" w:cs="Courier New" w:ascii="Courier New" w:hAnsi="Courier New"/>
          <w:color w:val="1B3A5C"/>
          <w:sz w:val="18"/>
          <w:szCs w:val="18"/>
        </w:rPr>
        <w:t>pipeline_state.json</w:t>
      </w:r>
      <w:r>
        <w:rPr>
          <w:rFonts w:eastAsia="Arial" w:cs="Arial"/>
          <w:color w:val="1C2833"/>
          <w:sz w:val="22"/>
          <w:szCs w:val="22"/>
        </w:rPr>
        <w:t xml:space="preserve"> before running. If a phase is marked </w:t>
      </w:r>
      <w:r>
        <w:rPr>
          <w:rFonts w:eastAsia="Courier New" w:cs="Courier New" w:ascii="Courier New" w:hAnsi="Courier New"/>
          <w:color w:val="1B3A5C"/>
          <w:sz w:val="18"/>
          <w:szCs w:val="18"/>
        </w:rPr>
        <w:t>"complete"</w:t>
      </w:r>
      <w:r>
        <w:rPr>
          <w:rFonts w:eastAsia="Arial" w:cs="Arial"/>
          <w:color w:val="1C2833"/>
          <w:sz w:val="22"/>
          <w:szCs w:val="22"/>
        </w:rPr>
        <w:t xml:space="preserve"> it is skipped. This allows the pipeline to be re-started after a crash or power cut without re-running expensive inference steps. Individual phases can be force-re-run with the </w:t>
      </w:r>
      <w:r>
        <w:rPr>
          <w:rFonts w:eastAsia="Courier New" w:cs="Courier New" w:ascii="Courier New" w:hAnsi="Courier New"/>
          <w:color w:val="1B3A5C"/>
          <w:sz w:val="18"/>
          <w:szCs w:val="18"/>
        </w:rPr>
        <w:t>--rerun-phase N</w:t>
      </w:r>
      <w:r>
        <w:rPr>
          <w:rFonts w:eastAsia="Arial" w:cs="Arial"/>
          <w:color w:val="1C2833"/>
          <w:sz w:val="22"/>
          <w:szCs w:val="22"/>
        </w:rPr>
        <w:t xml:space="preserve"> flag.</w:t>
      </w:r>
    </w:p>
    <w:p>
      <w:pPr>
        <w:pStyle w:val="Normal"/>
        <w:spacing w:before="0" w:after="60"/>
        <w:rPr/>
      </w:pPr>
      <w:r>
        <w:rPr/>
      </w:r>
    </w:p>
    <w:p>
      <w:pPr>
        <w:pStyle w:val="Normal"/>
        <w:pBdr>
          <w:bottom w:val="single" w:sz="6" w:space="1" w:color="2471A3"/>
        </w:pBdr>
        <w:spacing w:before="240" w:after="240"/>
        <w:rPr/>
      </w:pPr>
      <w:r>
        <w:rPr/>
      </w:r>
    </w:p>
    <w:p>
      <w:pPr>
        <w:pStyle w:val="Normal"/>
        <w:spacing w:before="0" w:after="60"/>
        <w:rPr/>
      </w:pPr>
      <w:r>
        <w:rPr/>
      </w:r>
    </w:p>
    <w:tbl>
      <w:tblPr>
        <w:tblW w:w="9360" w:type="dxa"/>
        <w:jc w:val="start"/>
        <w:tblInd w:w="0" w:type="dxa"/>
        <w:tblLayout w:type="fixed"/>
        <w:tblCellMar>
          <w:top w:w="120" w:type="dxa"/>
          <w:start w:w="160" w:type="dxa"/>
          <w:bottom w:w="120" w:type="dxa"/>
          <w:end w:w="120" w:type="dxa"/>
        </w:tblCellMar>
      </w:tblPr>
      <w:tblGrid>
        <w:gridCol w:w="1199"/>
        <w:gridCol w:w="8161"/>
      </w:tblGrid>
      <w:tr>
        <w:trPr/>
        <w:tc>
          <w:tcPr>
            <w:tcW w:w="1199" w:type="dxa"/>
            <w:tcBorders>
              <w:top w:val="single" w:sz="6" w:space="0" w:color="9A7D0A"/>
              <w:bottom w:val="single" w:sz="6" w:space="0" w:color="9A7D0A"/>
            </w:tcBorders>
            <w:shd w:fill="1B3A5C" w:val="clear"/>
          </w:tcPr>
          <w:p>
            <w:pPr>
              <w:pStyle w:val="Normal"/>
              <w:jc w:val="center"/>
              <w:rPr/>
            </w:pPr>
            <w:r>
              <w:rPr>
                <w:rFonts w:eastAsia="Arial" w:cs="Arial"/>
                <w:b/>
                <w:bCs/>
                <w:caps/>
                <w:color w:val="9A7D0A"/>
                <w:sz w:val="16"/>
                <w:szCs w:val="16"/>
              </w:rPr>
              <w:t>PHASE</w:t>
            </w:r>
          </w:p>
          <w:p>
            <w:pPr>
              <w:pStyle w:val="Normal"/>
              <w:jc w:val="center"/>
              <w:rPr/>
            </w:pPr>
            <w:r>
              <w:rPr>
                <w:rFonts w:eastAsia="Arial" w:cs="Arial"/>
                <w:b/>
                <w:bCs/>
                <w:color w:val="FFFFFF"/>
                <w:sz w:val="40"/>
                <w:szCs w:val="40"/>
              </w:rPr>
              <w:t>0</w:t>
            </w:r>
          </w:p>
        </w:tc>
        <w:tc>
          <w:tcPr>
            <w:tcW w:w="8161" w:type="dxa"/>
            <w:tcBorders>
              <w:top w:val="single" w:sz="6" w:space="0" w:color="9A7D0A"/>
              <w:bottom w:val="single" w:sz="6" w:space="0" w:color="9A7D0A"/>
            </w:tcBorders>
            <w:shd w:fill="2471A3" w:val="clear"/>
            <w:tcMar>
              <w:start w:w="200" w:type="dxa"/>
            </w:tcMar>
          </w:tcPr>
          <w:p>
            <w:pPr>
              <w:pStyle w:val="Normal"/>
              <w:rPr/>
            </w:pPr>
            <w:r>
              <w:rPr>
                <w:rFonts w:eastAsia="Arial" w:cs="Arial"/>
                <w:b/>
                <w:bCs/>
                <w:color w:val="FFFFFF"/>
                <w:sz w:val="30"/>
                <w:szCs w:val="30"/>
              </w:rPr>
              <w:t>Ingestion &amp; Triage</w:t>
            </w:r>
          </w:p>
          <w:p>
            <w:pPr>
              <w:pStyle w:val="Normal"/>
              <w:rPr/>
            </w:pPr>
            <w:r>
              <w:rPr>
                <w:rFonts w:eastAsia="Arial" w:cs="Arial"/>
                <w:i/>
                <w:iCs/>
                <w:color w:val="BFD9F0"/>
                <w:sz w:val="20"/>
                <w:szCs w:val="20"/>
              </w:rPr>
              <w:t>Normalise inputs, assess quality, flag problems before expensive inference begins</w:t>
            </w:r>
          </w:p>
        </w:tc>
      </w:tr>
    </w:tbl>
    <w:p>
      <w:pPr>
        <w:pStyle w:val="Normal"/>
        <w:spacing w:before="0" w:after="60"/>
        <w:rPr/>
      </w:pPr>
      <w:r>
        <w:rPr/>
      </w:r>
    </w:p>
    <w:p>
      <w:pPr>
        <w:pStyle w:val="Heading2"/>
        <w:spacing w:before="360" w:after="160"/>
        <w:rPr/>
      </w:pPr>
      <w:r>
        <w:rPr>
          <w:rFonts w:eastAsia="Arial" w:cs="Arial" w:ascii="Arial" w:hAnsi="Arial"/>
          <w:b/>
          <w:bCs/>
          <w:color w:val="2471A3"/>
          <w:sz w:val="26"/>
          <w:szCs w:val="26"/>
        </w:rPr>
        <w:t>Purpose</w:t>
      </w:r>
    </w:p>
    <w:p>
      <w:pPr>
        <w:pStyle w:val="Normal"/>
        <w:spacing w:before="80" w:after="140"/>
        <w:rPr/>
      </w:pPr>
      <w:r>
        <w:rPr>
          <w:rFonts w:eastAsia="Arial" w:cs="Arial"/>
          <w:color w:val="1C2833"/>
          <w:sz w:val="22"/>
          <w:szCs w:val="22"/>
        </w:rPr>
        <w:t>Before any model is loaded, all input files are inventoried, normalised, and assessed for quality. This phase is entirely rule-based and costs zero VRAM. Its job is to catch problems early — corrupt files, unreadable scans, missing mandatory fields — so that the researcher is informed before the pipeline spends 20 minutes on Phase 1.</w:t>
      </w:r>
    </w:p>
    <w:p>
      <w:pPr>
        <w:pStyle w:val="Heading2"/>
        <w:spacing w:before="360" w:after="160"/>
        <w:rPr/>
      </w:pPr>
      <w:r>
        <w:rPr>
          <w:rFonts w:eastAsia="Arial" w:cs="Arial" w:ascii="Arial" w:hAnsi="Arial"/>
          <w:b/>
          <w:bCs/>
          <w:color w:val="2471A3"/>
          <w:sz w:val="26"/>
          <w:szCs w:val="26"/>
        </w:rPr>
        <w:t>Input Specification</w:t>
      </w:r>
    </w:p>
    <w:p>
      <w:pPr>
        <w:pStyle w:val="Normal"/>
        <w:spacing w:before="80" w:after="140"/>
        <w:rPr/>
      </w:pPr>
      <w:r>
        <w:rPr>
          <w:rFonts w:eastAsia="Arial" w:cs="Arial"/>
          <w:color w:val="1C2833"/>
          <w:sz w:val="22"/>
          <w:szCs w:val="22"/>
        </w:rPr>
        <w:t xml:space="preserve">The pipeline accepts the following input types, placed in an </w:t>
      </w:r>
      <w:r>
        <w:rPr>
          <w:rFonts w:eastAsia="Courier New" w:cs="Courier New" w:ascii="Courier New" w:hAnsi="Courier New"/>
          <w:color w:val="1B3A5C"/>
          <w:sz w:val="18"/>
          <w:szCs w:val="18"/>
        </w:rPr>
        <w:t>./input/</w:t>
      </w:r>
      <w:r>
        <w:rPr>
          <w:rFonts w:eastAsia="Arial" w:cs="Arial"/>
          <w:color w:val="1C2833"/>
          <w:sz w:val="22"/>
          <w:szCs w:val="22"/>
        </w:rPr>
        <w:t xml:space="preserve"> directory or specified individually via CLI flags:</w:t>
      </w:r>
    </w:p>
    <w:tbl>
      <w:tblPr>
        <w:tblW w:w="9360" w:type="dxa"/>
        <w:jc w:val="start"/>
        <w:tblInd w:w="0" w:type="dxa"/>
        <w:tblLayout w:type="fixed"/>
        <w:tblCellMar>
          <w:top w:w="80" w:type="dxa"/>
          <w:start w:w="120" w:type="dxa"/>
          <w:bottom w:w="80" w:type="dxa"/>
          <w:end w:w="80" w:type="dxa"/>
        </w:tblCellMar>
      </w:tblPr>
      <w:tblGrid>
        <w:gridCol w:w="2340"/>
        <w:gridCol w:w="2340"/>
        <w:gridCol w:w="2340"/>
        <w:gridCol w:w="2340"/>
      </w:tblGrid>
      <w:tr>
        <w:trPr>
          <w:tblHeader w:val="true"/>
        </w:trPr>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File Type</w:t>
            </w:r>
          </w:p>
        </w:tc>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Expected Source</w:t>
            </w:r>
          </w:p>
        </w:tc>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Format(s) Accepted</w:t>
            </w:r>
          </w:p>
        </w:tc>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Mandatory?</w:t>
            </w:r>
          </w:p>
        </w:tc>
      </w:tr>
      <w:tr>
        <w:trPr/>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Context sheets</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Site recording forms (handwritten or printed)</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JPG, PNG, PDF, HEIC</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Yes</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Finds catalogue</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Finds register (typed CSV or handwritten form)</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CSV, XLSX, JPG, PNG, PDF</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Yes</w:t>
            </w:r>
          </w:p>
        </w:tc>
      </w:tr>
      <w:tr>
        <w:trPr/>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Site photographs</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Field photography</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JPG, PNG, HEIC, RAF, NEF</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No</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Plans</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Drawn or CAD-exported site plans</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JPG, PNG, PDF, DXF, SVG</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No</w:t>
            </w:r>
          </w:p>
        </w:tc>
      </w:tr>
      <w:tr>
        <w:trPr/>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Section drawings</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Drawn section profiles</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JPG, PNG, PDF, SVG</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No</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Sample results</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Environmental / dating lab reports</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PDF, CSV, TXT</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No</w:t>
            </w:r>
          </w:p>
        </w:tc>
      </w:tr>
      <w:tr>
        <w:trPr/>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Existing text</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Previously typed notes or partial draft</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TXT, DOCX, MD</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No</w:t>
            </w:r>
          </w:p>
        </w:tc>
      </w:tr>
    </w:tbl>
    <w:p>
      <w:pPr>
        <w:pStyle w:val="Normal"/>
        <w:spacing w:before="0" w:after="60"/>
        <w:rPr/>
      </w:pPr>
      <w:r>
        <w:rPr/>
      </w:r>
    </w:p>
    <w:p>
      <w:pPr>
        <w:pStyle w:val="Heading2"/>
        <w:spacing w:before="360" w:after="160"/>
        <w:rPr/>
      </w:pPr>
      <w:r>
        <w:rPr>
          <w:rFonts w:eastAsia="Arial" w:cs="Arial" w:ascii="Arial" w:hAnsi="Arial"/>
          <w:b/>
          <w:bCs/>
          <w:color w:val="2471A3"/>
          <w:sz w:val="26"/>
          <w:szCs w:val="26"/>
        </w:rPr>
        <w:t>Triage Steps</w:t>
      </w:r>
    </w:p>
    <w:p>
      <w:pPr>
        <w:pStyle w:val="ListParagraph"/>
        <w:numPr>
          <w:ilvl w:val="0"/>
          <w:numId w:val="4"/>
        </w:numPr>
        <w:spacing w:before="40" w:after="60"/>
        <w:rPr/>
      </w:pPr>
      <w:r>
        <w:rPr>
          <w:rFonts w:eastAsia="Arial" w:cs="Arial"/>
          <w:color w:val="1C2833"/>
          <w:sz w:val="21"/>
          <w:szCs w:val="21"/>
        </w:rPr>
        <w:t>Enumerate all files in the input directory and log extensions, sizes, and hashes.</w:t>
      </w:r>
    </w:p>
    <w:p>
      <w:pPr>
        <w:pStyle w:val="ListParagraph"/>
        <w:numPr>
          <w:ilvl w:val="0"/>
          <w:numId w:val="1"/>
        </w:numPr>
        <w:spacing w:before="40" w:after="60"/>
        <w:rPr/>
      </w:pPr>
      <w:r>
        <w:rPr>
          <w:rFonts w:eastAsia="Arial" w:cs="Arial"/>
          <w:color w:val="1C2833"/>
          <w:sz w:val="21"/>
          <w:szCs w:val="21"/>
        </w:rPr>
        <w:t xml:space="preserve">Convert HEIC, RAW, and multi-page PDF inputs to normalised PNG (300 DPI minimum) using Pillow / Wand. Store in </w:t>
      </w:r>
    </w:p>
    <w:p>
      <w:pPr>
        <w:pStyle w:val="ListParagraph"/>
        <w:numPr>
          <w:ilvl w:val="0"/>
          <w:numId w:val="1"/>
        </w:numPr>
        <w:spacing w:before="40" w:after="60"/>
        <w:rPr/>
      </w:pPr>
      <w:r>
        <w:rPr>
          <w:rFonts w:eastAsia="Arial" w:cs="Arial"/>
          <w:color w:val="1C2833"/>
          <w:sz w:val="21"/>
          <w:szCs w:val="21"/>
        </w:rPr>
        <w:t>Run a fast image quality check using OpenCV: detect blur (Laplacian variance &lt; 80 = flag), extreme skew (&gt; 15° = flag), and underexposure (mean pixel value &lt; 40 = flag).</w:t>
      </w:r>
    </w:p>
    <w:p>
      <w:pPr>
        <w:pStyle w:val="ListParagraph"/>
        <w:numPr>
          <w:ilvl w:val="0"/>
          <w:numId w:val="1"/>
        </w:numPr>
        <w:spacing w:before="40" w:after="60"/>
        <w:rPr/>
      </w:pPr>
      <w:r>
        <w:rPr>
          <w:rFonts w:eastAsia="Arial" w:cs="Arial"/>
          <w:color w:val="1C2833"/>
          <w:sz w:val="21"/>
          <w:szCs w:val="21"/>
        </w:rPr>
        <w:t>Classify each image as: context_sheet, finds_form, site_photo, plan, section, or unknown using a lightweight classifier (MobileNetV3, &lt; 20 MB, no GPU needed).</w:t>
      </w:r>
    </w:p>
    <w:p>
      <w:pPr>
        <w:pStyle w:val="ListParagraph"/>
        <w:numPr>
          <w:ilvl w:val="0"/>
          <w:numId w:val="1"/>
        </w:numPr>
        <w:spacing w:before="40" w:after="60"/>
        <w:rPr/>
      </w:pPr>
      <w:r>
        <w:rPr>
          <w:rFonts w:eastAsia="Arial" w:cs="Arial"/>
          <w:color w:val="1C2833"/>
          <w:sz w:val="21"/>
          <w:szCs w:val="21"/>
        </w:rPr>
        <w:t>For CSV/XLSX finds catalogues: validate column headers against known schema variants; flag missing mandatory columns.</w:t>
      </w:r>
    </w:p>
    <w:p>
      <w:pPr>
        <w:pStyle w:val="ListParagraph"/>
        <w:numPr>
          <w:ilvl w:val="0"/>
          <w:numId w:val="1"/>
        </w:numPr>
        <w:spacing w:before="40" w:after="60"/>
        <w:rPr/>
      </w:pPr>
      <w:r>
        <w:rPr>
          <w:rFonts w:eastAsia="Arial" w:cs="Arial"/>
          <w:color w:val="1C2833"/>
          <w:sz w:val="21"/>
          <w:szCs w:val="21"/>
        </w:rPr>
        <w:t xml:space="preserve">Write the file manifest and quality report to </w:t>
      </w:r>
      <w:r>
        <w:rPr>
          <w:rFonts w:eastAsia="Courier New" w:cs="Courier New" w:ascii="Courier New" w:hAnsi="Courier New"/>
          <w:color w:val="1B3A5C"/>
          <w:sz w:val="18"/>
          <w:szCs w:val="18"/>
        </w:rPr>
        <w:t>00_manifest/manifest.json</w:t>
      </w:r>
      <w:r>
        <w:rPr>
          <w:rFonts w:eastAsia="Arial" w:cs="Arial"/>
          <w:color w:val="1C2833"/>
          <w:sz w:val="21"/>
          <w:szCs w:val="21"/>
        </w:rPr>
        <w:t>.</w:t>
      </w:r>
    </w:p>
    <w:p>
      <w:pPr>
        <w:pStyle w:val="ListParagraph"/>
        <w:numPr>
          <w:ilvl w:val="0"/>
          <w:numId w:val="1"/>
        </w:numPr>
        <w:spacing w:before="40" w:after="60"/>
        <w:rPr/>
      </w:pPr>
      <w:r>
        <w:rPr>
          <w:rFonts w:eastAsia="Arial" w:cs="Arial"/>
          <w:color w:val="1C2833"/>
          <w:sz w:val="21"/>
          <w:szCs w:val="21"/>
        </w:rPr>
        <w:t>Print a human-readable quality summary to stdout and halt if any MANDATORY file is missing or if &gt; 30% of context sheets are flagged as unreadable.</w:t>
      </w:r>
    </w:p>
    <w:p>
      <w:pPr>
        <w:pStyle w:val="Normal"/>
        <w:spacing w:before="0" w:after="60"/>
        <w:rPr/>
      </w:pPr>
      <w:r>
        <w:rPr/>
      </w:r>
    </w:p>
    <w:p>
      <w:pPr>
        <w:pStyle w:val="Heading2"/>
        <w:spacing w:before="360" w:after="160"/>
        <w:rPr/>
      </w:pPr>
      <w:r>
        <w:rPr>
          <w:rFonts w:eastAsia="Arial" w:cs="Arial" w:ascii="Arial" w:hAnsi="Arial"/>
          <w:b/>
          <w:bCs/>
          <w:color w:val="2471A3"/>
          <w:sz w:val="26"/>
          <w:szCs w:val="26"/>
        </w:rPr>
        <w:t>Manifest Schema</w:t>
      </w:r>
    </w:p>
    <w:tbl>
      <w:tblPr>
        <w:tblW w:w="9360" w:type="dxa"/>
        <w:jc w:val="start"/>
        <w:tblInd w:w="0" w:type="dxa"/>
        <w:tblLayout w:type="fixed"/>
        <w:tblCellMar>
          <w:top w:w="120" w:type="dxa"/>
          <w:start w:w="200" w:type="dxa"/>
          <w:bottom w:w="12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1C2833" w:val="clear"/>
          </w:tcPr>
          <w:p>
            <w:pPr>
              <w:pStyle w:val="Normal"/>
              <w:spacing w:before="0" w:after="20"/>
              <w:rPr/>
            </w:pPr>
            <w:r>
              <w:rPr>
                <w:rFonts w:eastAsia="Courier New" w:cs="Courier New" w:ascii="Courier New" w:hAnsi="Courier New"/>
                <w:color w:val="A9CCE3"/>
                <w:sz w:val="17"/>
                <w:szCs w:val="17"/>
              </w:rPr>
              <w:t>// 00_manifest/manifest.json</w:t>
            </w:r>
          </w:p>
          <w:p>
            <w:pPr>
              <w:pStyle w:val="Normal"/>
              <w:spacing w:before="0" w:after="20"/>
              <w:rPr/>
            </w:pPr>
            <w:r>
              <w:rPr>
                <w:rFonts w:eastAsia="Courier New" w:cs="Courier New" w:ascii="Courier New" w:hAnsi="Courier New"/>
                <w:color w:val="A9CCE3"/>
                <w:sz w:val="17"/>
                <w:szCs w:val="17"/>
              </w:rPr>
              <w:t>{</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"project_id": "stoneyfield_2026",</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"created": "2026-05-09T14:32:00Z",</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"files": [</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"id": "ctx_001",</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"path": "assets/context_sheet_001.png",</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"type": "context_sheet",</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"quality": {</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"blur_score": 142.3,</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"skew_deg": 1.2,</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"exposure_mean": 178,</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"flag": null</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"id": "ctx_002",</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"path": "assets/context_sheet_002.png",</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"type": "context_sheet",</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"quality": {</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"blur_score": 31.1,</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"flag": "BLUR_LOW"</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"mandatory_check": "PASS",</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"quality_warnings": 1</w:t>
            </w:r>
          </w:p>
          <w:p>
            <w:pPr>
              <w:pStyle w:val="Normal"/>
              <w:spacing w:before="0" w:after="20"/>
              <w:rPr/>
            </w:pPr>
            <w:r>
              <w:rPr>
                <w:rFonts w:eastAsia="Courier New" w:cs="Courier New" w:ascii="Courier New" w:hAnsi="Courier New"/>
                <w:color w:val="A9CCE3"/>
                <w:sz w:val="17"/>
                <w:szCs w:val="17"/>
              </w:rPr>
              <w:t>}</w:t>
            </w:r>
          </w:p>
        </w:tc>
      </w:tr>
    </w:tbl>
    <w:p>
      <w:pPr>
        <w:pStyle w:val="Normal"/>
        <w:spacing w:before="0" w:after="60"/>
        <w:rPr/>
      </w:pPr>
      <w:r>
        <w:rPr/>
      </w:r>
    </w:p>
    <w:p>
      <w:pPr>
        <w:pStyle w:val="Normal"/>
        <w:pBdr>
          <w:bottom w:val="single" w:sz="6" w:space="1" w:color="2471A3"/>
        </w:pBdr>
        <w:spacing w:before="240" w:after="240"/>
        <w:rPr/>
      </w:pPr>
      <w:r>
        <w:rPr/>
      </w:r>
    </w:p>
    <w:p>
      <w:pPr>
        <w:pStyle w:val="Normal"/>
        <w:spacing w:before="0" w:after="60"/>
        <w:rPr/>
      </w:pPr>
      <w:r>
        <w:rPr/>
      </w:r>
    </w:p>
    <w:tbl>
      <w:tblPr>
        <w:tblW w:w="9360" w:type="dxa"/>
        <w:jc w:val="start"/>
        <w:tblInd w:w="0" w:type="dxa"/>
        <w:tblLayout w:type="fixed"/>
        <w:tblCellMar>
          <w:top w:w="120" w:type="dxa"/>
          <w:start w:w="160" w:type="dxa"/>
          <w:bottom w:w="120" w:type="dxa"/>
          <w:end w:w="120" w:type="dxa"/>
        </w:tblCellMar>
      </w:tblPr>
      <w:tblGrid>
        <w:gridCol w:w="1199"/>
        <w:gridCol w:w="8161"/>
      </w:tblGrid>
      <w:tr>
        <w:trPr/>
        <w:tc>
          <w:tcPr>
            <w:tcW w:w="1199" w:type="dxa"/>
            <w:tcBorders>
              <w:top w:val="single" w:sz="6" w:space="0" w:color="9A7D0A"/>
              <w:bottom w:val="single" w:sz="6" w:space="0" w:color="9A7D0A"/>
            </w:tcBorders>
            <w:shd w:fill="1B3A5C" w:val="clear"/>
          </w:tcPr>
          <w:p>
            <w:pPr>
              <w:pStyle w:val="Normal"/>
              <w:jc w:val="center"/>
              <w:rPr/>
            </w:pPr>
            <w:r>
              <w:rPr>
                <w:rFonts w:eastAsia="Arial" w:cs="Arial"/>
                <w:b/>
                <w:bCs/>
                <w:caps/>
                <w:color w:val="9A7D0A"/>
                <w:sz w:val="16"/>
                <w:szCs w:val="16"/>
              </w:rPr>
              <w:t>PHASE</w:t>
            </w:r>
          </w:p>
          <w:p>
            <w:pPr>
              <w:pStyle w:val="Normal"/>
              <w:jc w:val="center"/>
              <w:rPr/>
            </w:pPr>
            <w:r>
              <w:rPr>
                <w:rFonts w:eastAsia="Arial" w:cs="Arial"/>
                <w:b/>
                <w:bCs/>
                <w:color w:val="FFFFFF"/>
                <w:sz w:val="40"/>
                <w:szCs w:val="40"/>
              </w:rPr>
              <w:t>1</w:t>
            </w:r>
          </w:p>
        </w:tc>
        <w:tc>
          <w:tcPr>
            <w:tcW w:w="8161" w:type="dxa"/>
            <w:tcBorders>
              <w:top w:val="single" w:sz="6" w:space="0" w:color="9A7D0A"/>
              <w:bottom w:val="single" w:sz="6" w:space="0" w:color="9A7D0A"/>
            </w:tcBorders>
            <w:shd w:fill="2471A3" w:val="clear"/>
            <w:tcMar>
              <w:start w:w="200" w:type="dxa"/>
            </w:tcMar>
          </w:tcPr>
          <w:p>
            <w:pPr>
              <w:pStyle w:val="Normal"/>
              <w:rPr/>
            </w:pPr>
            <w:r>
              <w:rPr>
                <w:rFonts w:eastAsia="Arial" w:cs="Arial"/>
                <w:b/>
                <w:bCs/>
                <w:color w:val="FFFFFF"/>
                <w:sz w:val="30"/>
                <w:szCs w:val="30"/>
              </w:rPr>
              <w:t>Multi-Modal Digitisation</w:t>
            </w:r>
          </w:p>
          <w:p>
            <w:pPr>
              <w:pStyle w:val="Normal"/>
              <w:rPr/>
            </w:pPr>
            <w:r>
              <w:rPr>
                <w:rFonts w:eastAsia="Arial" w:cs="Arial"/>
                <w:i/>
                <w:iCs/>
                <w:color w:val="BFD9F0"/>
                <w:sz w:val="20"/>
                <w:szCs w:val="20"/>
              </w:rPr>
              <w:t>Convert physical records into structured JSON and Markdown — the data substrate for all later phases</w:t>
            </w:r>
          </w:p>
        </w:tc>
      </w:tr>
    </w:tbl>
    <w:p>
      <w:pPr>
        <w:pStyle w:val="Normal"/>
        <w:spacing w:before="0" w:after="60"/>
        <w:rPr/>
      </w:pPr>
      <w:r>
        <w:rPr/>
      </w:r>
    </w:p>
    <w:p>
      <w:pPr>
        <w:pStyle w:val="Heading2"/>
        <w:spacing w:before="360" w:after="160"/>
        <w:rPr/>
      </w:pPr>
      <w:r>
        <w:rPr>
          <w:rFonts w:eastAsia="Arial" w:cs="Arial" w:ascii="Arial" w:hAnsi="Arial"/>
          <w:b/>
          <w:bCs/>
          <w:color w:val="2471A3"/>
          <w:sz w:val="26"/>
          <w:szCs w:val="26"/>
        </w:rPr>
        <w:t>Overview</w:t>
      </w:r>
    </w:p>
    <w:p>
      <w:pPr>
        <w:pStyle w:val="Normal"/>
        <w:spacing w:before="80" w:after="140"/>
        <w:rPr/>
      </w:pPr>
      <w:r>
        <w:rPr>
          <w:rFonts w:eastAsia="Arial" w:cs="Arial"/>
          <w:color w:val="1C2833"/>
          <w:sz w:val="22"/>
          <w:szCs w:val="22"/>
        </w:rPr>
        <w:t xml:space="preserve">This is the most computationally varied phase. Four specialist models handle different document types. They run sequentially, each loading and clearing before the next. The routing decision (which model handles which file) is made deterministically from the manifest </w:t>
      </w:r>
      <w:r>
        <w:rPr>
          <w:rFonts w:eastAsia="Courier New" w:cs="Courier New" w:ascii="Courier New" w:hAnsi="Courier New"/>
          <w:color w:val="1B3A5C"/>
          <w:sz w:val="18"/>
          <w:szCs w:val="18"/>
        </w:rPr>
        <w:t>type</w:t>
      </w:r>
      <w:r>
        <w:rPr>
          <w:rFonts w:eastAsia="Arial" w:cs="Arial"/>
          <w:color w:val="1C2833"/>
          <w:sz w:val="22"/>
          <w:szCs w:val="22"/>
        </w:rPr>
        <w:t xml:space="preserve"> field and the quality flags set in Phase 0.</w:t>
      </w:r>
    </w:p>
    <w:p>
      <w:pPr>
        <w:pStyle w:val="Heading2"/>
        <w:spacing w:before="360" w:after="160"/>
        <w:rPr/>
      </w:pPr>
      <w:r>
        <w:rPr>
          <w:rFonts w:eastAsia="Arial" w:cs="Arial" w:ascii="Arial" w:hAnsi="Arial"/>
          <w:b/>
          <w:bCs/>
          <w:color w:val="2471A3"/>
          <w:sz w:val="26"/>
          <w:szCs w:val="26"/>
        </w:rPr>
        <w:t>Model Routing Logic</w:t>
      </w:r>
    </w:p>
    <w:tbl>
      <w:tblPr>
        <w:tblW w:w="9360" w:type="dxa"/>
        <w:jc w:val="start"/>
        <w:tblInd w:w="0" w:type="dxa"/>
        <w:tblLayout w:type="fixed"/>
        <w:tblCellMar>
          <w:top w:w="80" w:type="dxa"/>
          <w:start w:w="120" w:type="dxa"/>
          <w:bottom w:w="80" w:type="dxa"/>
          <w:end w:w="80" w:type="dxa"/>
        </w:tblCellMar>
      </w:tblPr>
      <w:tblGrid>
        <w:gridCol w:w="2340"/>
        <w:gridCol w:w="2340"/>
        <w:gridCol w:w="2340"/>
        <w:gridCol w:w="2340"/>
      </w:tblGrid>
      <w:tr>
        <w:trPr>
          <w:tblHeader w:val="true"/>
        </w:trPr>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File Type</w:t>
            </w:r>
          </w:p>
        </w:tc>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Quality Flag?</w:t>
            </w:r>
          </w:p>
        </w:tc>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Routed To</w:t>
            </w:r>
          </w:p>
        </w:tc>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Reason</w:t>
            </w:r>
          </w:p>
        </w:tc>
      </w:tr>
      <w:tr>
        <w:trPr/>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context_sheet</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None</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TrOCR + Chandra OCR 2</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Clean handwritten form: HTR for text, Chandra for checkbox fields</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context_sheet</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BLUR / SKEW</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PaddleOCR-VL-1.5 first, then Chandra</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PaddleOCR corrects distortion before form extraction</w:t>
            </w:r>
          </w:p>
        </w:tc>
      </w:tr>
      <w:tr>
        <w:trPr/>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finds_form</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Any</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Chandra OCR 2</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Structured form with checkboxes and coded fields</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finds_form</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CSV</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Direct parse (pandas)</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No OCR needed for typed CSV — skip model entirely</w:t>
            </w:r>
          </w:p>
        </w:tc>
      </w:tr>
      <w:tr>
        <w:trPr/>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catalogue_table</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Any</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MinerU2.5-Pro</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Cross-page tables with artifact sketches need table-aware parsing</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plan / section</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Any</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Gemma 4-E2B + Zero-To-CAD</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Visual grounding then geometry — handled in Phase 2</w:t>
            </w:r>
          </w:p>
        </w:tc>
      </w:tr>
      <w:tr>
        <w:trPr/>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site_photo</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Any</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Gemma 4-E2B</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Caption and object identification — handled in Phase 2</w:t>
            </w:r>
          </w:p>
        </w:tc>
      </w:tr>
    </w:tbl>
    <w:p>
      <w:pPr>
        <w:pStyle w:val="Normal"/>
        <w:spacing w:before="0" w:after="60"/>
        <w:rPr/>
      </w:pPr>
      <w:r>
        <w:rPr/>
      </w:r>
    </w:p>
    <w:p>
      <w:pPr>
        <w:pStyle w:val="Heading2"/>
        <w:spacing w:before="360" w:after="160"/>
        <w:rPr/>
      </w:pPr>
      <w:r>
        <w:rPr>
          <w:rFonts w:eastAsia="Arial" w:cs="Arial" w:ascii="Arial" w:hAnsi="Arial"/>
          <w:b/>
          <w:bCs/>
          <w:color w:val="2471A3"/>
          <w:sz w:val="26"/>
          <w:szCs w:val="26"/>
        </w:rPr>
        <w:t>1a — Handwritten Text Recognition (TrOCR)</w:t>
      </w:r>
    </w:p>
    <w:tbl>
      <w:tblPr>
        <w:tblW w:w="9360" w:type="dxa"/>
        <w:jc w:val="start"/>
        <w:tblInd w:w="0" w:type="dxa"/>
        <w:tblLayout w:type="fixed"/>
        <w:tblCellMar>
          <w:top w:w="80" w:type="dxa"/>
          <w:start w:w="120" w:type="dxa"/>
          <w:bottom w:w="80" w:type="dxa"/>
          <w:end w:w="80" w:type="dxa"/>
        </w:tblCellMar>
      </w:tblPr>
      <w:tblGrid>
        <w:gridCol w:w="4680"/>
        <w:gridCol w:w="4680"/>
      </w:tblGrid>
      <w:tr>
        <w:trPr>
          <w:tblHeader w:val="true"/>
        </w:trPr>
        <w:tc>
          <w:tcPr>
            <w:tcW w:w="468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Parameter</w:t>
            </w:r>
          </w:p>
        </w:tc>
        <w:tc>
          <w:tcPr>
            <w:tcW w:w="468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Value</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Model</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microsoft/trocr-base-handwritten (primary)</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Fallback model</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medieval-data/trocr-medieval-base for pre-1900 scripts</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Segmentation</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HTRflow page segmenter → line crops → per-line TrOCR inference</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Quantisation</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FP16 on GPU; INT8 CPU fallback if VRAM unavailable</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VRAM footprint</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~0.9 GB (FP16)</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Confidence output</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Per-token log-probabilities → token-level confidence score</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Low-confidence threshold</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&lt; 0.65 per token → flag for human review</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Batch size</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16 line crops per inference call</w:t>
            </w:r>
          </w:p>
        </w:tc>
      </w:tr>
    </w:tbl>
    <w:p>
      <w:pPr>
        <w:pStyle w:val="Normal"/>
        <w:spacing w:before="0" w:after="60"/>
        <w:rPr/>
      </w:pPr>
      <w:r>
        <w:rPr/>
      </w:r>
    </w:p>
    <w:tbl>
      <w:tblPr>
        <w:tblW w:w="9360" w:type="dxa"/>
        <w:jc w:val="start"/>
        <w:tblInd w:w="0" w:type="dxa"/>
        <w:tblLayout w:type="fixed"/>
        <w:tblCellMar>
          <w:top w:w="100" w:type="dxa"/>
          <w:start w:w="160" w:type="dxa"/>
          <w:bottom w:w="100" w:type="dxa"/>
          <w:end w:w="120" w:type="dxa"/>
        </w:tblCellMar>
      </w:tblPr>
      <w:tblGrid>
        <w:gridCol w:w="1400"/>
        <w:gridCol w:w="7960"/>
      </w:tblGrid>
      <w:tr>
        <w:trPr/>
        <w:tc>
          <w:tcPr>
            <w:tcW w:w="1400" w:type="dxa"/>
            <w:tcBorders/>
            <w:shd w:fill="EBF5FB" w:val="clear"/>
          </w:tcPr>
          <w:p>
            <w:pPr>
              <w:pStyle w:val="Normal"/>
              <w:jc w:val="center"/>
              <w:rPr/>
            </w:pPr>
            <w:r>
              <w:rPr>
                <w:rFonts w:eastAsia="Arial" w:cs="Arial"/>
                <w:b/>
                <w:bCs/>
                <w:color w:val="2471A3"/>
                <w:sz w:val="19"/>
                <w:szCs w:val="19"/>
              </w:rPr>
              <w:t xml:space="preserve">ℹ  </w:t>
            </w:r>
            <w:r>
              <w:rPr>
                <w:rFonts w:eastAsia="Arial" w:cs="Arial"/>
                <w:b/>
                <w:bCs/>
                <w:color w:val="2471A3"/>
                <w:sz w:val="19"/>
                <w:szCs w:val="19"/>
              </w:rPr>
              <w:t>NOTE</w:t>
            </w:r>
          </w:p>
        </w:tc>
        <w:tc>
          <w:tcPr>
            <w:tcW w:w="7960" w:type="dxa"/>
            <w:tcBorders/>
            <w:shd w:fill="EBF5FB" w:val="clear"/>
            <w:tcMar>
              <w:end w:w="160" w:type="dxa"/>
            </w:tcMar>
          </w:tcPr>
          <w:p>
            <w:pPr>
              <w:pStyle w:val="Normal"/>
              <w:rPr/>
            </w:pPr>
            <w:r>
              <w:rPr>
                <w:rFonts w:eastAsia="Arial" w:cs="Arial"/>
                <w:color w:val="1B3A5C"/>
                <w:sz w:val="20"/>
                <w:szCs w:val="20"/>
              </w:rPr>
              <w:t>HTRflow's page segmentation is critical. Do not feed full-page scans directly to TrOCR — it will produce degraded results. HTRflow handles page → region → line segmentation automatically and returns line crops in reading order.</w:t>
            </w:r>
          </w:p>
        </w:tc>
      </w:tr>
    </w:tbl>
    <w:p>
      <w:pPr>
        <w:pStyle w:val="Normal"/>
        <w:spacing w:before="0" w:after="60"/>
        <w:rPr/>
      </w:pPr>
      <w:r>
        <w:rPr/>
      </w:r>
    </w:p>
    <w:tbl>
      <w:tblPr>
        <w:tblW w:w="9360" w:type="dxa"/>
        <w:jc w:val="start"/>
        <w:tblInd w:w="0" w:type="dxa"/>
        <w:tblLayout w:type="fixed"/>
        <w:tblCellMar>
          <w:top w:w="100" w:type="dxa"/>
          <w:start w:w="160" w:type="dxa"/>
          <w:bottom w:w="100" w:type="dxa"/>
          <w:end w:w="120" w:type="dxa"/>
        </w:tblCellMar>
      </w:tblPr>
      <w:tblGrid>
        <w:gridCol w:w="1400"/>
        <w:gridCol w:w="7960"/>
      </w:tblGrid>
      <w:tr>
        <w:trPr/>
        <w:tc>
          <w:tcPr>
            <w:tcW w:w="1400" w:type="dxa"/>
            <w:tcBorders/>
            <w:shd w:fill="EAFAF1" w:val="clear"/>
          </w:tcPr>
          <w:p>
            <w:pPr>
              <w:pStyle w:val="Normal"/>
              <w:jc w:val="center"/>
              <w:rPr/>
            </w:pPr>
            <w:r>
              <w:rPr>
                <w:rFonts w:eastAsia="Arial" w:cs="Arial"/>
                <w:b/>
                <w:bCs/>
                <w:color w:val="1E8449"/>
                <w:sz w:val="19"/>
                <w:szCs w:val="19"/>
              </w:rPr>
              <w:t xml:space="preserve">✔  </w:t>
            </w:r>
            <w:r>
              <w:rPr>
                <w:rFonts w:eastAsia="Arial" w:cs="Arial"/>
                <w:b/>
                <w:bCs/>
                <w:color w:val="1E8449"/>
                <w:sz w:val="19"/>
                <w:szCs w:val="19"/>
              </w:rPr>
              <w:t>TIP</w:t>
            </w:r>
          </w:p>
        </w:tc>
        <w:tc>
          <w:tcPr>
            <w:tcW w:w="7960" w:type="dxa"/>
            <w:tcBorders/>
            <w:shd w:fill="EAFAF1" w:val="clear"/>
            <w:tcMar>
              <w:end w:w="160" w:type="dxa"/>
            </w:tcMar>
          </w:tcPr>
          <w:p>
            <w:pPr>
              <w:pStyle w:val="Normal"/>
              <w:rPr/>
            </w:pPr>
            <w:r>
              <w:rPr>
                <w:rFonts w:eastAsia="Arial" w:cs="Arial"/>
                <w:color w:val="1E8449"/>
                <w:sz w:val="20"/>
                <w:szCs w:val="20"/>
              </w:rPr>
              <w:t>For modern fieldwork context sheets (post-1980, printed forms with handwritten fills), the standard trocr-base-handwritten model is sufficient. For legacy site archives with older handwriting styles, switch to trocr-base-handwritten-hist-swe-2 or the medieval variant and evaluate on a sample first.</w:t>
            </w:r>
          </w:p>
        </w:tc>
      </w:tr>
    </w:tbl>
    <w:p>
      <w:pPr>
        <w:pStyle w:val="Normal"/>
        <w:spacing w:before="0" w:after="60"/>
        <w:rPr/>
      </w:pPr>
      <w:r>
        <w:rPr/>
      </w:r>
    </w:p>
    <w:p>
      <w:pPr>
        <w:pStyle w:val="Heading2"/>
        <w:spacing w:before="360" w:after="160"/>
        <w:rPr/>
      </w:pPr>
      <w:r>
        <w:rPr>
          <w:rFonts w:eastAsia="Arial" w:cs="Arial" w:ascii="Arial" w:hAnsi="Arial"/>
          <w:b/>
          <w:bCs/>
          <w:color w:val="2471A3"/>
          <w:sz w:val="26"/>
          <w:szCs w:val="26"/>
        </w:rPr>
        <w:t>1b — Form &amp; Checkbox Extraction (Chandra OCR 2)</w:t>
      </w:r>
    </w:p>
    <w:tbl>
      <w:tblPr>
        <w:tblW w:w="9360" w:type="dxa"/>
        <w:jc w:val="start"/>
        <w:tblInd w:w="0" w:type="dxa"/>
        <w:tblLayout w:type="fixed"/>
        <w:tblCellMar>
          <w:top w:w="80" w:type="dxa"/>
          <w:start w:w="120" w:type="dxa"/>
          <w:bottom w:w="80" w:type="dxa"/>
          <w:end w:w="80" w:type="dxa"/>
        </w:tblCellMar>
      </w:tblPr>
      <w:tblGrid>
        <w:gridCol w:w="4680"/>
        <w:gridCol w:w="4680"/>
      </w:tblGrid>
      <w:tr>
        <w:trPr>
          <w:tblHeader w:val="true"/>
        </w:trPr>
        <w:tc>
          <w:tcPr>
            <w:tcW w:w="468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Parameter</w:t>
            </w:r>
          </w:p>
        </w:tc>
        <w:tc>
          <w:tcPr>
            <w:tcW w:w="468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Value</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Model</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datalab-to/chandra-ocr-2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VRAM footprint</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~1.2 GB at 4-bit GGUF quantisation</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Input</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Full-page form image (post-deskew)</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Output format</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JSON with field labels and values; checkboxes as boolean</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Confidence</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Per-field confidence in output JSON</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Low-confidence threshold</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&lt; 0.70 → flag field for human review</w:t>
            </w:r>
          </w:p>
        </w:tc>
      </w:tr>
    </w:tbl>
    <w:p>
      <w:pPr>
        <w:pStyle w:val="Normal"/>
        <w:spacing w:before="0" w:after="60"/>
        <w:rPr/>
      </w:pPr>
      <w:r>
        <w:rPr/>
      </w:r>
    </w:p>
    <w:p>
      <w:pPr>
        <w:pStyle w:val="Heading3"/>
        <w:spacing w:before="280" w:after="120"/>
        <w:rPr/>
      </w:pPr>
      <w:r>
        <w:rPr>
          <w:rFonts w:eastAsia="Arial" w:cs="Arial" w:ascii="Arial" w:hAnsi="Arial"/>
          <w:b/>
          <w:bCs/>
          <w:color w:val="1B3A5C"/>
          <w:sz w:val="22"/>
          <w:szCs w:val="22"/>
        </w:rPr>
        <w:t>Output Schema — Context Sheet (canonical)</w:t>
      </w:r>
    </w:p>
    <w:tbl>
      <w:tblPr>
        <w:tblW w:w="9360" w:type="dxa"/>
        <w:jc w:val="start"/>
        <w:tblInd w:w="0" w:type="dxa"/>
        <w:tblLayout w:type="fixed"/>
        <w:tblCellMar>
          <w:top w:w="120" w:type="dxa"/>
          <w:start w:w="200" w:type="dxa"/>
          <w:bottom w:w="12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1C2833" w:val="clear"/>
          </w:tcPr>
          <w:p>
            <w:pPr>
              <w:pStyle w:val="Normal"/>
              <w:spacing w:before="0" w:after="20"/>
              <w:rPr/>
            </w:pPr>
            <w:r>
              <w:rPr>
                <w:rFonts w:eastAsia="Courier New" w:cs="Courier New" w:ascii="Courier New" w:hAnsi="Courier New"/>
                <w:color w:val="A9CCE3"/>
                <w:sz w:val="17"/>
                <w:szCs w:val="17"/>
              </w:rPr>
              <w:t>// 01_digitised/ctx_001.json</w:t>
            </w:r>
          </w:p>
          <w:p>
            <w:pPr>
              <w:pStyle w:val="Normal"/>
              <w:spacing w:before="0" w:after="20"/>
              <w:rPr/>
            </w:pPr>
            <w:r>
              <w:rPr>
                <w:rFonts w:eastAsia="Courier New" w:cs="Courier New" w:ascii="Courier New" w:hAnsi="Courier New"/>
                <w:color w:val="A9CCE3"/>
                <w:sz w:val="17"/>
                <w:szCs w:val="17"/>
              </w:rPr>
              <w:t>{</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"source_file": "ctx_001",</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"model": "chandra-ocr-2",</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"confidence_overall": 0.87,</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"context_number": "[374]",</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"type": "layer",</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"cut_by": ["[312]", "[356]"],</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"cuts": [],</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"same_as": null,</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"fills": ["[375]"],</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"filled_by": [],</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"description": "Mid brown silty clay. Moderate frequency angular and sub-angular flint inclusions (5-20mm). Compact.",</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"interpretation": "Probable ploughsoil horizon.",</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"period": "Post-medieval",</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"finds": [</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 "type": "ceramic", "qty": 3, "period": "Post-medieval", "notes": "" },</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 "type": "CBM",     "qty": 7, "period": "Unknown",       "notes": "" }</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"samples": [],</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"sketch_present": false,</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"review_flags": [</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 "field": "description", "issue": "LOW_CONFIDENCE", "confidence": 0.61 }</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w:t>
            </w:r>
          </w:p>
          <w:p>
            <w:pPr>
              <w:pStyle w:val="Normal"/>
              <w:spacing w:before="0" w:after="20"/>
              <w:rPr/>
            </w:pPr>
            <w:r>
              <w:rPr>
                <w:rFonts w:eastAsia="Courier New" w:cs="Courier New" w:ascii="Courier New" w:hAnsi="Courier New"/>
                <w:color w:val="A9CCE3"/>
                <w:sz w:val="17"/>
                <w:szCs w:val="17"/>
              </w:rPr>
              <w:t>}</w:t>
            </w:r>
          </w:p>
        </w:tc>
      </w:tr>
    </w:tbl>
    <w:p>
      <w:pPr>
        <w:pStyle w:val="Normal"/>
        <w:spacing w:before="0" w:after="60"/>
        <w:rPr/>
      </w:pPr>
      <w:r>
        <w:rPr/>
      </w:r>
    </w:p>
    <w:p>
      <w:pPr>
        <w:pStyle w:val="Heading2"/>
        <w:spacing w:before="360" w:after="160"/>
        <w:rPr/>
      </w:pPr>
      <w:r>
        <w:rPr>
          <w:rFonts w:eastAsia="Arial" w:cs="Arial" w:ascii="Arial" w:hAnsi="Arial"/>
          <w:b/>
          <w:bCs/>
          <w:color w:val="2471A3"/>
          <w:sz w:val="26"/>
          <w:szCs w:val="26"/>
        </w:rPr>
        <w:t>1c — Complex Table Parsing (MinerU2.5-Pro)</w:t>
      </w:r>
    </w:p>
    <w:tbl>
      <w:tblPr>
        <w:tblW w:w="9360" w:type="dxa"/>
        <w:jc w:val="start"/>
        <w:tblInd w:w="0" w:type="dxa"/>
        <w:tblLayout w:type="fixed"/>
        <w:tblCellMar>
          <w:top w:w="80" w:type="dxa"/>
          <w:start w:w="120" w:type="dxa"/>
          <w:bottom w:w="80" w:type="dxa"/>
          <w:end w:w="80" w:type="dxa"/>
        </w:tblCellMar>
      </w:tblPr>
      <w:tblGrid>
        <w:gridCol w:w="4680"/>
        <w:gridCol w:w="4680"/>
      </w:tblGrid>
      <w:tr>
        <w:trPr>
          <w:tblHeader w:val="true"/>
        </w:trPr>
        <w:tc>
          <w:tcPr>
            <w:tcW w:w="468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Parameter</w:t>
            </w:r>
          </w:p>
        </w:tc>
        <w:tc>
          <w:tcPr>
            <w:tcW w:w="468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Value</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Model</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opendatalab/MinerU2.5-Pro</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Use case</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Multi-page finds catalogues; tables with embedded artifact sketches</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VRAM footprint</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~1.8 GB</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Key capability</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Cross-page table merging; in-table image extraction to separate PNG files</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Output</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Markdown tables + extracted sketch images linked by row ID</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When to invoke</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Only when input is typed/printed catalogue PDF or photo with visible table grid</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Skip condition</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If finds catalogue was provided as CSV — parse directly with pandas instead</w:t>
            </w:r>
          </w:p>
        </w:tc>
      </w:tr>
    </w:tbl>
    <w:p>
      <w:pPr>
        <w:pStyle w:val="Normal"/>
        <w:spacing w:before="0" w:after="60"/>
        <w:rPr/>
      </w:pPr>
      <w:r>
        <w:rPr/>
      </w:r>
    </w:p>
    <w:tbl>
      <w:tblPr>
        <w:tblW w:w="9360" w:type="dxa"/>
        <w:jc w:val="start"/>
        <w:tblInd w:w="0" w:type="dxa"/>
        <w:tblLayout w:type="fixed"/>
        <w:tblCellMar>
          <w:top w:w="100" w:type="dxa"/>
          <w:start w:w="160" w:type="dxa"/>
          <w:bottom w:w="100" w:type="dxa"/>
          <w:end w:w="120" w:type="dxa"/>
        </w:tblCellMar>
      </w:tblPr>
      <w:tblGrid>
        <w:gridCol w:w="1400"/>
        <w:gridCol w:w="7960"/>
      </w:tblGrid>
      <w:tr>
        <w:trPr/>
        <w:tc>
          <w:tcPr>
            <w:tcW w:w="1400" w:type="dxa"/>
            <w:tcBorders/>
            <w:shd w:fill="FDEDEC" w:val="clear"/>
          </w:tcPr>
          <w:p>
            <w:pPr>
              <w:pStyle w:val="Normal"/>
              <w:jc w:val="center"/>
              <w:rPr/>
            </w:pPr>
            <w:r>
              <w:rPr>
                <w:rFonts w:eastAsia="Arial" w:cs="Arial"/>
                <w:b/>
                <w:bCs/>
                <w:color w:val="922B21"/>
                <w:sz w:val="19"/>
                <w:szCs w:val="19"/>
              </w:rPr>
              <w:t xml:space="preserve">⚠  </w:t>
            </w:r>
            <w:r>
              <w:rPr>
                <w:rFonts w:eastAsia="Arial" w:cs="Arial"/>
                <w:b/>
                <w:bCs/>
                <w:color w:val="922B21"/>
                <w:sz w:val="19"/>
                <w:szCs w:val="19"/>
              </w:rPr>
              <w:t>RISK</w:t>
            </w:r>
          </w:p>
        </w:tc>
        <w:tc>
          <w:tcPr>
            <w:tcW w:w="7960" w:type="dxa"/>
            <w:tcBorders/>
            <w:shd w:fill="FDEDEC" w:val="clear"/>
            <w:tcMar>
              <w:end w:w="160" w:type="dxa"/>
            </w:tcMar>
          </w:tcPr>
          <w:p>
            <w:pPr>
              <w:pStyle w:val="Normal"/>
              <w:rPr/>
            </w:pPr>
            <w:r>
              <w:rPr>
                <w:rFonts w:eastAsia="Arial" w:cs="Arial"/>
                <w:color w:val="922B21"/>
                <w:sz w:val="20"/>
                <w:szCs w:val="20"/>
              </w:rPr>
              <w:t>MinerU2.5-Pro should NOT be used for handwritten context sheets — its table-parsing logic will misfire on free-form handwritten text. Route handwritten documents through TrOCR + Chandra instead.</w:t>
            </w:r>
          </w:p>
        </w:tc>
      </w:tr>
    </w:tbl>
    <w:p>
      <w:pPr>
        <w:pStyle w:val="Normal"/>
        <w:spacing w:before="0" w:after="60"/>
        <w:rPr/>
      </w:pPr>
      <w:r>
        <w:rPr/>
      </w:r>
    </w:p>
    <w:p>
      <w:pPr>
        <w:pStyle w:val="Heading2"/>
        <w:spacing w:before="360" w:after="160"/>
        <w:rPr/>
      </w:pPr>
      <w:r>
        <w:rPr>
          <w:rFonts w:eastAsia="Arial" w:cs="Arial" w:ascii="Arial" w:hAnsi="Arial"/>
          <w:b/>
          <w:bCs/>
          <w:color w:val="2471A3"/>
          <w:sz w:val="26"/>
          <w:szCs w:val="26"/>
        </w:rPr>
        <w:t>1d — Distortion Correction (PaddleOCR-VL-1.5)</w:t>
      </w:r>
    </w:p>
    <w:p>
      <w:pPr>
        <w:pStyle w:val="Normal"/>
        <w:spacing w:before="80" w:after="140"/>
        <w:rPr/>
      </w:pPr>
      <w:r>
        <w:rPr>
          <w:rFonts w:eastAsia="Arial" w:cs="Arial"/>
          <w:color w:val="1C2833"/>
          <w:sz w:val="22"/>
          <w:szCs w:val="22"/>
        </w:rPr>
        <w:t>PaddleOCR-VL-1.5 is not used as a primary digitisation model. It is invoked as a pre-processor when the Phase 0 triage has flagged a document with BLUR_LOW, SKEW_HIGH, or EXPOSURE_LOW. Its corrected output is then passed to the appropriate digitisation model (TrOCR or Chandra).</w:t>
      </w:r>
    </w:p>
    <w:tbl>
      <w:tblPr>
        <w:tblW w:w="9360" w:type="dxa"/>
        <w:jc w:val="start"/>
        <w:tblInd w:w="0" w:type="dxa"/>
        <w:tblLayout w:type="fixed"/>
        <w:tblCellMar>
          <w:top w:w="80" w:type="dxa"/>
          <w:start w:w="120" w:type="dxa"/>
          <w:bottom w:w="80" w:type="dxa"/>
          <w:end w:w="80" w:type="dxa"/>
        </w:tblCellMar>
      </w:tblPr>
      <w:tblGrid>
        <w:gridCol w:w="4680"/>
        <w:gridCol w:w="4680"/>
      </w:tblGrid>
      <w:tr>
        <w:trPr>
          <w:tblHeader w:val="true"/>
        </w:trPr>
        <w:tc>
          <w:tcPr>
            <w:tcW w:w="468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Parameter</w:t>
            </w:r>
          </w:p>
        </w:tc>
        <w:tc>
          <w:tcPr>
            <w:tcW w:w="468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Value</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Model</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PaddlePaddle/PaddleOCR-VL-1.5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VRAM footprint</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~0.7 GB (used transiently, then cleared)</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Function</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Deskew, dewarp, histogram equalise; output corrected PNG</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When to invoke</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Only when manifest contains BLUR_LOW, SKEW_HIGH, or EXPOSURE_LOW flags</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Output</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Corrected PNG saved to assets/ alongside original; manifest updated</w:t>
            </w:r>
          </w:p>
        </w:tc>
      </w:tr>
    </w:tbl>
    <w:p>
      <w:pPr>
        <w:pStyle w:val="Normal"/>
        <w:spacing w:before="0" w:after="60"/>
        <w:rPr/>
      </w:pPr>
      <w:r>
        <w:rPr/>
      </w:r>
    </w:p>
    <w:p>
      <w:pPr>
        <w:pStyle w:val="Heading2"/>
        <w:spacing w:before="360" w:after="160"/>
        <w:rPr/>
      </w:pPr>
      <w:r>
        <w:rPr>
          <w:rFonts w:eastAsia="Arial" w:cs="Arial" w:ascii="Arial" w:hAnsi="Arial"/>
          <w:b/>
          <w:bCs/>
          <w:color w:val="2471A3"/>
          <w:sz w:val="26"/>
          <w:szCs w:val="26"/>
        </w:rPr>
        <w:t>Phase 1 VRAM Budget</w:t>
      </w:r>
    </w:p>
    <w:p>
      <w:pPr>
        <w:pStyle w:val="Normal"/>
        <w:spacing w:before="80" w:after="140"/>
        <w:rPr/>
      </w:pPr>
      <w:r>
        <w:rPr>
          <w:rFonts w:eastAsia="Arial" w:cs="Arial"/>
          <w:color w:val="1C2833"/>
          <w:sz w:val="22"/>
          <w:szCs w:val="22"/>
        </w:rPr>
        <w:t>Models load and clear sequentially. Peak VRAM at any one moment is the single largest model.</w:t>
      </w:r>
    </w:p>
    <w:tbl>
      <w:tblPr>
        <w:tblW w:w="9360" w:type="dxa"/>
        <w:jc w:val="start"/>
        <w:tblInd w:w="0" w:type="dxa"/>
        <w:tblLayout w:type="fixed"/>
        <w:tblCellMar>
          <w:top w:w="80" w:type="dxa"/>
          <w:start w:w="120" w:type="dxa"/>
          <w:bottom w:w="80" w:type="dxa"/>
          <w:end w:w="80" w:type="dxa"/>
        </w:tblCellMar>
      </w:tblPr>
      <w:tblGrid>
        <w:gridCol w:w="2340"/>
        <w:gridCol w:w="2340"/>
        <w:gridCol w:w="2340"/>
        <w:gridCol w:w="2340"/>
      </w:tblGrid>
      <w:tr>
        <w:trPr>
          <w:tblHeader w:val="true"/>
        </w:trPr>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Step</w:t>
            </w:r>
          </w:p>
        </w:tc>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Model</w:t>
            </w:r>
          </w:p>
        </w:tc>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VRAM (loaded)</w:t>
            </w:r>
          </w:p>
        </w:tc>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Cleared after step?</w:t>
            </w:r>
          </w:p>
        </w:tc>
      </w:tr>
      <w:tr>
        <w:trPr/>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1d (conditional)</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PaddleOCR-VL-1.5</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~0.7 GB</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Yes — before next step</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1a</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TrOCR (FP16)</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~0.9 GB</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Yes — after all HTR complete</w:t>
            </w:r>
          </w:p>
        </w:tc>
      </w:tr>
      <w:tr>
        <w:trPr/>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1b</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Chandra OCR 2 (4-bit GGUF)</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~1.2 GB</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Yes — after all forms complete</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1c (conditional)</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MinerU2.5-Pro</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~1.8 GB</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Yes — after all tables complete</w:t>
            </w:r>
          </w:p>
        </w:tc>
      </w:tr>
      <w:tr>
        <w:trPr/>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Peak (worst case)</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MinerU2.5-Pro alone</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~1.8 GB</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Well within 6 GB</w:t>
            </w:r>
          </w:p>
        </w:tc>
      </w:tr>
    </w:tbl>
    <w:p>
      <w:pPr>
        <w:pStyle w:val="Normal"/>
        <w:spacing w:before="0" w:after="60"/>
        <w:rPr/>
      </w:pPr>
      <w:r>
        <w:rPr/>
      </w:r>
    </w:p>
    <w:p>
      <w:pPr>
        <w:pStyle w:val="Normal"/>
        <w:pBdr>
          <w:bottom w:val="single" w:sz="6" w:space="1" w:color="2471A3"/>
        </w:pBdr>
        <w:spacing w:before="240" w:after="240"/>
        <w:rPr/>
      </w:pPr>
      <w:r>
        <w:rPr/>
      </w:r>
    </w:p>
    <w:p>
      <w:pPr>
        <w:pStyle w:val="Normal"/>
        <w:spacing w:before="0" w:after="60"/>
        <w:rPr/>
      </w:pPr>
      <w:r>
        <w:rPr/>
      </w:r>
    </w:p>
    <w:tbl>
      <w:tblPr>
        <w:tblW w:w="9360" w:type="dxa"/>
        <w:jc w:val="start"/>
        <w:tblInd w:w="0" w:type="dxa"/>
        <w:tblLayout w:type="fixed"/>
        <w:tblCellMar>
          <w:top w:w="120" w:type="dxa"/>
          <w:start w:w="160" w:type="dxa"/>
          <w:bottom w:w="120" w:type="dxa"/>
          <w:end w:w="120" w:type="dxa"/>
        </w:tblCellMar>
      </w:tblPr>
      <w:tblGrid>
        <w:gridCol w:w="1199"/>
        <w:gridCol w:w="8161"/>
      </w:tblGrid>
      <w:tr>
        <w:trPr/>
        <w:tc>
          <w:tcPr>
            <w:tcW w:w="1199" w:type="dxa"/>
            <w:tcBorders>
              <w:top w:val="single" w:sz="6" w:space="0" w:color="9A7D0A"/>
              <w:bottom w:val="single" w:sz="6" w:space="0" w:color="9A7D0A"/>
            </w:tcBorders>
            <w:shd w:fill="1B3A5C" w:val="clear"/>
          </w:tcPr>
          <w:p>
            <w:pPr>
              <w:pStyle w:val="Normal"/>
              <w:jc w:val="center"/>
              <w:rPr/>
            </w:pPr>
            <w:r>
              <w:rPr>
                <w:rFonts w:eastAsia="Arial" w:cs="Arial"/>
                <w:b/>
                <w:bCs/>
                <w:caps/>
                <w:color w:val="9A7D0A"/>
                <w:sz w:val="16"/>
                <w:szCs w:val="16"/>
              </w:rPr>
              <w:t>PHASE</w:t>
            </w:r>
          </w:p>
          <w:p>
            <w:pPr>
              <w:pStyle w:val="Normal"/>
              <w:jc w:val="center"/>
              <w:rPr/>
            </w:pPr>
            <w:r>
              <w:rPr>
                <w:rFonts w:eastAsia="Arial" w:cs="Arial"/>
                <w:b/>
                <w:bCs/>
                <w:color w:val="FFFFFF"/>
                <w:sz w:val="40"/>
                <w:szCs w:val="40"/>
              </w:rPr>
              <w:t>2</w:t>
            </w:r>
          </w:p>
        </w:tc>
        <w:tc>
          <w:tcPr>
            <w:tcW w:w="8161" w:type="dxa"/>
            <w:tcBorders>
              <w:top w:val="single" w:sz="6" w:space="0" w:color="9A7D0A"/>
              <w:bottom w:val="single" w:sz="6" w:space="0" w:color="9A7D0A"/>
            </w:tcBorders>
            <w:shd w:fill="2471A3" w:val="clear"/>
            <w:tcMar>
              <w:start w:w="200" w:type="dxa"/>
            </w:tcMar>
          </w:tcPr>
          <w:p>
            <w:pPr>
              <w:pStyle w:val="Normal"/>
              <w:rPr/>
            </w:pPr>
            <w:r>
              <w:rPr>
                <w:rFonts w:eastAsia="Arial" w:cs="Arial"/>
                <w:b/>
                <w:bCs/>
                <w:color w:val="FFFFFF"/>
                <w:sz w:val="30"/>
                <w:szCs w:val="30"/>
              </w:rPr>
              <w:t>Spatial &amp; Technical Reconstruction</w:t>
            </w:r>
          </w:p>
          <w:p>
            <w:pPr>
              <w:pStyle w:val="Normal"/>
              <w:rPr/>
            </w:pPr>
            <w:r>
              <w:rPr>
                <w:rFonts w:eastAsia="Arial" w:cs="Arial"/>
                <w:i/>
                <w:iCs/>
                <w:color w:val="BFD9F0"/>
                <w:sz w:val="20"/>
                <w:szCs w:val="20"/>
              </w:rPr>
              <w:t>Translate site drawings and photographs into technical geometry and annotated visual evidence</w:t>
            </w:r>
          </w:p>
        </w:tc>
      </w:tr>
    </w:tbl>
    <w:p>
      <w:pPr>
        <w:pStyle w:val="Normal"/>
        <w:spacing w:before="0" w:after="60"/>
        <w:rPr/>
      </w:pPr>
      <w:r>
        <w:rPr/>
      </w:r>
    </w:p>
    <w:p>
      <w:pPr>
        <w:pStyle w:val="Heading2"/>
        <w:spacing w:before="360" w:after="160"/>
        <w:rPr/>
      </w:pPr>
      <w:r>
        <w:rPr>
          <w:rFonts w:eastAsia="Arial" w:cs="Arial" w:ascii="Arial" w:hAnsi="Arial"/>
          <w:b/>
          <w:bCs/>
          <w:color w:val="2471A3"/>
          <w:sz w:val="26"/>
          <w:szCs w:val="26"/>
        </w:rPr>
        <w:t>Overview</w:t>
      </w:r>
    </w:p>
    <w:p>
      <w:pPr>
        <w:pStyle w:val="Normal"/>
        <w:spacing w:before="80" w:after="140"/>
        <w:rPr/>
      </w:pPr>
      <w:r>
        <w:rPr>
          <w:rFonts w:eastAsia="Arial" w:cs="Arial"/>
          <w:color w:val="1C2833"/>
          <w:sz w:val="22"/>
          <w:szCs w:val="22"/>
        </w:rPr>
        <w:t>Phase 2 handles the visual interpretation of plans, section drawings, and site photographs. It has two distinct sub-tasks: generating parametric geometry from drawn records (for the archive statement and site model), and producing structured captions and object annotations from site photography (for the narrative and illustration section of the report).</w:t>
      </w:r>
    </w:p>
    <w:tbl>
      <w:tblPr>
        <w:tblW w:w="9360" w:type="dxa"/>
        <w:jc w:val="start"/>
        <w:tblInd w:w="0" w:type="dxa"/>
        <w:tblLayout w:type="fixed"/>
        <w:tblCellMar>
          <w:top w:w="100" w:type="dxa"/>
          <w:start w:w="160" w:type="dxa"/>
          <w:bottom w:w="100" w:type="dxa"/>
          <w:end w:w="120" w:type="dxa"/>
        </w:tblCellMar>
      </w:tblPr>
      <w:tblGrid>
        <w:gridCol w:w="1400"/>
        <w:gridCol w:w="7960"/>
      </w:tblGrid>
      <w:tr>
        <w:trPr/>
        <w:tc>
          <w:tcPr>
            <w:tcW w:w="1400" w:type="dxa"/>
            <w:tcBorders/>
            <w:shd w:fill="FDEDEC" w:val="clear"/>
          </w:tcPr>
          <w:p>
            <w:pPr>
              <w:pStyle w:val="Normal"/>
              <w:jc w:val="center"/>
              <w:rPr/>
            </w:pPr>
            <w:r>
              <w:rPr>
                <w:rFonts w:eastAsia="Arial" w:cs="Arial"/>
                <w:b/>
                <w:bCs/>
                <w:color w:val="922B21"/>
                <w:sz w:val="19"/>
                <w:szCs w:val="19"/>
              </w:rPr>
              <w:t xml:space="preserve">⚠  </w:t>
            </w:r>
            <w:r>
              <w:rPr>
                <w:rFonts w:eastAsia="Arial" w:cs="Arial"/>
                <w:b/>
                <w:bCs/>
                <w:color w:val="922B21"/>
                <w:sz w:val="19"/>
                <w:szCs w:val="19"/>
              </w:rPr>
              <w:t>RISK</w:t>
            </w:r>
          </w:p>
        </w:tc>
        <w:tc>
          <w:tcPr>
            <w:tcW w:w="7960" w:type="dxa"/>
            <w:tcBorders/>
            <w:shd w:fill="FDEDEC" w:val="clear"/>
            <w:tcMar>
              <w:end w:w="160" w:type="dxa"/>
            </w:tcMar>
          </w:tcPr>
          <w:p>
            <w:pPr>
              <w:pStyle w:val="Normal"/>
              <w:rPr/>
            </w:pPr>
            <w:r>
              <w:rPr>
                <w:rFonts w:eastAsia="Arial" w:cs="Arial"/>
                <w:color w:val="922B21"/>
                <w:sz w:val="20"/>
                <w:szCs w:val="20"/>
              </w:rPr>
              <w:t>Zero-To-CAD geometry generation from field sketches is the most experimental component of this pipeline. Field section drawings are often schematic, inconsistent in scale, and produced under poor conditions. Treat all CadQuery output as a first-approximation to be reviewed and corrected by the site director before inclusion in the final archive. Never include unreviewed geometry in a published report.</w:t>
            </w:r>
          </w:p>
        </w:tc>
      </w:tr>
    </w:tbl>
    <w:p>
      <w:pPr>
        <w:pStyle w:val="Normal"/>
        <w:spacing w:before="0" w:after="60"/>
        <w:rPr/>
      </w:pPr>
      <w:r>
        <w:rPr/>
      </w:r>
    </w:p>
    <w:p>
      <w:pPr>
        <w:pStyle w:val="Heading2"/>
        <w:spacing w:before="360" w:after="160"/>
        <w:rPr/>
      </w:pPr>
      <w:r>
        <w:rPr>
          <w:rFonts w:eastAsia="Arial" w:cs="Arial" w:ascii="Arial" w:hAnsi="Arial"/>
          <w:b/>
          <w:bCs/>
          <w:color w:val="2471A3"/>
          <w:sz w:val="26"/>
          <w:szCs w:val="26"/>
        </w:rPr>
        <w:t>2a — Visual Grounding &amp; Photo Captioning (Gemma 4-E2B)</w:t>
      </w:r>
    </w:p>
    <w:tbl>
      <w:tblPr>
        <w:tblW w:w="9360" w:type="dxa"/>
        <w:jc w:val="start"/>
        <w:tblInd w:w="0" w:type="dxa"/>
        <w:tblLayout w:type="fixed"/>
        <w:tblCellMar>
          <w:top w:w="80" w:type="dxa"/>
          <w:start w:w="120" w:type="dxa"/>
          <w:bottom w:w="80" w:type="dxa"/>
          <w:end w:w="80" w:type="dxa"/>
        </w:tblCellMar>
      </w:tblPr>
      <w:tblGrid>
        <w:gridCol w:w="4680"/>
        <w:gridCol w:w="4680"/>
      </w:tblGrid>
      <w:tr>
        <w:trPr>
          <w:tblHeader w:val="true"/>
        </w:trPr>
        <w:tc>
          <w:tcPr>
            <w:tcW w:w="468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Parameter</w:t>
            </w:r>
          </w:p>
        </w:tc>
        <w:tc>
          <w:tcPr>
            <w:tcW w:w="468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Value</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Model</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unsloth/gemma-4-E2B-it-GGUF (Q4_K_M quantisation)</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VRAM footprint</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~2.1 GB</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Function 1 — Photo captioning</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Generate structured caption: what is visible, spatial relationships, scale reference</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Function 2 — Visual grounding</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For section drawings: identify and label stratigraphic features; output bounding boxes + labels</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Function 3 — Cross-check</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Compare photo caption to context sheet interpretation; flag inconsistencies</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Output</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Per-image JSON with caption, grounding labels, and cross-check results</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Prompt style</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System prompt specifies archaeological domain vocabulary and output JSON schema</w:t>
            </w:r>
          </w:p>
        </w:tc>
      </w:tr>
    </w:tbl>
    <w:p>
      <w:pPr>
        <w:pStyle w:val="Normal"/>
        <w:spacing w:before="0" w:after="60"/>
        <w:rPr/>
      </w:pPr>
      <w:r>
        <w:rPr/>
      </w:r>
    </w:p>
    <w:p>
      <w:pPr>
        <w:pStyle w:val="Heading3"/>
        <w:spacing w:before="280" w:after="120"/>
        <w:rPr/>
      </w:pPr>
      <w:r>
        <w:rPr>
          <w:rFonts w:eastAsia="Arial" w:cs="Arial" w:ascii="Arial" w:hAnsi="Arial"/>
          <w:b/>
          <w:bCs/>
          <w:color w:val="1B3A5C"/>
          <w:sz w:val="22"/>
          <w:szCs w:val="22"/>
        </w:rPr>
        <w:t>Photo Caption Output Schema</w:t>
      </w:r>
    </w:p>
    <w:tbl>
      <w:tblPr>
        <w:tblW w:w="9360" w:type="dxa"/>
        <w:jc w:val="start"/>
        <w:tblInd w:w="0" w:type="dxa"/>
        <w:tblLayout w:type="fixed"/>
        <w:tblCellMar>
          <w:top w:w="120" w:type="dxa"/>
          <w:start w:w="200" w:type="dxa"/>
          <w:bottom w:w="12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1C2833" w:val="clear"/>
          </w:tcPr>
          <w:p>
            <w:pPr>
              <w:pStyle w:val="Normal"/>
              <w:spacing w:before="0" w:after="20"/>
              <w:rPr/>
            </w:pPr>
            <w:r>
              <w:rPr>
                <w:rFonts w:eastAsia="Courier New" w:cs="Courier New" w:ascii="Courier New" w:hAnsi="Courier New"/>
                <w:color w:val="A9CCE3"/>
                <w:sz w:val="17"/>
                <w:szCs w:val="17"/>
              </w:rPr>
              <w:t>// 02_spatial/photo_DSC0042.json</w:t>
            </w:r>
          </w:p>
          <w:p>
            <w:pPr>
              <w:pStyle w:val="Normal"/>
              <w:spacing w:before="0" w:after="20"/>
              <w:rPr/>
            </w:pPr>
            <w:r>
              <w:rPr>
                <w:rFonts w:eastAsia="Courier New" w:cs="Courier New" w:ascii="Courier New" w:hAnsi="Courier New"/>
                <w:color w:val="A9CCE3"/>
                <w:sz w:val="17"/>
                <w:szCs w:val="17"/>
              </w:rPr>
              <w:t>{</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"source_file": "DSC0042.jpg",</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"model": "gemma-4-E2B",</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"caption": "North-facing section through contexts [312] and [374]. Scale rod visible (1m). Clear horizon break at c.0.4m depth. Darker fill [312] overlies paler natural [374].",</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"grounding": [</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 "label": "context_312", "bbox": [0.1, 0.05, 0.9, 0.42], "confidence": 0.91 },</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 "label": "context_374", "bbox": [0.1, 0.42, 0.9, 0.95], "confidence": 0.88 },</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 "label": "scale_rod",   "bbox": [0.82, 0.0, 0.88, 1.0],  "confidence": 0.97 }</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"cross_check": {</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"matching_contexts": ["[312]", "[374]"],</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"inconsistencies": []</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w:t>
            </w:r>
          </w:p>
          <w:p>
            <w:pPr>
              <w:pStyle w:val="Normal"/>
              <w:spacing w:before="0" w:after="20"/>
              <w:rPr/>
            </w:pPr>
            <w:r>
              <w:rPr>
                <w:rFonts w:eastAsia="Courier New" w:cs="Courier New" w:ascii="Courier New" w:hAnsi="Courier New"/>
                <w:color w:val="A9CCE3"/>
                <w:sz w:val="17"/>
                <w:szCs w:val="17"/>
              </w:rPr>
              <w:t>}</w:t>
            </w:r>
          </w:p>
        </w:tc>
      </w:tr>
    </w:tbl>
    <w:p>
      <w:pPr>
        <w:pStyle w:val="Normal"/>
        <w:spacing w:before="0" w:after="60"/>
        <w:rPr/>
      </w:pPr>
      <w:r>
        <w:rPr/>
      </w:r>
    </w:p>
    <w:p>
      <w:pPr>
        <w:pStyle w:val="Heading2"/>
        <w:spacing w:before="360" w:after="160"/>
        <w:rPr/>
      </w:pPr>
      <w:r>
        <w:rPr>
          <w:rFonts w:eastAsia="Arial" w:cs="Arial" w:ascii="Arial" w:hAnsi="Arial"/>
          <w:b/>
          <w:bCs/>
          <w:color w:val="2471A3"/>
          <w:sz w:val="26"/>
          <w:szCs w:val="26"/>
        </w:rPr>
        <w:t>2b — Sketch-to-CAD Generation (Zero-To-CAD)</w:t>
      </w:r>
    </w:p>
    <w:tbl>
      <w:tblPr>
        <w:tblW w:w="9360" w:type="dxa"/>
        <w:jc w:val="start"/>
        <w:tblInd w:w="0" w:type="dxa"/>
        <w:tblLayout w:type="fixed"/>
        <w:tblCellMar>
          <w:top w:w="80" w:type="dxa"/>
          <w:start w:w="120" w:type="dxa"/>
          <w:bottom w:w="80" w:type="dxa"/>
          <w:end w:w="80" w:type="dxa"/>
        </w:tblCellMar>
      </w:tblPr>
      <w:tblGrid>
        <w:gridCol w:w="4680"/>
        <w:gridCol w:w="4680"/>
      </w:tblGrid>
      <w:tr>
        <w:trPr>
          <w:tblHeader w:val="true"/>
        </w:trPr>
        <w:tc>
          <w:tcPr>
            <w:tcW w:w="468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Parameter</w:t>
            </w:r>
          </w:p>
        </w:tc>
        <w:tc>
          <w:tcPr>
            <w:tcW w:w="468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Value</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Model</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ADSKAILab/Zero-To-CAD-Qwen3-VL-2B</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VRAM footprint</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~1.6 GB</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Input</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Gemma-grounded section drawing with labelled bounding boxes</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Output</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CadQuery Python script + rendered SVG preview</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Validation</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CadQuery script executed in sandbox; if execution fails → flag as GEOMETRY_FAIL</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Archive use</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Geometry included in archive statement as supplementary; not embedded in main report body</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Human review gate</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ALL geometry output is flagged REQUIRES_REVIEW before report assembly</w:t>
            </w:r>
          </w:p>
        </w:tc>
      </w:tr>
    </w:tbl>
    <w:p>
      <w:pPr>
        <w:pStyle w:val="Normal"/>
        <w:spacing w:before="0" w:after="60"/>
        <w:rPr/>
      </w:pPr>
      <w:r>
        <w:rPr/>
      </w:r>
    </w:p>
    <w:tbl>
      <w:tblPr>
        <w:tblW w:w="9360" w:type="dxa"/>
        <w:jc w:val="start"/>
        <w:tblInd w:w="0" w:type="dxa"/>
        <w:tblLayout w:type="fixed"/>
        <w:tblCellMar>
          <w:top w:w="100" w:type="dxa"/>
          <w:start w:w="160" w:type="dxa"/>
          <w:bottom w:w="100" w:type="dxa"/>
          <w:end w:w="120" w:type="dxa"/>
        </w:tblCellMar>
      </w:tblPr>
      <w:tblGrid>
        <w:gridCol w:w="1400"/>
        <w:gridCol w:w="7960"/>
      </w:tblGrid>
      <w:tr>
        <w:trPr/>
        <w:tc>
          <w:tcPr>
            <w:tcW w:w="1400" w:type="dxa"/>
            <w:tcBorders/>
            <w:shd w:fill="FEF9E7" w:val="clear"/>
          </w:tcPr>
          <w:p>
            <w:pPr>
              <w:pStyle w:val="Normal"/>
              <w:jc w:val="center"/>
              <w:rPr/>
            </w:pPr>
            <w:r>
              <w:rPr>
                <w:rFonts w:eastAsia="Arial" w:cs="Arial"/>
                <w:b/>
                <w:bCs/>
                <w:color w:val="9A7D0A"/>
                <w:sz w:val="19"/>
                <w:szCs w:val="19"/>
              </w:rPr>
              <w:t xml:space="preserve">✦  </w:t>
            </w:r>
            <w:r>
              <w:rPr>
                <w:rFonts w:eastAsia="Arial" w:cs="Arial"/>
                <w:b/>
                <w:bCs/>
                <w:color w:val="9A7D0A"/>
                <w:sz w:val="19"/>
                <w:szCs w:val="19"/>
              </w:rPr>
              <w:t>DECISION</w:t>
            </w:r>
          </w:p>
        </w:tc>
        <w:tc>
          <w:tcPr>
            <w:tcW w:w="7960" w:type="dxa"/>
            <w:tcBorders/>
            <w:shd w:fill="FEF9E7" w:val="clear"/>
            <w:tcMar>
              <w:end w:w="160" w:type="dxa"/>
            </w:tcMar>
          </w:tcPr>
          <w:p>
            <w:pPr>
              <w:pStyle w:val="Normal"/>
              <w:rPr/>
            </w:pPr>
            <w:r>
              <w:rPr>
                <w:rFonts w:eastAsia="Arial" w:cs="Arial"/>
                <w:color w:val="A04000"/>
                <w:sz w:val="20"/>
                <w:szCs w:val="20"/>
              </w:rPr>
              <w:t>The Zero-To-CAD output is an archive asset, not a report illustration. The main report body uses the original photographed drawing (or a scanned plan) as the figure. CadQuery geometry is packaged separately for researchers who want a manipulable 3D record.</w:t>
            </w:r>
          </w:p>
        </w:tc>
      </w:tr>
    </w:tbl>
    <w:p>
      <w:pPr>
        <w:pStyle w:val="Normal"/>
        <w:spacing w:before="0" w:after="60"/>
        <w:rPr/>
      </w:pPr>
      <w:r>
        <w:rPr/>
      </w:r>
    </w:p>
    <w:p>
      <w:pPr>
        <w:pStyle w:val="Heading2"/>
        <w:spacing w:before="360" w:after="160"/>
        <w:rPr/>
      </w:pPr>
      <w:r>
        <w:rPr>
          <w:rFonts w:eastAsia="Arial" w:cs="Arial" w:ascii="Arial" w:hAnsi="Arial"/>
          <w:b/>
          <w:bCs/>
          <w:color w:val="2471A3"/>
          <w:sz w:val="26"/>
          <w:szCs w:val="26"/>
        </w:rPr>
        <w:t>Phase 2 VRAM Budget</w:t>
      </w:r>
    </w:p>
    <w:tbl>
      <w:tblPr>
        <w:tblW w:w="9360" w:type="dxa"/>
        <w:jc w:val="start"/>
        <w:tblInd w:w="0" w:type="dxa"/>
        <w:tblLayout w:type="fixed"/>
        <w:tblCellMar>
          <w:top w:w="80" w:type="dxa"/>
          <w:start w:w="120" w:type="dxa"/>
          <w:bottom w:w="80" w:type="dxa"/>
          <w:end w:w="80" w:type="dxa"/>
        </w:tblCellMar>
      </w:tblPr>
      <w:tblGrid>
        <w:gridCol w:w="2340"/>
        <w:gridCol w:w="2340"/>
        <w:gridCol w:w="2340"/>
        <w:gridCol w:w="2340"/>
      </w:tblGrid>
      <w:tr>
        <w:trPr>
          <w:tblHeader w:val="true"/>
        </w:trPr>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Step</w:t>
            </w:r>
          </w:p>
        </w:tc>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Model</w:t>
            </w:r>
          </w:p>
        </w:tc>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VRAM (loaded)</w:t>
            </w:r>
          </w:p>
        </w:tc>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Cleared after step?</w:t>
            </w:r>
          </w:p>
        </w:tc>
      </w:tr>
      <w:tr>
        <w:trPr/>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2a</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Gemma 4-E2B (Q4_K_M)</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~2.1 GB</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Yes — after all photos/drawings processed</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2b (conditional)</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Zero-To-CAD</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~1.6 GB</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Yes — after all drawings processed</w:t>
            </w:r>
          </w:p>
        </w:tc>
      </w:tr>
      <w:tr>
        <w:trPr/>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Peak (worst case)</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Gemma 4-E2B alone</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~2.1 GB</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Well within 6 GB</w:t>
            </w:r>
          </w:p>
        </w:tc>
      </w:tr>
    </w:tbl>
    <w:p>
      <w:pPr>
        <w:pStyle w:val="Normal"/>
        <w:spacing w:before="0" w:after="60"/>
        <w:rPr/>
      </w:pPr>
      <w:r>
        <w:rPr/>
      </w:r>
    </w:p>
    <w:p>
      <w:pPr>
        <w:pStyle w:val="Normal"/>
        <w:pBdr>
          <w:bottom w:val="single" w:sz="6" w:space="1" w:color="2471A3"/>
        </w:pBdr>
        <w:spacing w:before="240" w:after="240"/>
        <w:rPr/>
      </w:pPr>
      <w:r>
        <w:rPr/>
      </w:r>
    </w:p>
    <w:p>
      <w:pPr>
        <w:pStyle w:val="Normal"/>
        <w:spacing w:before="0" w:after="60"/>
        <w:rPr/>
      </w:pPr>
      <w:r>
        <w:rPr/>
      </w:r>
    </w:p>
    <w:tbl>
      <w:tblPr>
        <w:tblW w:w="9360" w:type="dxa"/>
        <w:jc w:val="start"/>
        <w:tblInd w:w="0" w:type="dxa"/>
        <w:tblLayout w:type="fixed"/>
        <w:tblCellMar>
          <w:top w:w="120" w:type="dxa"/>
          <w:start w:w="160" w:type="dxa"/>
          <w:bottom w:w="120" w:type="dxa"/>
          <w:end w:w="120" w:type="dxa"/>
        </w:tblCellMar>
      </w:tblPr>
      <w:tblGrid>
        <w:gridCol w:w="1199"/>
        <w:gridCol w:w="8161"/>
      </w:tblGrid>
      <w:tr>
        <w:trPr/>
        <w:tc>
          <w:tcPr>
            <w:tcW w:w="1199" w:type="dxa"/>
            <w:tcBorders>
              <w:top w:val="single" w:sz="6" w:space="0" w:color="9A7D0A"/>
              <w:bottom w:val="single" w:sz="6" w:space="0" w:color="9A7D0A"/>
            </w:tcBorders>
            <w:shd w:fill="1B3A5C" w:val="clear"/>
          </w:tcPr>
          <w:p>
            <w:pPr>
              <w:pStyle w:val="Normal"/>
              <w:jc w:val="center"/>
              <w:rPr/>
            </w:pPr>
            <w:r>
              <w:rPr>
                <w:rFonts w:eastAsia="Arial" w:cs="Arial"/>
                <w:b/>
                <w:bCs/>
                <w:caps/>
                <w:color w:val="9A7D0A"/>
                <w:sz w:val="16"/>
                <w:szCs w:val="16"/>
              </w:rPr>
              <w:t>PHASE</w:t>
            </w:r>
          </w:p>
          <w:p>
            <w:pPr>
              <w:pStyle w:val="Normal"/>
              <w:jc w:val="center"/>
              <w:rPr/>
            </w:pPr>
            <w:r>
              <w:rPr>
                <w:rFonts w:eastAsia="Arial" w:cs="Arial"/>
                <w:b/>
                <w:bCs/>
                <w:color w:val="FFFFFF"/>
                <w:sz w:val="40"/>
                <w:szCs w:val="40"/>
              </w:rPr>
              <w:t>3</w:t>
            </w:r>
          </w:p>
        </w:tc>
        <w:tc>
          <w:tcPr>
            <w:tcW w:w="8161" w:type="dxa"/>
            <w:tcBorders>
              <w:top w:val="single" w:sz="6" w:space="0" w:color="9A7D0A"/>
              <w:bottom w:val="single" w:sz="6" w:space="0" w:color="9A7D0A"/>
            </w:tcBorders>
            <w:shd w:fill="2471A3" w:val="clear"/>
            <w:tcMar>
              <w:start w:w="200" w:type="dxa"/>
            </w:tcMar>
          </w:tcPr>
          <w:p>
            <w:pPr>
              <w:pStyle w:val="Normal"/>
              <w:rPr/>
            </w:pPr>
            <w:r>
              <w:rPr>
                <w:rFonts w:eastAsia="Arial" w:cs="Arial"/>
                <w:b/>
                <w:bCs/>
                <w:color w:val="FFFFFF"/>
                <w:sz w:val="30"/>
                <w:szCs w:val="30"/>
              </w:rPr>
              <w:t>Synthesis &amp; Narrative Drafting</w:t>
            </w:r>
          </w:p>
          <w:p>
            <w:pPr>
              <w:pStyle w:val="Normal"/>
              <w:rPr/>
            </w:pPr>
            <w:r>
              <w:rPr>
                <w:rFonts w:eastAsia="Arial" w:cs="Arial"/>
                <w:i/>
                <w:iCs/>
                <w:color w:val="BFD9F0"/>
                <w:sz w:val="20"/>
                <w:szCs w:val="20"/>
              </w:rPr>
              <w:t>Reason through the full site dataset and produce a structured first draft</w:t>
            </w:r>
          </w:p>
        </w:tc>
      </w:tr>
    </w:tbl>
    <w:p>
      <w:pPr>
        <w:pStyle w:val="Normal"/>
        <w:spacing w:before="0" w:after="60"/>
        <w:rPr/>
      </w:pPr>
      <w:r>
        <w:rPr/>
      </w:r>
    </w:p>
    <w:p>
      <w:pPr>
        <w:pStyle w:val="Heading2"/>
        <w:spacing w:before="360" w:after="160"/>
        <w:rPr/>
      </w:pPr>
      <w:r>
        <w:rPr>
          <w:rFonts w:eastAsia="Arial" w:cs="Arial" w:ascii="Arial" w:hAnsi="Arial"/>
          <w:b/>
          <w:bCs/>
          <w:color w:val="2471A3"/>
          <w:sz w:val="26"/>
          <w:szCs w:val="26"/>
        </w:rPr>
        <w:t>Overview</w:t>
      </w:r>
    </w:p>
    <w:p>
      <w:pPr>
        <w:pStyle w:val="Normal"/>
        <w:spacing w:before="80" w:after="140"/>
        <w:rPr/>
      </w:pPr>
      <w:r>
        <w:rPr>
          <w:rFonts w:eastAsia="Arial" w:cs="Arial"/>
          <w:color w:val="1C2833"/>
          <w:sz w:val="22"/>
          <w:szCs w:val="22"/>
        </w:rPr>
        <w:t>This is the most cognitively demanding phase and uses the largest model. Qwen3.5-4B in Thinking Mode is given the complete digitised record — all context sheet JSON, finds data, sample results, photo captions, and stratigraphic relationships — and is tasked with producing a structured Markdown draft matching the report skeleton defined by the jurisdiction template (see Section 8).</w:t>
      </w:r>
    </w:p>
    <w:p>
      <w:pPr>
        <w:pStyle w:val="Heading2"/>
        <w:spacing w:before="360" w:after="160"/>
        <w:rPr/>
      </w:pPr>
      <w:r>
        <w:rPr>
          <w:rFonts w:eastAsia="Arial" w:cs="Arial" w:ascii="Arial" w:hAnsi="Arial"/>
          <w:b/>
          <w:bCs/>
          <w:color w:val="2471A3"/>
          <w:sz w:val="26"/>
          <w:szCs w:val="26"/>
        </w:rPr>
        <w:t>Model Configuration</w:t>
      </w:r>
    </w:p>
    <w:tbl>
      <w:tblPr>
        <w:tblW w:w="9360" w:type="dxa"/>
        <w:jc w:val="start"/>
        <w:tblInd w:w="0" w:type="dxa"/>
        <w:tblLayout w:type="fixed"/>
        <w:tblCellMar>
          <w:top w:w="80" w:type="dxa"/>
          <w:start w:w="120" w:type="dxa"/>
          <w:bottom w:w="80" w:type="dxa"/>
          <w:end w:w="80" w:type="dxa"/>
        </w:tblCellMar>
      </w:tblPr>
      <w:tblGrid>
        <w:gridCol w:w="4680"/>
        <w:gridCol w:w="4680"/>
      </w:tblGrid>
      <w:tr>
        <w:trPr>
          <w:tblHeader w:val="true"/>
        </w:trPr>
        <w:tc>
          <w:tcPr>
            <w:tcW w:w="468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Parameter</w:t>
            </w:r>
          </w:p>
        </w:tc>
        <w:tc>
          <w:tcPr>
            <w:tcW w:w="468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Value</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Model</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Qwen/Qwen3.5-4B (Unsloth Dynamic 2.0 GGUF, Q4_K_M quantisation)</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VRAM footprint</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~2.8 GB at Q4_K_M</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Context length</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262,144 tokens native; extensible to 1M+ via YaRN RoPE scaling</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Thinking Mode</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Enabled — model reasons through period sequence before drafting</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Inference engine</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llama.cpp (server mode) — preferred over vLLM/SGLang for single-GPU local deployment</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Context window strategy</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Full site data fits comfortably for most excavations; see notes below for large sites</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Temperature</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0.3 for drafting (low creativity, high fidelity to input data)</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Output format</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Structured Markdown with section headers matching jurisdiction template</w:t>
            </w:r>
          </w:p>
        </w:tc>
      </w:tr>
    </w:tbl>
    <w:p>
      <w:pPr>
        <w:pStyle w:val="Normal"/>
        <w:spacing w:before="0" w:after="60"/>
        <w:rPr/>
      </w:pPr>
      <w:r>
        <w:rPr/>
      </w:r>
    </w:p>
    <w:tbl>
      <w:tblPr>
        <w:tblW w:w="9360" w:type="dxa"/>
        <w:jc w:val="start"/>
        <w:tblInd w:w="0" w:type="dxa"/>
        <w:tblLayout w:type="fixed"/>
        <w:tblCellMar>
          <w:top w:w="100" w:type="dxa"/>
          <w:start w:w="160" w:type="dxa"/>
          <w:bottom w:w="100" w:type="dxa"/>
          <w:end w:w="120" w:type="dxa"/>
        </w:tblCellMar>
      </w:tblPr>
      <w:tblGrid>
        <w:gridCol w:w="1400"/>
        <w:gridCol w:w="7960"/>
      </w:tblGrid>
      <w:tr>
        <w:trPr/>
        <w:tc>
          <w:tcPr>
            <w:tcW w:w="1400" w:type="dxa"/>
            <w:tcBorders/>
            <w:shd w:fill="EBF5FB" w:val="clear"/>
          </w:tcPr>
          <w:p>
            <w:pPr>
              <w:pStyle w:val="Normal"/>
              <w:jc w:val="center"/>
              <w:rPr/>
            </w:pPr>
            <w:r>
              <w:rPr>
                <w:rFonts w:eastAsia="Arial" w:cs="Arial"/>
                <w:b/>
                <w:bCs/>
                <w:color w:val="2471A3"/>
                <w:sz w:val="19"/>
                <w:szCs w:val="19"/>
              </w:rPr>
              <w:t xml:space="preserve">ℹ  </w:t>
            </w:r>
            <w:r>
              <w:rPr>
                <w:rFonts w:eastAsia="Arial" w:cs="Arial"/>
                <w:b/>
                <w:bCs/>
                <w:color w:val="2471A3"/>
                <w:sz w:val="19"/>
                <w:szCs w:val="19"/>
              </w:rPr>
              <w:t>NOTE</w:t>
            </w:r>
          </w:p>
        </w:tc>
        <w:tc>
          <w:tcPr>
            <w:tcW w:w="7960" w:type="dxa"/>
            <w:tcBorders/>
            <w:shd w:fill="EBF5FB" w:val="clear"/>
            <w:tcMar>
              <w:end w:w="160" w:type="dxa"/>
            </w:tcMar>
          </w:tcPr>
          <w:p>
            <w:pPr>
              <w:pStyle w:val="Normal"/>
              <w:rPr/>
            </w:pPr>
            <w:r>
              <w:rPr>
                <w:rFonts w:eastAsia="Arial" w:cs="Arial"/>
                <w:color w:val="1B3A5C"/>
                <w:sz w:val="20"/>
                <w:szCs w:val="20"/>
              </w:rPr>
              <w:t>vLLM and SGLang are excellent for high-throughput server deployments but carry significant overhead (Ray cluster, CUDA graph capture) that is unnecessary and harmful on a single 6 GB consumer GPU. Use llama.cpp in server mode instead — it is specifically optimised for local single-GPU inference and handles the KV cache correctly at this memory level.</w:t>
            </w:r>
          </w:p>
        </w:tc>
      </w:tr>
    </w:tbl>
    <w:p>
      <w:pPr>
        <w:pStyle w:val="Normal"/>
        <w:spacing w:before="0" w:after="60"/>
        <w:rPr/>
      </w:pPr>
      <w:r>
        <w:rPr/>
      </w:r>
    </w:p>
    <w:p>
      <w:pPr>
        <w:pStyle w:val="Heading2"/>
        <w:spacing w:before="360" w:after="160"/>
        <w:rPr/>
      </w:pPr>
      <w:r>
        <w:rPr>
          <w:rFonts w:eastAsia="Arial" w:cs="Arial" w:ascii="Arial" w:hAnsi="Arial"/>
          <w:b/>
          <w:bCs/>
          <w:color w:val="2471A3"/>
          <w:sz w:val="26"/>
          <w:szCs w:val="26"/>
        </w:rPr>
        <w:t>Context Assembly Strategy</w:t>
      </w:r>
    </w:p>
    <w:p>
      <w:pPr>
        <w:pStyle w:val="Normal"/>
        <w:spacing w:before="80" w:after="140"/>
        <w:rPr/>
      </w:pPr>
      <w:r>
        <w:rPr>
          <w:rFonts w:eastAsia="Arial" w:cs="Arial"/>
          <w:color w:val="1C2833"/>
          <w:sz w:val="22"/>
          <w:szCs w:val="22"/>
        </w:rPr>
        <w:t>Before calling the model, the orchestrator assembles a single context document from all Phase 1-2 outputs. This is passed as the user message alongside a system prompt containing the jurisdiction template schema.</w:t>
      </w:r>
    </w:p>
    <w:tbl>
      <w:tblPr>
        <w:tblW w:w="9360" w:type="dxa"/>
        <w:jc w:val="start"/>
        <w:tblInd w:w="0" w:type="dxa"/>
        <w:tblLayout w:type="fixed"/>
        <w:tblCellMar>
          <w:top w:w="120" w:type="dxa"/>
          <w:start w:w="200" w:type="dxa"/>
          <w:bottom w:w="12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1C2833" w:val="clear"/>
          </w:tcPr>
          <w:p>
            <w:pPr>
              <w:pStyle w:val="Normal"/>
              <w:spacing w:before="0" w:after="20"/>
              <w:rPr/>
            </w:pPr>
            <w:r>
              <w:rPr>
                <w:rFonts w:eastAsia="Courier New" w:cs="Courier New" w:ascii="Courier New" w:hAnsi="Courier New"/>
                <w:color w:val="A9CCE3"/>
                <w:sz w:val="17"/>
                <w:szCs w:val="17"/>
              </w:rPr>
              <w:t># Context document assembly order (Python pseudocode)</w:t>
            </w:r>
          </w:p>
          <w:p>
            <w:pPr>
              <w:pStyle w:val="Normal"/>
              <w:spacing w:before="0" w:after="20"/>
              <w:rPr/>
            </w:pPr>
            <w:r>
              <w:rPr>
                <w:rFonts w:eastAsia="Courier New" w:cs="Courier New" w:ascii="Courier New" w:hAnsi="Courier New"/>
                <w:color w:val="A9CCE3"/>
                <w:sz w:val="17"/>
                <w:szCs w:val="17"/>
              </w:rPr>
              <w:t>context = []</w:t>
            </w:r>
          </w:p>
          <w:p>
            <w:pPr>
              <w:pStyle w:val="Normal"/>
              <w:spacing w:before="0" w:after="20"/>
              <w:rPr/>
            </w:pPr>
            <w:r>
              <w:rPr>
                <w:rFonts w:eastAsia="Courier New" w:cs="Courier New" w:ascii="Courier New" w:hAnsi="Courier New"/>
                <w:color w:val="A9CCE3"/>
                <w:sz w:val="17"/>
                <w:szCs w:val="17"/>
              </w:rPr>
              <w:t>context.append(load_template_schema(jurisdiction))   # ~500 tokens</w:t>
            </w:r>
          </w:p>
          <w:p>
            <w:pPr>
              <w:pStyle w:val="Normal"/>
              <w:spacing w:before="0" w:after="20"/>
              <w:rPr/>
            </w:pPr>
            <w:r>
              <w:rPr>
                <w:rFonts w:eastAsia="Courier New" w:cs="Courier New" w:ascii="Courier New" w:hAnsi="Courier New"/>
                <w:color w:val="A9CCE3"/>
                <w:sz w:val="17"/>
                <w:szCs w:val="17"/>
              </w:rPr>
              <w:t>context.append(site_metadata_block())                # project, grid ref, HER ref, etc.</w:t>
            </w:r>
          </w:p>
          <w:p>
            <w:pPr>
              <w:pStyle w:val="Normal"/>
              <w:spacing w:before="0" w:after="20"/>
              <w:rPr/>
            </w:pPr>
            <w:r>
              <w:rPr>
                <w:rFonts w:eastAsia="Courier New" w:cs="Courier New" w:ascii="Courier New" w:hAnsi="Courier New"/>
                <w:color w:val="A9CCE3"/>
                <w:sz w:val="17"/>
                <w:szCs w:val="17"/>
              </w:rPr>
              <w:t>context.append(render_context_sheet_summary())       # all ctx JSON → condensed table</w:t>
            </w:r>
          </w:p>
          <w:p>
            <w:pPr>
              <w:pStyle w:val="Normal"/>
              <w:spacing w:before="0" w:after="20"/>
              <w:rPr/>
            </w:pPr>
            <w:r>
              <w:rPr>
                <w:rFonts w:eastAsia="Courier New" w:cs="Courier New" w:ascii="Courier New" w:hAnsi="Courier New"/>
                <w:color w:val="A9CCE3"/>
                <w:sz w:val="17"/>
                <w:szCs w:val="17"/>
              </w:rPr>
              <w:t>context.append(render_harris_relationships())        # stratigraphic matrix summary</w:t>
            </w:r>
          </w:p>
          <w:p>
            <w:pPr>
              <w:pStyle w:val="Normal"/>
              <w:spacing w:before="0" w:after="20"/>
              <w:rPr/>
            </w:pPr>
            <w:r>
              <w:rPr>
                <w:rFonts w:eastAsia="Courier New" w:cs="Courier New" w:ascii="Courier New" w:hAnsi="Courier New"/>
                <w:color w:val="A9CCE3"/>
                <w:sz w:val="17"/>
                <w:szCs w:val="17"/>
              </w:rPr>
              <w:t>context.append(render_finds_summary())               # finds catalogue by period/type</w:t>
            </w:r>
          </w:p>
          <w:p>
            <w:pPr>
              <w:pStyle w:val="Normal"/>
              <w:spacing w:before="0" w:after="20"/>
              <w:rPr/>
            </w:pPr>
            <w:r>
              <w:rPr>
                <w:rFonts w:eastAsia="Courier New" w:cs="Courier New" w:ascii="Courier New" w:hAnsi="Courier New"/>
                <w:color w:val="A9CCE3"/>
                <w:sz w:val="17"/>
                <w:szCs w:val="17"/>
              </w:rPr>
              <w:t>context.append(render_sample_results())              # dating, environmental, specialist</w:t>
            </w:r>
          </w:p>
          <w:p>
            <w:pPr>
              <w:pStyle w:val="Normal"/>
              <w:spacing w:before="0" w:after="20"/>
              <w:rPr/>
            </w:pPr>
            <w:r>
              <w:rPr>
                <w:rFonts w:eastAsia="Courier New" w:cs="Courier New" w:ascii="Courier New" w:hAnsi="Courier New"/>
                <w:color w:val="A9CCE3"/>
                <w:sz w:val="17"/>
                <w:szCs w:val="17"/>
              </w:rPr>
              <w:t>context.append(render_photo_captions())              # photo JSON summaries</w:t>
            </w:r>
          </w:p>
          <w:p>
            <w:pPr>
              <w:pStyle w:val="Normal"/>
              <w:spacing w:before="0" w:after="20"/>
              <w:rPr/>
            </w:pPr>
            <w:r>
              <w:rPr>
                <w:rFonts w:eastAsia="Courier New" w:cs="Courier New" w:ascii="Courier New" w:hAnsi="Courier New"/>
                <w:color w:val="A9CCE3"/>
                <w:sz w:val="17"/>
                <w:szCs w:val="17"/>
              </w:rPr>
              <w:t>context.append(render_previous_text())               # any pre-existing typed notes</w:t>
            </w:r>
          </w:p>
          <w:p>
            <w:pPr>
              <w:pStyle w:val="Normal"/>
              <w:spacing w:before="0" w:after="20"/>
              <w:rPr/>
            </w:pPr>
            <w:r>
              <w:rPr>
                <w:rFonts w:eastAsia="Courier New" w:cs="Courier New" w:ascii="Courier New" w:hAnsi="Courier New"/>
                <w:color w:val="A9CCE3"/>
                <w:sz w:val="17"/>
                <w:szCs w:val="17"/>
              </w:rPr>
              <w:t># Typical total: 15,000–80,000 tokens; 262k limit handles all but the largest multi-season sites</w:t>
            </w:r>
          </w:p>
        </w:tc>
      </w:tr>
    </w:tbl>
    <w:p>
      <w:pPr>
        <w:pStyle w:val="Normal"/>
        <w:spacing w:before="0" w:after="60"/>
        <w:rPr/>
      </w:pPr>
      <w:r>
        <w:rPr/>
      </w:r>
    </w:p>
    <w:p>
      <w:pPr>
        <w:pStyle w:val="Heading2"/>
        <w:spacing w:before="360" w:after="160"/>
        <w:rPr/>
      </w:pPr>
      <w:r>
        <w:rPr>
          <w:rFonts w:eastAsia="Arial" w:cs="Arial" w:ascii="Arial" w:hAnsi="Arial"/>
          <w:b/>
          <w:bCs/>
          <w:color w:val="2471A3"/>
          <w:sz w:val="26"/>
          <w:szCs w:val="26"/>
        </w:rPr>
        <w:t>Thinking Mode — What It Does</w:t>
      </w:r>
    </w:p>
    <w:p>
      <w:pPr>
        <w:pStyle w:val="Normal"/>
        <w:spacing w:before="80" w:after="140"/>
        <w:rPr/>
      </w:pPr>
      <w:r>
        <w:rPr>
          <w:rFonts w:eastAsia="Arial" w:cs="Arial"/>
          <w:color w:val="1C2833"/>
          <w:sz w:val="22"/>
          <w:szCs w:val="22"/>
        </w:rPr>
        <w:t xml:space="preserve">When Thinking Mode is active, Qwen3.5-4B produces a hidden reasoning chain before generating the output draft. The orchestrator should capture and log this chain to </w:t>
      </w:r>
      <w:r>
        <w:rPr>
          <w:rFonts w:eastAsia="Courier New" w:cs="Courier New" w:ascii="Courier New" w:hAnsi="Courier New"/>
          <w:color w:val="1B3A5C"/>
          <w:sz w:val="18"/>
          <w:szCs w:val="18"/>
        </w:rPr>
        <w:t>logs/phase3_reasoning.txt</w:t>
      </w:r>
      <w:r>
        <w:rPr>
          <w:rFonts w:eastAsia="Arial" w:cs="Arial"/>
          <w:color w:val="1C2833"/>
          <w:sz w:val="22"/>
          <w:szCs w:val="22"/>
        </w:rPr>
        <w:t xml:space="preserve"> — it is extremely useful for the site director to understand how the model interpreted ambiguous stratigraphic relationships or conflicting dating evidence. The reasoning chain is not included in the draft itself.</w:t>
      </w:r>
    </w:p>
    <w:p>
      <w:pPr>
        <w:pStyle w:val="Heading2"/>
        <w:spacing w:before="360" w:after="160"/>
        <w:rPr/>
      </w:pPr>
      <w:r>
        <w:rPr>
          <w:rFonts w:eastAsia="Arial" w:cs="Arial" w:ascii="Arial" w:hAnsi="Arial"/>
          <w:b/>
          <w:bCs/>
          <w:color w:val="2471A3"/>
          <w:sz w:val="26"/>
          <w:szCs w:val="26"/>
        </w:rPr>
        <w:t>Draft Structure (Output)</w:t>
      </w:r>
    </w:p>
    <w:p>
      <w:pPr>
        <w:pStyle w:val="Normal"/>
        <w:spacing w:before="80" w:after="140"/>
        <w:rPr/>
      </w:pPr>
      <w:r>
        <w:rPr>
          <w:rFonts w:eastAsia="Arial" w:cs="Arial"/>
          <w:color w:val="1C2833"/>
          <w:sz w:val="22"/>
          <w:szCs w:val="22"/>
        </w:rPr>
        <w:t>The model is instructed to produce each report section as a separate Markdown code block labelled with the section ID from the jurisdiction template. This allows the orchestrator to parse individual sections for independent compliance checking in Phase 4.</w:t>
      </w:r>
    </w:p>
    <w:tbl>
      <w:tblPr>
        <w:tblW w:w="9360" w:type="dxa"/>
        <w:jc w:val="start"/>
        <w:tblInd w:w="0" w:type="dxa"/>
        <w:tblLayout w:type="fixed"/>
        <w:tblCellMar>
          <w:top w:w="120" w:type="dxa"/>
          <w:start w:w="200" w:type="dxa"/>
          <w:bottom w:w="12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1C2833" w:val="clear"/>
          </w:tcPr>
          <w:p>
            <w:pPr>
              <w:pStyle w:val="Normal"/>
              <w:spacing w:before="0" w:after="20"/>
              <w:rPr/>
            </w:pPr>
            <w:r>
              <w:rPr>
                <w:rFonts w:eastAsia="Courier New" w:cs="Courier New" w:ascii="Courier New" w:hAnsi="Courier New"/>
                <w:color w:val="A9CCE3"/>
                <w:sz w:val="17"/>
                <w:szCs w:val="17"/>
              </w:rPr>
              <w:t>```section:executive_summary</w:t>
            </w:r>
          </w:p>
          <w:p>
            <w:pPr>
              <w:pStyle w:val="Normal"/>
              <w:spacing w:before="0" w:after="20"/>
              <w:rPr/>
            </w:pPr>
            <w:r>
              <w:rPr>
                <w:rFonts w:eastAsia="Courier New" w:cs="Courier New" w:ascii="Courier New" w:hAnsi="Courier New"/>
                <w:color w:val="A9CCE3"/>
                <w:sz w:val="17"/>
                <w:szCs w:val="17"/>
              </w:rPr>
              <w:t>## Executive Summary</w:t>
            </w:r>
          </w:p>
          <w:p>
            <w:pPr>
              <w:pStyle w:val="Normal"/>
              <w:spacing w:before="0" w:after="20"/>
              <w:rPr/>
            </w:pPr>
            <w:r>
              <w:rPr>
                <w:rFonts w:eastAsia="Courier New" w:cs="Courier New" w:ascii="Courier New" w:hAnsi="Courier New"/>
                <w:color w:val="A9CCE3"/>
                <w:sz w:val="17"/>
                <w:szCs w:val="17"/>
              </w:rPr>
              <w:t>An archaeological evaluation was undertaken at...</w:t>
            </w:r>
          </w:p>
          <w:p>
            <w:pPr>
              <w:pStyle w:val="Normal"/>
              <w:spacing w:before="0" w:after="20"/>
              <w:rPr/>
            </w:pPr>
            <w:r>
              <w:rPr>
                <w:rFonts w:eastAsia="Courier New" w:cs="Courier New" w:ascii="Courier New" w:hAnsi="Courier New"/>
                <w:color w:val="A9CCE3"/>
                <w:sz w:val="17"/>
                <w:szCs w:val="17"/>
              </w:rPr>
              <w:t>```</w:t>
            </w:r>
          </w:p>
          <w:p>
            <w:pPr>
              <w:pStyle w:val="Normal"/>
              <w:spacing w:before="0" w:after="20"/>
              <w:rPr/>
            </w:pPr>
            <w:r>
              <w:rPr/>
            </w:r>
          </w:p>
          <w:p>
            <w:pPr>
              <w:pStyle w:val="Normal"/>
              <w:spacing w:before="0" w:after="20"/>
              <w:rPr/>
            </w:pPr>
            <w:r>
              <w:rPr>
                <w:rFonts w:eastAsia="Courier New" w:cs="Courier New" w:ascii="Courier New" w:hAnsi="Courier New"/>
                <w:color w:val="A9CCE3"/>
                <w:sz w:val="17"/>
                <w:szCs w:val="17"/>
              </w:rPr>
              <w:t>```section:methodology</w:t>
            </w:r>
          </w:p>
          <w:p>
            <w:pPr>
              <w:pStyle w:val="Normal"/>
              <w:spacing w:before="0" w:after="20"/>
              <w:rPr/>
            </w:pPr>
            <w:r>
              <w:rPr>
                <w:rFonts w:eastAsia="Courier New" w:cs="Courier New" w:ascii="Courier New" w:hAnsi="Courier New"/>
                <w:color w:val="A9CCE3"/>
                <w:sz w:val="17"/>
                <w:szCs w:val="17"/>
              </w:rPr>
              <w:t>## Methodology</w:t>
            </w:r>
          </w:p>
          <w:p>
            <w:pPr>
              <w:pStyle w:val="Normal"/>
              <w:spacing w:before="0" w:after="20"/>
              <w:rPr/>
            </w:pPr>
            <w:r>
              <w:rPr>
                <w:rFonts w:eastAsia="Courier New" w:cs="Courier New" w:ascii="Courier New" w:hAnsi="Courier New"/>
                <w:color w:val="A9CCE3"/>
                <w:sz w:val="17"/>
                <w:szCs w:val="17"/>
              </w:rPr>
              <w:t>...</w:t>
            </w:r>
          </w:p>
          <w:p>
            <w:pPr>
              <w:pStyle w:val="Normal"/>
              <w:spacing w:before="0" w:after="20"/>
              <w:rPr/>
            </w:pPr>
            <w:r>
              <w:rPr>
                <w:rFonts w:eastAsia="Courier New" w:cs="Courier New" w:ascii="Courier New" w:hAnsi="Courier New"/>
                <w:color w:val="A9CCE3"/>
                <w:sz w:val="17"/>
                <w:szCs w:val="17"/>
              </w:rPr>
              <w:t>```</w:t>
            </w:r>
          </w:p>
          <w:p>
            <w:pPr>
              <w:pStyle w:val="Normal"/>
              <w:spacing w:before="0" w:after="20"/>
              <w:rPr/>
            </w:pPr>
            <w:r>
              <w:rPr/>
            </w:r>
          </w:p>
          <w:p>
            <w:pPr>
              <w:pStyle w:val="Normal"/>
              <w:spacing w:before="0" w:after="20"/>
              <w:rPr/>
            </w:pPr>
            <w:r>
              <w:rPr>
                <w:rFonts w:eastAsia="Courier New" w:cs="Courier New" w:ascii="Courier New" w:hAnsi="Courier New"/>
                <w:color w:val="A9CCE3"/>
                <w:sz w:val="17"/>
                <w:szCs w:val="17"/>
              </w:rPr>
              <w:t>```section:results_prehistoric</w:t>
            </w:r>
          </w:p>
          <w:p>
            <w:pPr>
              <w:pStyle w:val="Normal"/>
              <w:spacing w:before="0" w:after="20"/>
              <w:rPr/>
            </w:pPr>
            <w:r>
              <w:rPr>
                <w:rFonts w:eastAsia="Courier New" w:cs="Courier New" w:ascii="Courier New" w:hAnsi="Courier New"/>
                <w:color w:val="A9CCE3"/>
                <w:sz w:val="17"/>
                <w:szCs w:val="17"/>
              </w:rPr>
              <w:t>## Results: Prehistoric Activity</w:t>
            </w:r>
          </w:p>
          <w:p>
            <w:pPr>
              <w:pStyle w:val="Normal"/>
              <w:spacing w:before="0" w:after="20"/>
              <w:rPr/>
            </w:pPr>
            <w:r>
              <w:rPr>
                <w:rFonts w:eastAsia="Courier New" w:cs="Courier New" w:ascii="Courier New" w:hAnsi="Courier New"/>
                <w:color w:val="A9CCE3"/>
                <w:sz w:val="17"/>
                <w:szCs w:val="17"/>
              </w:rPr>
              <w:t>...</w:t>
            </w:r>
          </w:p>
          <w:p>
            <w:pPr>
              <w:pStyle w:val="Normal"/>
              <w:spacing w:before="0" w:after="20"/>
              <w:rPr/>
            </w:pPr>
            <w:r>
              <w:rPr>
                <w:rFonts w:eastAsia="Courier New" w:cs="Courier New" w:ascii="Courier New" w:hAnsi="Courier New"/>
                <w:color w:val="A9CCE3"/>
                <w:sz w:val="17"/>
                <w:szCs w:val="17"/>
              </w:rPr>
              <w:t>```</w:t>
            </w:r>
          </w:p>
        </w:tc>
      </w:tr>
    </w:tbl>
    <w:p>
      <w:pPr>
        <w:pStyle w:val="Normal"/>
        <w:spacing w:before="0" w:after="60"/>
        <w:rPr/>
      </w:pPr>
      <w:r>
        <w:rPr/>
      </w:r>
    </w:p>
    <w:p>
      <w:pPr>
        <w:pStyle w:val="Heading2"/>
        <w:spacing w:before="360" w:after="160"/>
        <w:rPr/>
      </w:pPr>
      <w:r>
        <w:rPr>
          <w:rFonts w:eastAsia="Arial" w:cs="Arial" w:ascii="Arial" w:hAnsi="Arial"/>
          <w:b/>
          <w:bCs/>
          <w:color w:val="2471A3"/>
          <w:sz w:val="26"/>
          <w:szCs w:val="26"/>
        </w:rPr>
        <w:t>Human Review Triggers — Phase 3</w:t>
      </w:r>
    </w:p>
    <w:p>
      <w:pPr>
        <w:pStyle w:val="Normal"/>
        <w:spacing w:before="80" w:after="140"/>
        <w:rPr/>
      </w:pPr>
      <w:r>
        <w:rPr>
          <w:rFonts w:eastAsia="Arial" w:cs="Arial"/>
          <w:color w:val="1C2833"/>
          <w:sz w:val="22"/>
          <w:szCs w:val="22"/>
        </w:rPr>
        <w:t>The orchestrator flags sections for human review if any of the following conditions are met:</w:t>
      </w:r>
    </w:p>
    <w:p>
      <w:pPr>
        <w:pStyle w:val="ListParagraph"/>
        <w:numPr>
          <w:ilvl w:val="0"/>
          <w:numId w:val="5"/>
        </w:numPr>
        <w:spacing w:before="40" w:after="60"/>
        <w:rPr/>
      </w:pPr>
      <w:r>
        <w:rPr>
          <w:rFonts w:eastAsia="Arial" w:cs="Arial"/>
          <w:color w:val="1C2833"/>
          <w:sz w:val="21"/>
          <w:szCs w:val="21"/>
        </w:rPr>
        <w:t>The model's reasoning chain contains phrases indicating uncertainty (e.g. 'insufficient data', 'conflicting evidence', 'cannot determine').</w:t>
      </w:r>
    </w:p>
    <w:p>
      <w:pPr>
        <w:pStyle w:val="ListParagraph"/>
        <w:numPr>
          <w:ilvl w:val="0"/>
          <w:numId w:val="2"/>
        </w:numPr>
        <w:spacing w:before="40" w:after="60"/>
        <w:rPr/>
      </w:pPr>
      <w:r>
        <w:rPr>
          <w:rFonts w:eastAsia="Arial" w:cs="Arial"/>
          <w:color w:val="1C2833"/>
          <w:sz w:val="21"/>
          <w:szCs w:val="21"/>
        </w:rPr>
        <w:t>A context sheet referenced in the draft was flagged REVIEW_REQUIRED in Phase 1.</w:t>
      </w:r>
    </w:p>
    <w:p>
      <w:pPr>
        <w:pStyle w:val="ListParagraph"/>
        <w:numPr>
          <w:ilvl w:val="0"/>
          <w:numId w:val="2"/>
        </w:numPr>
        <w:spacing w:before="40" w:after="60"/>
        <w:rPr/>
      </w:pPr>
      <w:r>
        <w:rPr>
          <w:rFonts w:eastAsia="Arial" w:cs="Arial"/>
          <w:color w:val="1C2833"/>
          <w:sz w:val="21"/>
          <w:szCs w:val="21"/>
        </w:rPr>
        <w:t>The draft references a context number that does not appear in the digitised record.</w:t>
      </w:r>
    </w:p>
    <w:p>
      <w:pPr>
        <w:pStyle w:val="ListParagraph"/>
        <w:numPr>
          <w:ilvl w:val="0"/>
          <w:numId w:val="2"/>
        </w:numPr>
        <w:spacing w:before="40" w:after="60"/>
        <w:rPr/>
      </w:pPr>
      <w:r>
        <w:rPr>
          <w:rFonts w:eastAsia="Arial" w:cs="Arial"/>
          <w:color w:val="1C2833"/>
          <w:sz w:val="21"/>
          <w:szCs w:val="21"/>
        </w:rPr>
        <w:t>Fewer than 3 dated finds or samples are available to support a stated period attribution.</w:t>
      </w:r>
    </w:p>
    <w:p>
      <w:pPr>
        <w:pStyle w:val="ListParagraph"/>
        <w:numPr>
          <w:ilvl w:val="0"/>
          <w:numId w:val="2"/>
        </w:numPr>
        <w:spacing w:before="40" w:after="60"/>
        <w:rPr/>
      </w:pPr>
      <w:r>
        <w:rPr>
          <w:rFonts w:eastAsia="Arial" w:cs="Arial"/>
          <w:color w:val="1C2833"/>
          <w:sz w:val="21"/>
          <w:szCs w:val="21"/>
        </w:rPr>
        <w:t>The draft proposes a phasing sequence that contradicts the Harris Matrix stratigraphic relationships.</w:t>
      </w:r>
    </w:p>
    <w:p>
      <w:pPr>
        <w:pStyle w:val="Normal"/>
        <w:spacing w:before="0" w:after="60"/>
        <w:rPr/>
      </w:pPr>
      <w:r>
        <w:rPr/>
      </w:r>
    </w:p>
    <w:p>
      <w:pPr>
        <w:pStyle w:val="Heading2"/>
        <w:spacing w:before="360" w:after="160"/>
        <w:rPr/>
      </w:pPr>
      <w:r>
        <w:rPr>
          <w:rFonts w:eastAsia="Arial" w:cs="Arial" w:ascii="Arial" w:hAnsi="Arial"/>
          <w:b/>
          <w:bCs/>
          <w:color w:val="2471A3"/>
          <w:sz w:val="26"/>
          <w:szCs w:val="26"/>
        </w:rPr>
        <w:t>Phase 3 VRAM Budget</w:t>
      </w:r>
    </w:p>
    <w:tbl>
      <w:tblPr>
        <w:tblW w:w="9360" w:type="dxa"/>
        <w:jc w:val="start"/>
        <w:tblInd w:w="0" w:type="dxa"/>
        <w:tblLayout w:type="fixed"/>
        <w:tblCellMar>
          <w:top w:w="80" w:type="dxa"/>
          <w:start w:w="120" w:type="dxa"/>
          <w:bottom w:w="80" w:type="dxa"/>
          <w:end w:w="80" w:type="dxa"/>
        </w:tblCellMar>
      </w:tblPr>
      <w:tblGrid>
        <w:gridCol w:w="2340"/>
        <w:gridCol w:w="2340"/>
        <w:gridCol w:w="2340"/>
        <w:gridCol w:w="2340"/>
      </w:tblGrid>
      <w:tr>
        <w:trPr>
          <w:tblHeader w:val="true"/>
        </w:trPr>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Step</w:t>
            </w:r>
          </w:p>
        </w:tc>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Model</w:t>
            </w:r>
          </w:p>
        </w:tc>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VRAM</w:t>
            </w:r>
          </w:p>
        </w:tc>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Notes</w:t>
            </w:r>
          </w:p>
        </w:tc>
      </w:tr>
      <w:tr>
        <w:trPr/>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3</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Qwen3.5-4B Q4_K_M</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~2.8 GB</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Largest single load in the pipeline</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KV cache (80k token context)</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+~0.9 GB</w:t>
            </w:r>
          </w:p>
        </w:tc>
        <w:tc>
          <w:tcPr>
            <w:tcW w:w="4680" w:type="dxa"/>
            <w:gridSpan w:val="2"/>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Total ~3.7 GB — within 6 GB</w:t>
            </w:r>
          </w:p>
        </w:tc>
      </w:tr>
      <w:tr>
        <w:trPr/>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KV cache (262k token context)</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+~2.1 GB</w:t>
            </w:r>
          </w:p>
        </w:tc>
        <w:tc>
          <w:tcPr>
            <w:tcW w:w="4680" w:type="dxa"/>
            <w:gridSpan w:val="2"/>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Total ~4.9 GB — within 6 GB, leaves ~1.1 GB headroom</w:t>
            </w:r>
          </w:p>
        </w:tc>
      </w:tr>
    </w:tbl>
    <w:p>
      <w:pPr>
        <w:pStyle w:val="Normal"/>
        <w:spacing w:before="0" w:after="60"/>
        <w:rPr/>
      </w:pPr>
      <w:r>
        <w:rPr/>
      </w:r>
    </w:p>
    <w:tbl>
      <w:tblPr>
        <w:tblW w:w="9360" w:type="dxa"/>
        <w:jc w:val="start"/>
        <w:tblInd w:w="0" w:type="dxa"/>
        <w:tblLayout w:type="fixed"/>
        <w:tblCellMar>
          <w:top w:w="100" w:type="dxa"/>
          <w:start w:w="160" w:type="dxa"/>
          <w:bottom w:w="100" w:type="dxa"/>
          <w:end w:w="120" w:type="dxa"/>
        </w:tblCellMar>
      </w:tblPr>
      <w:tblGrid>
        <w:gridCol w:w="1400"/>
        <w:gridCol w:w="7960"/>
      </w:tblGrid>
      <w:tr>
        <w:trPr/>
        <w:tc>
          <w:tcPr>
            <w:tcW w:w="1400" w:type="dxa"/>
            <w:tcBorders/>
            <w:shd w:fill="FDEDEC" w:val="clear"/>
          </w:tcPr>
          <w:p>
            <w:pPr>
              <w:pStyle w:val="Normal"/>
              <w:jc w:val="center"/>
              <w:rPr/>
            </w:pPr>
            <w:r>
              <w:rPr>
                <w:rFonts w:eastAsia="Arial" w:cs="Arial"/>
                <w:b/>
                <w:bCs/>
                <w:color w:val="922B21"/>
                <w:sz w:val="19"/>
                <w:szCs w:val="19"/>
              </w:rPr>
              <w:t xml:space="preserve">⚠  </w:t>
            </w:r>
            <w:r>
              <w:rPr>
                <w:rFonts w:eastAsia="Arial" w:cs="Arial"/>
                <w:b/>
                <w:bCs/>
                <w:color w:val="922B21"/>
                <w:sz w:val="19"/>
                <w:szCs w:val="19"/>
              </w:rPr>
              <w:t>RISK</w:t>
            </w:r>
          </w:p>
        </w:tc>
        <w:tc>
          <w:tcPr>
            <w:tcW w:w="7960" w:type="dxa"/>
            <w:tcBorders/>
            <w:shd w:fill="FDEDEC" w:val="clear"/>
            <w:tcMar>
              <w:end w:w="160" w:type="dxa"/>
            </w:tcMar>
          </w:tcPr>
          <w:p>
            <w:pPr>
              <w:pStyle w:val="Normal"/>
              <w:rPr/>
            </w:pPr>
            <w:r>
              <w:rPr>
                <w:rFonts w:eastAsia="Arial" w:cs="Arial"/>
                <w:color w:val="922B21"/>
                <w:sz w:val="20"/>
                <w:szCs w:val="20"/>
              </w:rPr>
              <w:t>For very large multi-season sites with &gt; 500 context sheets, the assembled context may approach or exceed the GPU's available KV cache space. In this case: (1) use chunk-and-merge drafting (draft by period, then merge), or (2) offload KV cache layers to CPU RAM using llama.cpp's --n-gpu-layers flag to balance load.</w:t>
            </w:r>
          </w:p>
        </w:tc>
      </w:tr>
    </w:tbl>
    <w:p>
      <w:pPr>
        <w:pStyle w:val="Normal"/>
        <w:spacing w:before="0" w:after="60"/>
        <w:rPr/>
      </w:pPr>
      <w:r>
        <w:rPr/>
      </w:r>
    </w:p>
    <w:p>
      <w:pPr>
        <w:pStyle w:val="Normal"/>
        <w:pBdr>
          <w:bottom w:val="single" w:sz="6" w:space="1" w:color="2471A3"/>
        </w:pBdr>
        <w:spacing w:before="240" w:after="240"/>
        <w:rPr/>
      </w:pPr>
      <w:r>
        <w:rPr/>
      </w:r>
    </w:p>
    <w:p>
      <w:pPr>
        <w:pStyle w:val="Normal"/>
        <w:spacing w:before="0" w:after="60"/>
        <w:rPr/>
      </w:pPr>
      <w:r>
        <w:rPr/>
      </w:r>
    </w:p>
    <w:tbl>
      <w:tblPr>
        <w:tblW w:w="9360" w:type="dxa"/>
        <w:jc w:val="start"/>
        <w:tblInd w:w="0" w:type="dxa"/>
        <w:tblLayout w:type="fixed"/>
        <w:tblCellMar>
          <w:top w:w="120" w:type="dxa"/>
          <w:start w:w="160" w:type="dxa"/>
          <w:bottom w:w="120" w:type="dxa"/>
          <w:end w:w="120" w:type="dxa"/>
        </w:tblCellMar>
      </w:tblPr>
      <w:tblGrid>
        <w:gridCol w:w="1199"/>
        <w:gridCol w:w="8161"/>
      </w:tblGrid>
      <w:tr>
        <w:trPr/>
        <w:tc>
          <w:tcPr>
            <w:tcW w:w="1199" w:type="dxa"/>
            <w:tcBorders>
              <w:top w:val="single" w:sz="6" w:space="0" w:color="9A7D0A"/>
              <w:bottom w:val="single" w:sz="6" w:space="0" w:color="9A7D0A"/>
            </w:tcBorders>
            <w:shd w:fill="1B3A5C" w:val="clear"/>
          </w:tcPr>
          <w:p>
            <w:pPr>
              <w:pStyle w:val="Normal"/>
              <w:jc w:val="center"/>
              <w:rPr/>
            </w:pPr>
            <w:r>
              <w:rPr>
                <w:rFonts w:eastAsia="Arial" w:cs="Arial"/>
                <w:b/>
                <w:bCs/>
                <w:caps/>
                <w:color w:val="9A7D0A"/>
                <w:sz w:val="16"/>
                <w:szCs w:val="16"/>
              </w:rPr>
              <w:t>PHASE</w:t>
            </w:r>
          </w:p>
          <w:p>
            <w:pPr>
              <w:pStyle w:val="Normal"/>
              <w:jc w:val="center"/>
              <w:rPr/>
            </w:pPr>
            <w:r>
              <w:rPr>
                <w:rFonts w:eastAsia="Arial" w:cs="Arial"/>
                <w:b/>
                <w:bCs/>
                <w:color w:val="FFFFFF"/>
                <w:sz w:val="40"/>
                <w:szCs w:val="40"/>
              </w:rPr>
              <w:t>4</w:t>
            </w:r>
          </w:p>
        </w:tc>
        <w:tc>
          <w:tcPr>
            <w:tcW w:w="8161" w:type="dxa"/>
            <w:tcBorders>
              <w:top w:val="single" w:sz="6" w:space="0" w:color="9A7D0A"/>
              <w:bottom w:val="single" w:sz="6" w:space="0" w:color="9A7D0A"/>
            </w:tcBorders>
            <w:shd w:fill="2471A3" w:val="clear"/>
            <w:tcMar>
              <w:start w:w="200" w:type="dxa"/>
            </w:tcMar>
          </w:tcPr>
          <w:p>
            <w:pPr>
              <w:pStyle w:val="Normal"/>
              <w:rPr/>
            </w:pPr>
            <w:r>
              <w:rPr>
                <w:rFonts w:eastAsia="Arial" w:cs="Arial"/>
                <w:b/>
                <w:bCs/>
                <w:color w:val="FFFFFF"/>
                <w:sz w:val="30"/>
                <w:szCs w:val="30"/>
              </w:rPr>
              <w:t>Compliance Refinement</w:t>
            </w:r>
          </w:p>
          <w:p>
            <w:pPr>
              <w:pStyle w:val="Normal"/>
              <w:rPr/>
            </w:pPr>
            <w:r>
              <w:rPr>
                <w:rFonts w:eastAsia="Arial" w:cs="Arial"/>
                <w:i/>
                <w:iCs/>
                <w:color w:val="BFD9F0"/>
                <w:sz w:val="20"/>
                <w:szCs w:val="20"/>
              </w:rPr>
              <w:t>Ensure the draft conforms to the specific structure, terminology, and conventions of the target jurisdiction</w:t>
            </w:r>
          </w:p>
        </w:tc>
      </w:tr>
    </w:tbl>
    <w:p>
      <w:pPr>
        <w:pStyle w:val="Normal"/>
        <w:spacing w:before="0" w:after="60"/>
        <w:rPr/>
      </w:pPr>
      <w:r>
        <w:rPr/>
      </w:r>
    </w:p>
    <w:p>
      <w:pPr>
        <w:pStyle w:val="Heading2"/>
        <w:spacing w:before="360" w:after="160"/>
        <w:rPr/>
      </w:pPr>
      <w:r>
        <w:rPr>
          <w:rFonts w:eastAsia="Arial" w:cs="Arial" w:ascii="Arial" w:hAnsi="Arial"/>
          <w:b/>
          <w:bCs/>
          <w:color w:val="2471A3"/>
          <w:sz w:val="26"/>
          <w:szCs w:val="26"/>
        </w:rPr>
        <w:t>Overview</w:t>
      </w:r>
    </w:p>
    <w:p>
      <w:pPr>
        <w:pStyle w:val="Normal"/>
        <w:spacing w:before="80" w:after="140"/>
        <w:rPr/>
      </w:pPr>
      <w:r>
        <w:rPr>
          <w:rFonts w:eastAsia="Arial" w:cs="Arial"/>
          <w:color w:val="1C2833"/>
          <w:sz w:val="22"/>
          <w:szCs w:val="22"/>
        </w:rPr>
        <w:t>Phase 4 takes the structured draft from Phase 3 and runs it through a compliance pass driven by a detailed jurisdiction template. Gemma 4-E2B operates in a constrained editing mode: it is explicitly instructed NOT to add interpretive content, only to restructure, relabel, and fill in missing mandatory fields identified by the template schema.</w:t>
      </w:r>
    </w:p>
    <w:p>
      <w:pPr>
        <w:pStyle w:val="Heading2"/>
        <w:spacing w:before="360" w:after="160"/>
        <w:rPr/>
      </w:pPr>
      <w:r>
        <w:rPr>
          <w:rFonts w:eastAsia="Arial" w:cs="Arial" w:ascii="Arial" w:hAnsi="Arial"/>
          <w:b/>
          <w:bCs/>
          <w:color w:val="2471A3"/>
          <w:sz w:val="26"/>
          <w:szCs w:val="26"/>
        </w:rPr>
        <w:t>Jurisdiction Template Engine</w:t>
      </w:r>
    </w:p>
    <w:p>
      <w:pPr>
        <w:pStyle w:val="Normal"/>
        <w:spacing w:before="80" w:after="140"/>
        <w:rPr/>
      </w:pPr>
      <w:r>
        <w:rPr>
          <w:rFonts w:eastAsia="Arial" w:cs="Arial"/>
          <w:color w:val="1C2833"/>
          <w:sz w:val="22"/>
          <w:szCs w:val="22"/>
        </w:rPr>
        <w:t xml:space="preserve">The compliance engine is driven by a YAML template file for each jurisdiction. New jurisdictions can be added without touching the pipeline code. Templates are stored in </w:t>
      </w:r>
      <w:r>
        <w:rPr>
          <w:rFonts w:eastAsia="Courier New" w:cs="Courier New" w:ascii="Courier New" w:hAnsi="Courier New"/>
          <w:color w:val="1B3A5C"/>
          <w:sz w:val="18"/>
          <w:szCs w:val="18"/>
        </w:rPr>
        <w:t>./templates/{jurisdiction_code}.yaml</w:t>
      </w:r>
      <w:r>
        <w:rPr>
          <w:rFonts w:eastAsia="Arial" w:cs="Arial"/>
          <w:color w:val="1C2833"/>
          <w:sz w:val="22"/>
          <w:szCs w:val="22"/>
        </w:rPr>
        <w:t>.</w:t>
      </w:r>
    </w:p>
    <w:p>
      <w:pPr>
        <w:pStyle w:val="Normal"/>
        <w:spacing w:before="0" w:after="60"/>
        <w:rPr/>
      </w:pPr>
      <w:r>
        <w:rPr/>
      </w:r>
    </w:p>
    <w:p>
      <w:pPr>
        <w:pStyle w:val="Heading3"/>
        <w:spacing w:before="280" w:after="120"/>
        <w:rPr/>
      </w:pPr>
      <w:r>
        <w:rPr>
          <w:rFonts w:eastAsia="Arial" w:cs="Arial" w:ascii="Arial" w:hAnsi="Arial"/>
          <w:b/>
          <w:bCs/>
          <w:color w:val="1B3A5C"/>
          <w:sz w:val="22"/>
          <w:szCs w:val="22"/>
        </w:rPr>
        <w:t>Template Schema</w:t>
      </w:r>
    </w:p>
    <w:tbl>
      <w:tblPr>
        <w:tblW w:w="9360" w:type="dxa"/>
        <w:jc w:val="start"/>
        <w:tblInd w:w="0" w:type="dxa"/>
        <w:tblLayout w:type="fixed"/>
        <w:tblCellMar>
          <w:top w:w="120" w:type="dxa"/>
          <w:start w:w="200" w:type="dxa"/>
          <w:bottom w:w="12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1C2833" w:val="clear"/>
          </w:tcPr>
          <w:p>
            <w:pPr>
              <w:pStyle w:val="Normal"/>
              <w:spacing w:before="0" w:after="20"/>
              <w:rPr/>
            </w:pPr>
            <w:r>
              <w:rPr>
                <w:rFonts w:eastAsia="Courier New" w:cs="Courier New" w:ascii="Courier New" w:hAnsi="Courier New"/>
                <w:color w:val="A9CCE3"/>
                <w:sz w:val="17"/>
                <w:szCs w:val="17"/>
              </w:rPr>
              <w:t># templates/historic_england_cl3.yaml</w:t>
            </w:r>
          </w:p>
          <w:p>
            <w:pPr>
              <w:pStyle w:val="Normal"/>
              <w:spacing w:before="0" w:after="20"/>
              <w:rPr/>
            </w:pPr>
            <w:r>
              <w:rPr>
                <w:rFonts w:eastAsia="Courier New" w:cs="Courier New" w:ascii="Courier New" w:hAnsi="Courier New"/>
                <w:color w:val="A9CCE3"/>
                <w:sz w:val="17"/>
                <w:szCs w:val="17"/>
              </w:rPr>
              <w:t>jurisdiction: "Historic England — Evaluation (CL3 compliant)"</w:t>
            </w:r>
          </w:p>
          <w:p>
            <w:pPr>
              <w:pStyle w:val="Normal"/>
              <w:spacing w:before="0" w:after="20"/>
              <w:rPr/>
            </w:pPr>
            <w:r>
              <w:rPr>
                <w:rFonts w:eastAsia="Courier New" w:cs="Courier New" w:ascii="Courier New" w:hAnsi="Courier New"/>
                <w:color w:val="A9CCE3"/>
                <w:sz w:val="17"/>
                <w:szCs w:val="17"/>
              </w:rPr>
              <w:t>version: "2024"</w:t>
            </w:r>
          </w:p>
          <w:p>
            <w:pPr>
              <w:pStyle w:val="Normal"/>
              <w:spacing w:before="0" w:after="20"/>
              <w:rPr/>
            </w:pPr>
            <w:r>
              <w:rPr>
                <w:rFonts w:eastAsia="Courier New" w:cs="Courier New" w:ascii="Courier New" w:hAnsi="Courier New"/>
                <w:color w:val="A9CCE3"/>
                <w:sz w:val="17"/>
                <w:szCs w:val="17"/>
              </w:rPr>
              <w:t>mandatory_sections:</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 id: executive_summary</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label: "Executive Summary"</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max_words: 300</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required_fields: [project_name, ngr, dates, methodology_summary, key_findings]</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 id: methodology</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label: "Methodology"</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required_fields: [trench_strategy, recording_system, finds_policy, sample_policy]</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 id: results_by_period</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label: "Results"</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sub_sections: [prehistoric, roman, medieval, post_medieval, modern, undated]</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required_per_sub: [context_list, finds_summary, interpretation]</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 id: discussion</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label: "Discussion"</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 id: archive_statement</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label: "Archive Statement"</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required_fields: [repository, accession_categories, deposition_date]</w:t>
            </w:r>
          </w:p>
          <w:p>
            <w:pPr>
              <w:pStyle w:val="Normal"/>
              <w:spacing w:before="0" w:after="20"/>
              <w:rPr/>
            </w:pPr>
            <w:r>
              <w:rPr>
                <w:rFonts w:eastAsia="Courier New" w:cs="Courier New" w:ascii="Courier New" w:hAnsi="Courier New"/>
                <w:color w:val="A9CCE3"/>
                <w:sz w:val="17"/>
                <w:szCs w:val="17"/>
              </w:rPr>
              <w:t>prohibited_terms:</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 "significant" # HE style guide disallows this term</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 "unique"</w:t>
            </w:r>
          </w:p>
          <w:p>
            <w:pPr>
              <w:pStyle w:val="Normal"/>
              <w:spacing w:before="0" w:after="20"/>
              <w:rPr/>
            </w:pPr>
            <w:r>
              <w:rPr>
                <w:rFonts w:eastAsia="Courier New" w:cs="Courier New" w:ascii="Courier New" w:hAnsi="Courier New"/>
                <w:color w:val="A9CCE3"/>
                <w:sz w:val="17"/>
                <w:szCs w:val="17"/>
              </w:rPr>
              <w:t xml:space="preserve">  </w:t>
            </w:r>
            <w:r>
              <w:rPr>
                <w:rFonts w:eastAsia="Courier New" w:cs="Courier New" w:ascii="Courier New" w:hAnsi="Courier New"/>
                <w:color w:val="A9CCE3"/>
                <w:sz w:val="17"/>
                <w:szCs w:val="17"/>
              </w:rPr>
              <w:t>- "important finds"</w:t>
            </w:r>
          </w:p>
          <w:p>
            <w:pPr>
              <w:pStyle w:val="Normal"/>
              <w:spacing w:before="0" w:after="20"/>
              <w:rPr/>
            </w:pPr>
            <w:r>
              <w:rPr>
                <w:rFonts w:eastAsia="Courier New" w:cs="Courier New" w:ascii="Courier New" w:hAnsi="Courier New"/>
                <w:color w:val="A9CCE3"/>
                <w:sz w:val="17"/>
                <w:szCs w:val="17"/>
              </w:rPr>
              <w:t>heading_style: "sentence_case"</w:t>
            </w:r>
          </w:p>
          <w:p>
            <w:pPr>
              <w:pStyle w:val="Normal"/>
              <w:spacing w:before="0" w:after="20"/>
              <w:rPr/>
            </w:pPr>
            <w:r>
              <w:rPr>
                <w:rFonts w:eastAsia="Courier New" w:cs="Courier New" w:ascii="Courier New" w:hAnsi="Courier New"/>
                <w:color w:val="A9CCE3"/>
                <w:sz w:val="17"/>
                <w:szCs w:val="17"/>
              </w:rPr>
              <w:t>figure_caption_format: "Fig. {n}: {description}. Scale 1:{scale} unless noted."</w:t>
            </w:r>
          </w:p>
          <w:p>
            <w:pPr>
              <w:pStyle w:val="Normal"/>
              <w:spacing w:before="0" w:after="20"/>
              <w:rPr/>
            </w:pPr>
            <w:r>
              <w:rPr>
                <w:rFonts w:eastAsia="Courier New" w:cs="Courier New" w:ascii="Courier New" w:hAnsi="Courier New"/>
                <w:color w:val="A9CCE3"/>
                <w:sz w:val="17"/>
                <w:szCs w:val="17"/>
              </w:rPr>
              <w:t>citation_style: "author_date"</w:t>
            </w:r>
          </w:p>
        </w:tc>
      </w:tr>
    </w:tbl>
    <w:p>
      <w:pPr>
        <w:pStyle w:val="Normal"/>
        <w:spacing w:before="0" w:after="60"/>
        <w:rPr/>
      </w:pPr>
      <w:r>
        <w:rPr/>
      </w:r>
    </w:p>
    <w:p>
      <w:pPr>
        <w:pStyle w:val="Heading2"/>
        <w:spacing w:before="360" w:after="160"/>
        <w:rPr/>
      </w:pPr>
      <w:r>
        <w:rPr>
          <w:rFonts w:eastAsia="Arial" w:cs="Arial" w:ascii="Arial" w:hAnsi="Arial"/>
          <w:b/>
          <w:bCs/>
          <w:color w:val="2471A3"/>
          <w:sz w:val="26"/>
          <w:szCs w:val="26"/>
        </w:rPr>
        <w:t>Compliance Model Configuration</w:t>
      </w:r>
    </w:p>
    <w:tbl>
      <w:tblPr>
        <w:tblW w:w="9360" w:type="dxa"/>
        <w:jc w:val="start"/>
        <w:tblInd w:w="0" w:type="dxa"/>
        <w:tblLayout w:type="fixed"/>
        <w:tblCellMar>
          <w:top w:w="80" w:type="dxa"/>
          <w:start w:w="120" w:type="dxa"/>
          <w:bottom w:w="80" w:type="dxa"/>
          <w:end w:w="80" w:type="dxa"/>
        </w:tblCellMar>
      </w:tblPr>
      <w:tblGrid>
        <w:gridCol w:w="4680"/>
        <w:gridCol w:w="4680"/>
      </w:tblGrid>
      <w:tr>
        <w:trPr>
          <w:tblHeader w:val="true"/>
        </w:trPr>
        <w:tc>
          <w:tcPr>
            <w:tcW w:w="468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Parameter</w:t>
            </w:r>
          </w:p>
        </w:tc>
        <w:tc>
          <w:tcPr>
            <w:tcW w:w="468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Value</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Model</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unsloth/gemma-4-E2B-it-GGUF (same instance as Phase 2, Q4_K_M)</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VRAM footprint</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~2.1 GB</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Temperature</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0.1 — near-deterministic editing</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System prompt</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Specifies jurisdiction template rules; instructs model to output ONLY the corrected section</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Processing mode</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Section-by-section (not whole draft at once) — reduces context length and improves precision</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Hallucination guard</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Model is explicitly forbidden from adding factual claims not present in the Phase 3 draft</w:t>
            </w:r>
          </w:p>
        </w:tc>
      </w:tr>
    </w:tbl>
    <w:p>
      <w:pPr>
        <w:pStyle w:val="Normal"/>
        <w:spacing w:before="0" w:after="60"/>
        <w:rPr/>
      </w:pPr>
      <w:r>
        <w:rPr/>
      </w:r>
    </w:p>
    <w:p>
      <w:pPr>
        <w:pStyle w:val="Heading2"/>
        <w:spacing w:before="360" w:after="160"/>
        <w:rPr/>
      </w:pPr>
      <w:r>
        <w:rPr>
          <w:rFonts w:eastAsia="Arial" w:cs="Arial" w:ascii="Arial" w:hAnsi="Arial"/>
          <w:b/>
          <w:bCs/>
          <w:color w:val="2471A3"/>
          <w:sz w:val="26"/>
          <w:szCs w:val="26"/>
        </w:rPr>
        <w:t>Compliance Checks Performed</w:t>
      </w:r>
    </w:p>
    <w:p>
      <w:pPr>
        <w:pStyle w:val="ListParagraph"/>
        <w:numPr>
          <w:ilvl w:val="0"/>
          <w:numId w:val="2"/>
        </w:numPr>
        <w:spacing w:before="40" w:after="60"/>
        <w:rPr/>
      </w:pPr>
      <w:r>
        <w:rPr>
          <w:rFonts w:eastAsia="Arial" w:cs="Arial"/>
          <w:color w:val="1C2833"/>
          <w:sz w:val="21"/>
          <w:szCs w:val="21"/>
        </w:rPr>
        <w:t>All mandatory sections present and non-empty.</w:t>
      </w:r>
    </w:p>
    <w:p>
      <w:pPr>
        <w:pStyle w:val="ListParagraph"/>
        <w:numPr>
          <w:ilvl w:val="0"/>
          <w:numId w:val="2"/>
        </w:numPr>
        <w:spacing w:before="40" w:after="60"/>
        <w:rPr/>
      </w:pPr>
      <w:r>
        <w:rPr>
          <w:rFonts w:eastAsia="Arial" w:cs="Arial"/>
          <w:color w:val="1C2833"/>
          <w:sz w:val="21"/>
          <w:szCs w:val="21"/>
        </w:rPr>
        <w:t xml:space="preserve">All required fields within each section are addressed (model flags missing ones with </w:t>
      </w:r>
      <w:r>
        <w:rPr>
          <w:rFonts w:eastAsia="Courier New" w:cs="Courier New" w:ascii="Courier New" w:hAnsi="Courier New"/>
          <w:color w:val="1B3A5C"/>
          <w:sz w:val="18"/>
          <w:szCs w:val="18"/>
        </w:rPr>
        <w:t>[MISSING: field_name]</w:t>
      </w:r>
      <w:r>
        <w:rPr>
          <w:rFonts w:eastAsia="Arial" w:cs="Arial"/>
          <w:color w:val="1C2833"/>
          <w:sz w:val="21"/>
          <w:szCs w:val="21"/>
        </w:rPr>
        <w:t xml:space="preserve"> placeholder).</w:t>
      </w:r>
    </w:p>
    <w:p>
      <w:pPr>
        <w:pStyle w:val="ListParagraph"/>
        <w:numPr>
          <w:ilvl w:val="0"/>
          <w:numId w:val="2"/>
        </w:numPr>
        <w:spacing w:before="40" w:after="60"/>
        <w:rPr/>
      </w:pPr>
      <w:r>
        <w:rPr>
          <w:rFonts w:eastAsia="Arial" w:cs="Arial"/>
          <w:color w:val="1C2833"/>
          <w:sz w:val="21"/>
          <w:szCs w:val="21"/>
        </w:rPr>
        <w:t>Executive summary word count within template limit.</w:t>
      </w:r>
    </w:p>
    <w:p>
      <w:pPr>
        <w:pStyle w:val="ListParagraph"/>
        <w:numPr>
          <w:ilvl w:val="0"/>
          <w:numId w:val="2"/>
        </w:numPr>
        <w:spacing w:before="40" w:after="60"/>
        <w:rPr/>
      </w:pPr>
      <w:r>
        <w:rPr>
          <w:rFonts w:eastAsia="Arial" w:cs="Arial"/>
          <w:color w:val="1C2833"/>
          <w:sz w:val="21"/>
          <w:szCs w:val="21"/>
        </w:rPr>
        <w:t>Prohibited terms replaced with jurisdiction-appropriate alternatives.</w:t>
      </w:r>
    </w:p>
    <w:p>
      <w:pPr>
        <w:pStyle w:val="ListParagraph"/>
        <w:numPr>
          <w:ilvl w:val="0"/>
          <w:numId w:val="2"/>
        </w:numPr>
        <w:spacing w:before="40" w:after="60"/>
        <w:rPr/>
      </w:pPr>
      <w:r>
        <w:rPr>
          <w:rFonts w:eastAsia="Arial" w:cs="Arial"/>
          <w:color w:val="1C2833"/>
          <w:sz w:val="21"/>
          <w:szCs w:val="21"/>
        </w:rPr>
        <w:t>Heading capitalisation style corrected.</w:t>
      </w:r>
    </w:p>
    <w:p>
      <w:pPr>
        <w:pStyle w:val="ListParagraph"/>
        <w:numPr>
          <w:ilvl w:val="0"/>
          <w:numId w:val="2"/>
        </w:numPr>
        <w:spacing w:before="40" w:after="60"/>
        <w:rPr/>
      </w:pPr>
      <w:r>
        <w:rPr>
          <w:rFonts w:eastAsia="Arial" w:cs="Arial"/>
          <w:color w:val="1C2833"/>
          <w:sz w:val="21"/>
          <w:szCs w:val="21"/>
        </w:rPr>
        <w:t>Figure captions reformatted to template standard.</w:t>
      </w:r>
    </w:p>
    <w:p>
      <w:pPr>
        <w:pStyle w:val="ListParagraph"/>
        <w:numPr>
          <w:ilvl w:val="0"/>
          <w:numId w:val="2"/>
        </w:numPr>
        <w:spacing w:before="40" w:after="60"/>
        <w:rPr/>
      </w:pPr>
      <w:r>
        <w:rPr>
          <w:rFonts w:eastAsia="Arial" w:cs="Arial"/>
          <w:color w:val="1C2833"/>
          <w:sz w:val="21"/>
          <w:szCs w:val="21"/>
        </w:rPr>
        <w:t>Section ordering matches template sequence.</w:t>
      </w:r>
    </w:p>
    <w:p>
      <w:pPr>
        <w:pStyle w:val="ListParagraph"/>
        <w:numPr>
          <w:ilvl w:val="0"/>
          <w:numId w:val="2"/>
        </w:numPr>
        <w:spacing w:before="40" w:after="60"/>
        <w:rPr/>
      </w:pPr>
      <w:r>
        <w:rPr>
          <w:rFonts w:eastAsia="Arial" w:cs="Arial"/>
          <w:color w:val="1C2833"/>
          <w:sz w:val="21"/>
          <w:szCs w:val="21"/>
        </w:rPr>
        <w:t>Context numbers formatted consistently (e.g., square brackets, leading zeros).</w:t>
      </w:r>
    </w:p>
    <w:p>
      <w:pPr>
        <w:pStyle w:val="Normal"/>
        <w:spacing w:before="0" w:after="60"/>
        <w:rPr/>
      </w:pPr>
      <w:r>
        <w:rPr/>
      </w:r>
    </w:p>
    <w:tbl>
      <w:tblPr>
        <w:tblW w:w="9360" w:type="dxa"/>
        <w:jc w:val="start"/>
        <w:tblInd w:w="0" w:type="dxa"/>
        <w:tblLayout w:type="fixed"/>
        <w:tblCellMar>
          <w:top w:w="100" w:type="dxa"/>
          <w:start w:w="160" w:type="dxa"/>
          <w:bottom w:w="100" w:type="dxa"/>
          <w:end w:w="120" w:type="dxa"/>
        </w:tblCellMar>
      </w:tblPr>
      <w:tblGrid>
        <w:gridCol w:w="1400"/>
        <w:gridCol w:w="7960"/>
      </w:tblGrid>
      <w:tr>
        <w:trPr/>
        <w:tc>
          <w:tcPr>
            <w:tcW w:w="1400" w:type="dxa"/>
            <w:tcBorders/>
            <w:shd w:fill="EBF5FB" w:val="clear"/>
          </w:tcPr>
          <w:p>
            <w:pPr>
              <w:pStyle w:val="Normal"/>
              <w:jc w:val="center"/>
              <w:rPr/>
            </w:pPr>
            <w:r>
              <w:rPr>
                <w:rFonts w:eastAsia="Arial" w:cs="Arial"/>
                <w:b/>
                <w:bCs/>
                <w:color w:val="2471A3"/>
                <w:sz w:val="19"/>
                <w:szCs w:val="19"/>
              </w:rPr>
              <w:t xml:space="preserve">ℹ  </w:t>
            </w:r>
            <w:r>
              <w:rPr>
                <w:rFonts w:eastAsia="Arial" w:cs="Arial"/>
                <w:b/>
                <w:bCs/>
                <w:color w:val="2471A3"/>
                <w:sz w:val="19"/>
                <w:szCs w:val="19"/>
              </w:rPr>
              <w:t>NOTE</w:t>
            </w:r>
          </w:p>
        </w:tc>
        <w:tc>
          <w:tcPr>
            <w:tcW w:w="7960" w:type="dxa"/>
            <w:tcBorders/>
            <w:shd w:fill="EBF5FB" w:val="clear"/>
            <w:tcMar>
              <w:end w:w="160" w:type="dxa"/>
            </w:tcMar>
          </w:tcPr>
          <w:p>
            <w:pPr>
              <w:pStyle w:val="Normal"/>
              <w:rPr/>
            </w:pPr>
            <w:r>
              <w:rPr>
                <w:rFonts w:eastAsia="Arial" w:cs="Arial"/>
                <w:color w:val="1B3A5C"/>
                <w:sz w:val="20"/>
                <w:szCs w:val="20"/>
              </w:rPr>
              <w:t>The compliance pass does NOT perform factual review — it cannot know if a context sheet interpretation is archaeologically sound. Its job is structural and stylistic conformity only. The site director must review the draft for factual accuracy before submission.</w:t>
            </w:r>
          </w:p>
        </w:tc>
      </w:tr>
    </w:tbl>
    <w:p>
      <w:pPr>
        <w:pStyle w:val="Normal"/>
        <w:spacing w:before="0" w:after="60"/>
        <w:rPr/>
      </w:pPr>
      <w:r>
        <w:rPr/>
      </w:r>
    </w:p>
    <w:p>
      <w:pPr>
        <w:pStyle w:val="Normal"/>
        <w:pBdr>
          <w:bottom w:val="single" w:sz="6" w:space="1" w:color="2471A3"/>
        </w:pBdr>
        <w:spacing w:before="240" w:after="240"/>
        <w:rPr/>
      </w:pPr>
      <w:r>
        <w:rPr/>
      </w:r>
    </w:p>
    <w:p>
      <w:pPr>
        <w:pStyle w:val="Normal"/>
        <w:spacing w:before="0" w:after="60"/>
        <w:rPr/>
      </w:pPr>
      <w:r>
        <w:rPr/>
      </w:r>
    </w:p>
    <w:tbl>
      <w:tblPr>
        <w:tblW w:w="9360" w:type="dxa"/>
        <w:jc w:val="start"/>
        <w:tblInd w:w="0" w:type="dxa"/>
        <w:tblLayout w:type="fixed"/>
        <w:tblCellMar>
          <w:top w:w="120" w:type="dxa"/>
          <w:start w:w="160" w:type="dxa"/>
          <w:bottom w:w="120" w:type="dxa"/>
          <w:end w:w="120" w:type="dxa"/>
        </w:tblCellMar>
      </w:tblPr>
      <w:tblGrid>
        <w:gridCol w:w="1199"/>
        <w:gridCol w:w="8161"/>
      </w:tblGrid>
      <w:tr>
        <w:trPr/>
        <w:tc>
          <w:tcPr>
            <w:tcW w:w="1199" w:type="dxa"/>
            <w:tcBorders>
              <w:top w:val="single" w:sz="6" w:space="0" w:color="9A7D0A"/>
              <w:bottom w:val="single" w:sz="6" w:space="0" w:color="9A7D0A"/>
            </w:tcBorders>
            <w:shd w:fill="1B3A5C" w:val="clear"/>
          </w:tcPr>
          <w:p>
            <w:pPr>
              <w:pStyle w:val="Normal"/>
              <w:jc w:val="center"/>
              <w:rPr/>
            </w:pPr>
            <w:r>
              <w:rPr>
                <w:rFonts w:eastAsia="Arial" w:cs="Arial"/>
                <w:b/>
                <w:bCs/>
                <w:caps/>
                <w:color w:val="9A7D0A"/>
                <w:sz w:val="16"/>
                <w:szCs w:val="16"/>
              </w:rPr>
              <w:t>PHASE</w:t>
            </w:r>
          </w:p>
          <w:p>
            <w:pPr>
              <w:pStyle w:val="Normal"/>
              <w:jc w:val="center"/>
              <w:rPr/>
            </w:pPr>
            <w:r>
              <w:rPr>
                <w:rFonts w:eastAsia="Arial" w:cs="Arial"/>
                <w:b/>
                <w:bCs/>
                <w:color w:val="FFFFFF"/>
                <w:sz w:val="40"/>
                <w:szCs w:val="40"/>
              </w:rPr>
              <w:t>5</w:t>
            </w:r>
          </w:p>
        </w:tc>
        <w:tc>
          <w:tcPr>
            <w:tcW w:w="8161" w:type="dxa"/>
            <w:tcBorders>
              <w:top w:val="single" w:sz="6" w:space="0" w:color="9A7D0A"/>
              <w:bottom w:val="single" w:sz="6" w:space="0" w:color="9A7D0A"/>
            </w:tcBorders>
            <w:shd w:fill="2471A3" w:val="clear"/>
            <w:tcMar>
              <w:start w:w="200" w:type="dxa"/>
            </w:tcMar>
          </w:tcPr>
          <w:p>
            <w:pPr>
              <w:pStyle w:val="Normal"/>
              <w:rPr/>
            </w:pPr>
            <w:r>
              <w:rPr>
                <w:rFonts w:eastAsia="Arial" w:cs="Arial"/>
                <w:b/>
                <w:bCs/>
                <w:color w:val="FFFFFF"/>
                <w:sz w:val="30"/>
                <w:szCs w:val="30"/>
              </w:rPr>
              <w:t>Assembly &amp; Export</w:t>
            </w:r>
          </w:p>
          <w:p>
            <w:pPr>
              <w:pStyle w:val="Normal"/>
              <w:rPr/>
            </w:pPr>
            <w:r>
              <w:rPr>
                <w:rFonts w:eastAsia="Arial" w:cs="Arial"/>
                <w:i/>
                <w:iCs/>
                <w:color w:val="BFD9F0"/>
                <w:sz w:val="20"/>
                <w:szCs w:val="20"/>
              </w:rPr>
              <w:t>Compile the refined report with figures, tables, and appendices into final deliverables</w:t>
            </w:r>
          </w:p>
        </w:tc>
      </w:tr>
    </w:tbl>
    <w:p>
      <w:pPr>
        <w:pStyle w:val="Normal"/>
        <w:spacing w:before="0" w:after="60"/>
        <w:rPr/>
      </w:pPr>
      <w:r>
        <w:rPr/>
      </w:r>
    </w:p>
    <w:p>
      <w:pPr>
        <w:pStyle w:val="Heading2"/>
        <w:spacing w:before="360" w:after="160"/>
        <w:rPr/>
      </w:pPr>
      <w:r>
        <w:rPr>
          <w:rFonts w:eastAsia="Arial" w:cs="Arial" w:ascii="Arial" w:hAnsi="Arial"/>
          <w:b/>
          <w:bCs/>
          <w:color w:val="2471A3"/>
          <w:sz w:val="26"/>
          <w:szCs w:val="26"/>
        </w:rPr>
        <w:t>Overview</w:t>
      </w:r>
    </w:p>
    <w:p>
      <w:pPr>
        <w:pStyle w:val="Normal"/>
        <w:spacing w:before="80" w:after="140"/>
        <w:rPr/>
      </w:pPr>
      <w:r>
        <w:rPr>
          <w:rFonts w:eastAsia="Arial" w:cs="Arial"/>
          <w:color w:val="1C2833"/>
          <w:sz w:val="22"/>
          <w:szCs w:val="22"/>
        </w:rPr>
        <w:t>Phase 5 is entirely rule-based — no model inference. It assembles the compliant Markdown sections, embeds figures, generates appendices, and exports the final report in the required formats. All figure numbering, cross-references, and appendix indexing are handled by the assembler.</w:t>
      </w:r>
    </w:p>
    <w:p>
      <w:pPr>
        <w:pStyle w:val="Heading2"/>
        <w:spacing w:before="360" w:after="160"/>
        <w:rPr/>
      </w:pPr>
      <w:r>
        <w:rPr>
          <w:rFonts w:eastAsia="Arial" w:cs="Arial" w:ascii="Arial" w:hAnsi="Arial"/>
          <w:b/>
          <w:bCs/>
          <w:color w:val="2471A3"/>
          <w:sz w:val="26"/>
          <w:szCs w:val="26"/>
        </w:rPr>
        <w:t>Assembly Process</w:t>
      </w:r>
    </w:p>
    <w:p>
      <w:pPr>
        <w:pStyle w:val="ListParagraph"/>
        <w:numPr>
          <w:ilvl w:val="0"/>
          <w:numId w:val="1"/>
        </w:numPr>
        <w:spacing w:before="40" w:after="60"/>
        <w:rPr/>
      </w:pPr>
      <w:r>
        <w:rPr>
          <w:rFonts w:eastAsia="Arial" w:cs="Arial"/>
          <w:color w:val="1C2833"/>
          <w:sz w:val="21"/>
          <w:szCs w:val="21"/>
        </w:rPr>
        <w:t>Load all Phase 4 compliant Markdown sections in template order.</w:t>
      </w:r>
    </w:p>
    <w:p>
      <w:pPr>
        <w:pStyle w:val="ListParagraph"/>
        <w:numPr>
          <w:ilvl w:val="0"/>
          <w:numId w:val="1"/>
        </w:numPr>
        <w:spacing w:before="40" w:after="60"/>
        <w:rPr/>
      </w:pPr>
      <w:r>
        <w:rPr>
          <w:rFonts w:eastAsia="Arial" w:cs="Arial"/>
          <w:color w:val="1C2833"/>
          <w:sz w:val="21"/>
          <w:szCs w:val="21"/>
        </w:rPr>
        <w:t xml:space="preserve">Resolve figure references: match </w:t>
      </w:r>
      <w:r>
        <w:rPr>
          <w:rFonts w:eastAsia="Courier New" w:cs="Courier New" w:ascii="Courier New" w:hAnsi="Courier New"/>
          <w:color w:val="1B3A5C"/>
          <w:sz w:val="18"/>
          <w:szCs w:val="18"/>
        </w:rPr>
        <w:t>[FIG:photo_DSC0042]</w:t>
      </w:r>
      <w:r>
        <w:rPr>
          <w:rFonts w:eastAsia="Arial" w:cs="Arial"/>
          <w:color w:val="1C2833"/>
          <w:sz w:val="21"/>
          <w:szCs w:val="21"/>
        </w:rPr>
        <w:t xml:space="preserve"> tokens in text to the corresponding processed image in </w:t>
      </w:r>
      <w:r>
        <w:rPr>
          <w:rFonts w:eastAsia="Courier New" w:cs="Courier New" w:ascii="Courier New" w:hAnsi="Courier New"/>
          <w:color w:val="1B3A5C"/>
          <w:sz w:val="18"/>
          <w:szCs w:val="18"/>
        </w:rPr>
        <w:t>assets/</w:t>
      </w:r>
      <w:r>
        <w:rPr>
          <w:rFonts w:eastAsia="Arial" w:cs="Arial"/>
          <w:color w:val="1C2833"/>
          <w:sz w:val="21"/>
          <w:szCs w:val="21"/>
        </w:rPr>
        <w:t>.</w:t>
      </w:r>
    </w:p>
    <w:p>
      <w:pPr>
        <w:pStyle w:val="ListParagraph"/>
        <w:numPr>
          <w:ilvl w:val="0"/>
          <w:numId w:val="1"/>
        </w:numPr>
        <w:spacing w:before="40" w:after="60"/>
        <w:rPr/>
      </w:pPr>
      <w:r>
        <w:rPr>
          <w:rFonts w:eastAsia="Arial" w:cs="Arial"/>
          <w:color w:val="1C2833"/>
          <w:sz w:val="21"/>
          <w:szCs w:val="21"/>
        </w:rPr>
        <w:t>Generate appendices automatically: Context Register, Finds Concordance, Sample Register — all from Phase 1 JSON.</w:t>
      </w:r>
    </w:p>
    <w:p>
      <w:pPr>
        <w:pStyle w:val="ListParagraph"/>
        <w:numPr>
          <w:ilvl w:val="0"/>
          <w:numId w:val="1"/>
        </w:numPr>
        <w:spacing w:before="40" w:after="60"/>
        <w:rPr/>
      </w:pPr>
      <w:r>
        <w:rPr>
          <w:rFonts w:eastAsia="Arial" w:cs="Arial"/>
          <w:color w:val="1C2833"/>
          <w:sz w:val="21"/>
          <w:szCs w:val="21"/>
        </w:rPr>
        <w:t>Generate bibliography from any citations added during the compliance pass.</w:t>
      </w:r>
    </w:p>
    <w:p>
      <w:pPr>
        <w:pStyle w:val="ListParagraph"/>
        <w:numPr>
          <w:ilvl w:val="0"/>
          <w:numId w:val="1"/>
        </w:numPr>
        <w:spacing w:before="40" w:after="60"/>
        <w:rPr/>
      </w:pPr>
      <w:r>
        <w:rPr>
          <w:rFonts w:eastAsia="Arial" w:cs="Arial"/>
          <w:color w:val="1C2833"/>
          <w:sz w:val="21"/>
          <w:szCs w:val="21"/>
        </w:rPr>
        <w:t>Compile final Markdown document.</w:t>
      </w:r>
    </w:p>
    <w:p>
      <w:pPr>
        <w:pStyle w:val="ListParagraph"/>
        <w:numPr>
          <w:ilvl w:val="0"/>
          <w:numId w:val="1"/>
        </w:numPr>
        <w:spacing w:before="40" w:after="60"/>
        <w:rPr/>
      </w:pPr>
      <w:r>
        <w:rPr>
          <w:rFonts w:eastAsia="Arial" w:cs="Arial"/>
          <w:color w:val="1C2833"/>
          <w:sz w:val="21"/>
          <w:szCs w:val="21"/>
        </w:rPr>
        <w:t>Export via pandoc: (a) DOCX with heritage org style template, (b) PDF for submission, (c) TEI-XML if required by repository.</w:t>
      </w:r>
    </w:p>
    <w:p>
      <w:pPr>
        <w:pStyle w:val="ListParagraph"/>
        <w:numPr>
          <w:ilvl w:val="0"/>
          <w:numId w:val="1"/>
        </w:numPr>
        <w:spacing w:before="40" w:after="60"/>
        <w:rPr/>
      </w:pPr>
      <w:r>
        <w:rPr>
          <w:rFonts w:eastAsia="Arial" w:cs="Arial"/>
          <w:color w:val="1C2833"/>
          <w:sz w:val="21"/>
          <w:szCs w:val="21"/>
        </w:rPr>
        <w:t>Package archive ZIP: final report + all Phase 1-2 data files + original assets + pipeline log.</w:t>
      </w:r>
    </w:p>
    <w:p>
      <w:pPr>
        <w:pStyle w:val="Normal"/>
        <w:spacing w:before="0" w:after="60"/>
        <w:rPr/>
      </w:pPr>
      <w:r>
        <w:rPr/>
      </w:r>
    </w:p>
    <w:p>
      <w:pPr>
        <w:pStyle w:val="Heading2"/>
        <w:spacing w:before="360" w:after="160"/>
        <w:rPr/>
      </w:pPr>
      <w:r>
        <w:rPr>
          <w:rFonts w:eastAsia="Arial" w:cs="Arial" w:ascii="Arial" w:hAnsi="Arial"/>
          <w:b/>
          <w:bCs/>
          <w:color w:val="2471A3"/>
          <w:sz w:val="26"/>
          <w:szCs w:val="26"/>
        </w:rPr>
        <w:t>Export Formats</w:t>
      </w:r>
    </w:p>
    <w:tbl>
      <w:tblPr>
        <w:tblW w:w="9360" w:type="dxa"/>
        <w:jc w:val="start"/>
        <w:tblInd w:w="0" w:type="dxa"/>
        <w:tblLayout w:type="fixed"/>
        <w:tblCellMar>
          <w:top w:w="80" w:type="dxa"/>
          <w:start w:w="120" w:type="dxa"/>
          <w:bottom w:w="80" w:type="dxa"/>
          <w:end w:w="80" w:type="dxa"/>
        </w:tblCellMar>
      </w:tblPr>
      <w:tblGrid>
        <w:gridCol w:w="2340"/>
        <w:gridCol w:w="2340"/>
        <w:gridCol w:w="2340"/>
        <w:gridCol w:w="2340"/>
      </w:tblGrid>
      <w:tr>
        <w:trPr>
          <w:tblHeader w:val="true"/>
        </w:trPr>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Output</w:t>
            </w:r>
          </w:p>
        </w:tc>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Format</w:t>
            </w:r>
          </w:p>
        </w:tc>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Tool</w:t>
            </w:r>
          </w:p>
        </w:tc>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Notes</w:t>
            </w:r>
          </w:p>
        </w:tc>
      </w:tr>
      <w:tr>
        <w:trPr/>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Submission draft</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DOCX</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pandoc + reference.docx template</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Uses organisation-specific reference.docx for correct styles</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PDF for submission</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PDF</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pandoc + LaTeX</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Embedded fonts, print-ready</w:t>
            </w:r>
          </w:p>
        </w:tc>
      </w:tr>
      <w:tr>
        <w:trPr/>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Digital archive</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TEI-XML</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Custom XSLT</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Optional; for national archive repositories</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Data archive</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ZIP</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Python zipfile</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All JSON, Markdown, assets, logs</w:t>
            </w:r>
          </w:p>
        </w:tc>
      </w:tr>
      <w:tr>
        <w:trPr/>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Harris Matrix</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SVG</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graphviz (dot)</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Generated from stratigraphic relationships in context JSON</w:t>
            </w:r>
          </w:p>
        </w:tc>
      </w:tr>
    </w:tbl>
    <w:p>
      <w:pPr>
        <w:pStyle w:val="Normal"/>
        <w:spacing w:before="0" w:after="60"/>
        <w:rPr/>
      </w:pPr>
      <w:r>
        <w:rPr/>
      </w:r>
    </w:p>
    <w:p>
      <w:pPr>
        <w:pStyle w:val="Normal"/>
        <w:pBdr>
          <w:bottom w:val="single" w:sz="6" w:space="1" w:color="2471A3"/>
        </w:pBdr>
        <w:spacing w:before="240" w:after="240"/>
        <w:rPr/>
      </w:pPr>
      <w:r>
        <w:rPr/>
      </w:r>
    </w:p>
    <w:p>
      <w:pPr>
        <w:pStyle w:val="Heading1"/>
        <w:spacing w:before="560" w:after="200"/>
        <w:rPr/>
      </w:pPr>
      <w:r>
        <w:rPr>
          <w:rFonts w:eastAsia="Arial" w:cs="Arial" w:ascii="Arial" w:hAnsi="Arial"/>
          <w:b/>
          <w:bCs/>
          <w:color w:val="1B3A5C"/>
          <w:sz w:val="34"/>
          <w:szCs w:val="34"/>
        </w:rPr>
        <w:t>Command-Line Interface Design</w:t>
      </w:r>
    </w:p>
    <w:p>
      <w:pPr>
        <w:pStyle w:val="Normal"/>
        <w:spacing w:before="80" w:after="140"/>
        <w:rPr/>
      </w:pPr>
      <w:r>
        <w:rPr>
          <w:rFonts w:eastAsia="Arial" w:cs="Arial"/>
          <w:color w:val="1C2833"/>
          <w:sz w:val="22"/>
          <w:szCs w:val="22"/>
        </w:rPr>
        <w:t>The pipeline is invoked via a single entry-point script. All configuration is handled via a project config file or CLI flags. The interface is designed to be usable by a non-developer site director.</w:t>
      </w:r>
    </w:p>
    <w:p>
      <w:pPr>
        <w:pStyle w:val="Normal"/>
        <w:spacing w:before="0" w:after="60"/>
        <w:rPr/>
      </w:pPr>
      <w:r>
        <w:rPr/>
      </w:r>
    </w:p>
    <w:tbl>
      <w:tblPr>
        <w:tblW w:w="9360" w:type="dxa"/>
        <w:jc w:val="start"/>
        <w:tblInd w:w="0" w:type="dxa"/>
        <w:tblLayout w:type="fixed"/>
        <w:tblCellMar>
          <w:top w:w="120" w:type="dxa"/>
          <w:start w:w="200" w:type="dxa"/>
          <w:bottom w:w="12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1C2833" w:val="clear"/>
          </w:tcPr>
          <w:p>
            <w:pPr>
              <w:pStyle w:val="Normal"/>
              <w:spacing w:before="0" w:after="20"/>
              <w:rPr/>
            </w:pPr>
            <w:r>
              <w:rPr>
                <w:rFonts w:eastAsia="Courier New" w:cs="Courier New" w:ascii="Courier New" w:hAnsi="Courier New"/>
                <w:color w:val="A9CCE3"/>
                <w:sz w:val="17"/>
                <w:szCs w:val="17"/>
              </w:rPr>
              <w:t># Initialise a new project</w:t>
            </w:r>
          </w:p>
          <w:p>
            <w:pPr>
              <w:pStyle w:val="Normal"/>
              <w:spacing w:before="0" w:after="20"/>
              <w:rPr/>
            </w:pPr>
            <w:r>
              <w:rPr>
                <w:rFonts w:eastAsia="Courier New" w:cs="Courier New" w:ascii="Courier New" w:hAnsi="Courier New"/>
                <w:color w:val="A9CCE3"/>
                <w:sz w:val="17"/>
                <w:szCs w:val="17"/>
              </w:rPr>
              <w:t>erd init --name 'Stoneyfield Farm 2026' --jurisdiction historic_england_cl3</w:t>
            </w:r>
          </w:p>
          <w:p>
            <w:pPr>
              <w:pStyle w:val="Normal"/>
              <w:spacing w:before="0" w:after="20"/>
              <w:rPr/>
            </w:pPr>
            <w:r>
              <w:rPr/>
            </w:r>
          </w:p>
          <w:p>
            <w:pPr>
              <w:pStyle w:val="Normal"/>
              <w:spacing w:before="0" w:after="20"/>
              <w:rPr/>
            </w:pPr>
            <w:r>
              <w:rPr>
                <w:rFonts w:eastAsia="Courier New" w:cs="Courier New" w:ascii="Courier New" w:hAnsi="Courier New"/>
                <w:color w:val="A9CCE3"/>
                <w:sz w:val="17"/>
                <w:szCs w:val="17"/>
              </w:rPr>
              <w:t># Run the full pipeline</w:t>
            </w:r>
          </w:p>
          <w:p>
            <w:pPr>
              <w:pStyle w:val="Normal"/>
              <w:spacing w:before="0" w:after="20"/>
              <w:rPr/>
            </w:pPr>
            <w:r>
              <w:rPr>
                <w:rFonts w:eastAsia="Courier New" w:cs="Courier New" w:ascii="Courier New" w:hAnsi="Courier New"/>
                <w:color w:val="A9CCE3"/>
                <w:sz w:val="17"/>
                <w:szCs w:val="17"/>
              </w:rPr>
              <w:t>erd run --input ./field_records/ --project stoneyfield_2026</w:t>
            </w:r>
          </w:p>
          <w:p>
            <w:pPr>
              <w:pStyle w:val="Normal"/>
              <w:spacing w:before="0" w:after="20"/>
              <w:rPr/>
            </w:pPr>
            <w:r>
              <w:rPr/>
            </w:r>
          </w:p>
          <w:p>
            <w:pPr>
              <w:pStyle w:val="Normal"/>
              <w:spacing w:before="0" w:after="20"/>
              <w:rPr/>
            </w:pPr>
            <w:r>
              <w:rPr>
                <w:rFonts w:eastAsia="Courier New" w:cs="Courier New" w:ascii="Courier New" w:hAnsi="Courier New"/>
                <w:color w:val="A9CCE3"/>
                <w:sz w:val="17"/>
                <w:szCs w:val="17"/>
              </w:rPr>
              <w:t># Run a single phase (useful for re-running after manual corrections)</w:t>
            </w:r>
          </w:p>
          <w:p>
            <w:pPr>
              <w:pStyle w:val="Normal"/>
              <w:spacing w:before="0" w:after="20"/>
              <w:rPr/>
            </w:pPr>
            <w:r>
              <w:rPr>
                <w:rFonts w:eastAsia="Courier New" w:cs="Courier New" w:ascii="Courier New" w:hAnsi="Courier New"/>
                <w:color w:val="A9CCE3"/>
                <w:sz w:val="17"/>
                <w:szCs w:val="17"/>
              </w:rPr>
              <w:t>erd run --project stoneyfield_2026 --phase 3</w:t>
            </w:r>
          </w:p>
          <w:p>
            <w:pPr>
              <w:pStyle w:val="Normal"/>
              <w:spacing w:before="0" w:after="20"/>
              <w:rPr/>
            </w:pPr>
            <w:r>
              <w:rPr/>
            </w:r>
          </w:p>
          <w:p>
            <w:pPr>
              <w:pStyle w:val="Normal"/>
              <w:spacing w:before="0" w:after="20"/>
              <w:rPr/>
            </w:pPr>
            <w:r>
              <w:rPr>
                <w:rFonts w:eastAsia="Courier New" w:cs="Courier New" w:ascii="Courier New" w:hAnsi="Courier New"/>
                <w:color w:val="A9CCE3"/>
                <w:sz w:val="17"/>
                <w:szCs w:val="17"/>
              </w:rPr>
              <w:t># Run from phase 3 onward (e.g. after editing digitised JSON)</w:t>
            </w:r>
          </w:p>
          <w:p>
            <w:pPr>
              <w:pStyle w:val="Normal"/>
              <w:spacing w:before="0" w:after="20"/>
              <w:rPr/>
            </w:pPr>
            <w:r>
              <w:rPr>
                <w:rFonts w:eastAsia="Courier New" w:cs="Courier New" w:ascii="Courier New" w:hAnsi="Courier New"/>
                <w:color w:val="A9CCE3"/>
                <w:sz w:val="17"/>
                <w:szCs w:val="17"/>
              </w:rPr>
              <w:t>erd run --project stoneyfield_2026 --from-phase 3</w:t>
            </w:r>
          </w:p>
          <w:p>
            <w:pPr>
              <w:pStyle w:val="Normal"/>
              <w:spacing w:before="0" w:after="20"/>
              <w:rPr/>
            </w:pPr>
            <w:r>
              <w:rPr/>
            </w:r>
          </w:p>
          <w:p>
            <w:pPr>
              <w:pStyle w:val="Normal"/>
              <w:spacing w:before="0" w:after="20"/>
              <w:rPr/>
            </w:pPr>
            <w:r>
              <w:rPr>
                <w:rFonts w:eastAsia="Courier New" w:cs="Courier New" w:ascii="Courier New" w:hAnsi="Courier New"/>
                <w:color w:val="A9CCE3"/>
                <w:sz w:val="17"/>
                <w:szCs w:val="17"/>
              </w:rPr>
              <w:t># Open the review dashboard (flags items needing human input)</w:t>
            </w:r>
          </w:p>
          <w:p>
            <w:pPr>
              <w:pStyle w:val="Normal"/>
              <w:spacing w:before="0" w:after="20"/>
              <w:rPr/>
            </w:pPr>
            <w:r>
              <w:rPr>
                <w:rFonts w:eastAsia="Courier New" w:cs="Courier New" w:ascii="Courier New" w:hAnsi="Courier New"/>
                <w:color w:val="A9CCE3"/>
                <w:sz w:val="17"/>
                <w:szCs w:val="17"/>
              </w:rPr>
              <w:t>erd review --project stoneyfield_2026</w:t>
            </w:r>
          </w:p>
          <w:p>
            <w:pPr>
              <w:pStyle w:val="Normal"/>
              <w:spacing w:before="0" w:after="20"/>
              <w:rPr/>
            </w:pPr>
            <w:r>
              <w:rPr/>
            </w:r>
          </w:p>
          <w:p>
            <w:pPr>
              <w:pStyle w:val="Normal"/>
              <w:spacing w:before="0" w:after="20"/>
              <w:rPr/>
            </w:pPr>
            <w:r>
              <w:rPr>
                <w:rFonts w:eastAsia="Courier New" w:cs="Courier New" w:ascii="Courier New" w:hAnsi="Courier New"/>
                <w:color w:val="A9CCE3"/>
                <w:sz w:val="17"/>
                <w:szCs w:val="17"/>
              </w:rPr>
              <w:t># Export final report</w:t>
            </w:r>
          </w:p>
          <w:p>
            <w:pPr>
              <w:pStyle w:val="Normal"/>
              <w:spacing w:before="0" w:after="20"/>
              <w:rPr/>
            </w:pPr>
            <w:r>
              <w:rPr>
                <w:rFonts w:eastAsia="Courier New" w:cs="Courier New" w:ascii="Courier New" w:hAnsi="Courier New"/>
                <w:color w:val="A9CCE3"/>
                <w:sz w:val="17"/>
                <w:szCs w:val="17"/>
              </w:rPr>
              <w:t>erd export --project stoneyfield_2026 --format docx,pdf</w:t>
            </w:r>
          </w:p>
          <w:p>
            <w:pPr>
              <w:pStyle w:val="Normal"/>
              <w:spacing w:before="0" w:after="20"/>
              <w:rPr/>
            </w:pPr>
            <w:r>
              <w:rPr/>
            </w:r>
          </w:p>
          <w:p>
            <w:pPr>
              <w:pStyle w:val="Normal"/>
              <w:spacing w:before="0" w:after="20"/>
              <w:rPr/>
            </w:pPr>
            <w:r>
              <w:rPr>
                <w:rFonts w:eastAsia="Courier New" w:cs="Courier New" w:ascii="Courier New" w:hAnsi="Courier New"/>
                <w:color w:val="A9CCE3"/>
                <w:sz w:val="17"/>
                <w:szCs w:val="17"/>
              </w:rPr>
              <w:t># List available jurisdiction templates</w:t>
            </w:r>
          </w:p>
          <w:p>
            <w:pPr>
              <w:pStyle w:val="Normal"/>
              <w:spacing w:before="0" w:after="20"/>
              <w:rPr/>
            </w:pPr>
            <w:r>
              <w:rPr>
                <w:rFonts w:eastAsia="Courier New" w:cs="Courier New" w:ascii="Courier New" w:hAnsi="Courier New"/>
                <w:color w:val="A9CCE3"/>
                <w:sz w:val="17"/>
                <w:szCs w:val="17"/>
              </w:rPr>
              <w:t>erd templates list</w:t>
            </w:r>
          </w:p>
        </w:tc>
      </w:tr>
    </w:tbl>
    <w:p>
      <w:pPr>
        <w:pStyle w:val="Normal"/>
        <w:spacing w:before="0" w:after="60"/>
        <w:rPr/>
      </w:pPr>
      <w:r>
        <w:rPr/>
      </w:r>
    </w:p>
    <w:p>
      <w:pPr>
        <w:pStyle w:val="Heading2"/>
        <w:spacing w:before="360" w:after="160"/>
        <w:rPr/>
      </w:pPr>
      <w:r>
        <w:rPr>
          <w:rFonts w:eastAsia="Arial" w:cs="Arial" w:ascii="Arial" w:hAnsi="Arial"/>
          <w:b/>
          <w:bCs/>
          <w:color w:val="2471A3"/>
          <w:sz w:val="26"/>
          <w:szCs w:val="26"/>
        </w:rPr>
        <w:t>Review Dashboard</w:t>
      </w:r>
    </w:p>
    <w:p>
      <w:pPr>
        <w:pStyle w:val="Normal"/>
        <w:spacing w:before="80" w:after="140"/>
        <w:rPr/>
      </w:pPr>
      <w:r>
        <w:rPr>
          <w:rFonts w:eastAsia="Arial" w:cs="Arial"/>
          <w:color w:val="1C2833"/>
          <w:sz w:val="22"/>
          <w:szCs w:val="22"/>
        </w:rPr>
        <w:t xml:space="preserve">The </w:t>
      </w:r>
      <w:r>
        <w:rPr>
          <w:rFonts w:eastAsia="Courier New" w:cs="Courier New" w:ascii="Courier New" w:hAnsi="Courier New"/>
          <w:color w:val="1B3A5C"/>
          <w:sz w:val="18"/>
          <w:szCs w:val="18"/>
        </w:rPr>
        <w:t>erd review</w:t>
      </w:r>
      <w:r>
        <w:rPr>
          <w:rFonts w:eastAsia="Arial" w:cs="Arial"/>
          <w:color w:val="1C2833"/>
          <w:sz w:val="22"/>
          <w:szCs w:val="22"/>
        </w:rPr>
        <w:t xml:space="preserve"> command opens a simple terminal-based (or optional browser-based) review interface. It presents each flagged item — a low-confidence OCR field, a missing mandatory section, a geometry review trigger — one at a time and allows the user to: accept the AI value, type a correction, or mark as 'to revisit'. Confirmed values are written back to the relevant JSON file and the pipeline state is updated. The user can then re-run from the relevant phase.</w:t>
      </w:r>
    </w:p>
    <w:p>
      <w:pPr>
        <w:pStyle w:val="Normal"/>
        <w:spacing w:before="0" w:after="60"/>
        <w:rPr/>
      </w:pPr>
      <w:r>
        <w:rPr/>
      </w:r>
    </w:p>
    <w:p>
      <w:pPr>
        <w:pStyle w:val="Normal"/>
        <w:pBdr>
          <w:bottom w:val="single" w:sz="6" w:space="1" w:color="2471A3"/>
        </w:pBdr>
        <w:spacing w:before="240" w:after="240"/>
        <w:rPr/>
      </w:pPr>
      <w:r>
        <w:rPr/>
      </w:r>
    </w:p>
    <w:p>
      <w:pPr>
        <w:pStyle w:val="Heading1"/>
        <w:spacing w:before="560" w:after="200"/>
        <w:rPr/>
      </w:pPr>
      <w:r>
        <w:rPr>
          <w:rFonts w:eastAsia="Arial" w:cs="Arial" w:ascii="Arial" w:hAnsi="Arial"/>
          <w:b/>
          <w:bCs/>
          <w:color w:val="1B3A5C"/>
          <w:sz w:val="34"/>
          <w:szCs w:val="34"/>
        </w:rPr>
        <w:t>Error Handling &amp; Fallback Strategy</w:t>
      </w:r>
    </w:p>
    <w:tbl>
      <w:tblPr>
        <w:tblW w:w="9360" w:type="dxa"/>
        <w:jc w:val="start"/>
        <w:tblInd w:w="0" w:type="dxa"/>
        <w:tblLayout w:type="fixed"/>
        <w:tblCellMar>
          <w:top w:w="80" w:type="dxa"/>
          <w:start w:w="120" w:type="dxa"/>
          <w:bottom w:w="80" w:type="dxa"/>
          <w:end w:w="80" w:type="dxa"/>
        </w:tblCellMar>
      </w:tblPr>
      <w:tblGrid>
        <w:gridCol w:w="3120"/>
        <w:gridCol w:w="3120"/>
        <w:gridCol w:w="3120"/>
      </w:tblGrid>
      <w:tr>
        <w:trPr>
          <w:tblHeader w:val="true"/>
        </w:trPr>
        <w:tc>
          <w:tcPr>
            <w:tcW w:w="312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Error Condition</w:t>
            </w:r>
          </w:p>
        </w:tc>
        <w:tc>
          <w:tcPr>
            <w:tcW w:w="312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Detection Point</w:t>
            </w:r>
          </w:p>
        </w:tc>
        <w:tc>
          <w:tcPr>
            <w:tcW w:w="312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Behaviour</w:t>
            </w:r>
          </w:p>
        </w:tc>
      </w:tr>
      <w:tr>
        <w:trPr/>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Input file corrupt / unreadable</w:t>
            </w:r>
          </w:p>
        </w:tc>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Phase 0 triage</w:t>
            </w:r>
          </w:p>
        </w:tc>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Skip file, log warning, continue; halt if mandatory file missing</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OCR confidence below threshold</w:t>
            </w:r>
          </w:p>
        </w:tc>
        <w:tc>
          <w:tcPr>
            <w:tcW w:w="312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Phase 1 model output</w:t>
            </w:r>
          </w:p>
        </w:tc>
        <w:tc>
          <w:tcPr>
            <w:tcW w:w="312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Flag field REVIEW_REQUIRED; use best guess as placeholder</w:t>
            </w:r>
          </w:p>
        </w:tc>
      </w:tr>
      <w:tr>
        <w:trPr/>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CadQuery execution failure</w:t>
            </w:r>
          </w:p>
        </w:tc>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Phase 2 sandbox</w:t>
            </w:r>
          </w:p>
        </w:tc>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Flag GEOMETRY_FAIL; skip geometry for that drawing; report proceeds without it</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Gemma grounding confidence &lt; 0.6</w:t>
            </w:r>
          </w:p>
        </w:tc>
        <w:tc>
          <w:tcPr>
            <w:tcW w:w="312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Phase 2 output</w:t>
            </w:r>
          </w:p>
        </w:tc>
        <w:tc>
          <w:tcPr>
            <w:tcW w:w="312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Flag photo as LOW_CONFIDENCE; caption still included but marked</w:t>
            </w:r>
          </w:p>
        </w:tc>
      </w:tr>
      <w:tr>
        <w:trPr/>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Qwen context exceeds KV cache</w:t>
            </w:r>
          </w:p>
        </w:tc>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Phase 3 pre-flight</w:t>
            </w:r>
          </w:p>
        </w:tc>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Switch to chunk-and-merge drafting automatically; log warning</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Phase 3 draft missing mandatory section</w:t>
            </w:r>
          </w:p>
        </w:tc>
        <w:tc>
          <w:tcPr>
            <w:tcW w:w="312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Phase 4 compliance check</w:t>
            </w:r>
          </w:p>
        </w:tc>
        <w:tc>
          <w:tcPr>
            <w:tcW w:w="312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Insert [MISSING: section_id] placeholder; flag for human completion</w:t>
            </w:r>
          </w:p>
        </w:tc>
      </w:tr>
      <w:tr>
        <w:trPr/>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Prohibited term not removable in context</w:t>
            </w:r>
          </w:p>
        </w:tc>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Phase 4 compliance</w:t>
            </w:r>
          </w:p>
        </w:tc>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Flag for human review rather than force-replace</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pandoc export failure</w:t>
            </w:r>
          </w:p>
        </w:tc>
        <w:tc>
          <w:tcPr>
            <w:tcW w:w="312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Phase 5</w:t>
            </w:r>
          </w:p>
        </w:tc>
        <w:tc>
          <w:tcPr>
            <w:tcW w:w="312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Retain Markdown output; log error with pandoc command for manual retry</w:t>
            </w:r>
          </w:p>
        </w:tc>
      </w:tr>
      <w:tr>
        <w:trPr/>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VRAM OOM at any phase</w:t>
            </w:r>
          </w:p>
        </w:tc>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CUDA exception</w:t>
            </w:r>
          </w:p>
        </w:tc>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Catch exception; log; reduce batch size by 50% and retry; if still fails, switch to CPU</w:t>
            </w:r>
          </w:p>
        </w:tc>
      </w:tr>
    </w:tbl>
    <w:p>
      <w:pPr>
        <w:pStyle w:val="Normal"/>
        <w:spacing w:before="0" w:after="60"/>
        <w:rPr/>
      </w:pPr>
      <w:r>
        <w:rPr/>
      </w:r>
    </w:p>
    <w:p>
      <w:pPr>
        <w:pStyle w:val="Normal"/>
        <w:pBdr>
          <w:bottom w:val="single" w:sz="6" w:space="1" w:color="2471A3"/>
        </w:pBdr>
        <w:spacing w:before="240" w:after="240"/>
        <w:rPr/>
      </w:pPr>
      <w:r>
        <w:rPr/>
      </w:r>
    </w:p>
    <w:p>
      <w:pPr>
        <w:pStyle w:val="Heading1"/>
        <w:spacing w:before="560" w:after="200"/>
        <w:rPr/>
      </w:pPr>
      <w:r>
        <w:rPr>
          <w:rFonts w:eastAsia="Arial" w:cs="Arial" w:ascii="Arial" w:hAnsi="Arial"/>
          <w:b/>
          <w:bCs/>
          <w:color w:val="1B3A5C"/>
          <w:sz w:val="34"/>
          <w:szCs w:val="34"/>
        </w:rPr>
        <w:t>Testing Strategy</w:t>
      </w:r>
    </w:p>
    <w:p>
      <w:pPr>
        <w:pStyle w:val="Heading2"/>
        <w:spacing w:before="360" w:after="160"/>
        <w:rPr/>
      </w:pPr>
      <w:r>
        <w:rPr>
          <w:rFonts w:eastAsia="Arial" w:cs="Arial" w:ascii="Arial" w:hAnsi="Arial"/>
          <w:b/>
          <w:bCs/>
          <w:color w:val="2471A3"/>
          <w:sz w:val="26"/>
          <w:szCs w:val="26"/>
        </w:rPr>
        <w:t>Unit Tests</w:t>
      </w:r>
    </w:p>
    <w:p>
      <w:pPr>
        <w:pStyle w:val="ListParagraph"/>
        <w:numPr>
          <w:ilvl w:val="0"/>
          <w:numId w:val="2"/>
        </w:numPr>
        <w:spacing w:before="40" w:after="60"/>
        <w:rPr/>
      </w:pPr>
      <w:r>
        <w:rPr>
          <w:rFonts w:eastAsia="Arial" w:cs="Arial"/>
          <w:color w:val="1C2833"/>
          <w:sz w:val="21"/>
          <w:szCs w:val="21"/>
        </w:rPr>
        <w:t>Phase 0: manifest generation correctness; quality flag logic on synthetic images of known blur/skew.</w:t>
      </w:r>
    </w:p>
    <w:p>
      <w:pPr>
        <w:pStyle w:val="ListParagraph"/>
        <w:numPr>
          <w:ilvl w:val="0"/>
          <w:numId w:val="2"/>
        </w:numPr>
        <w:spacing w:before="40" w:after="60"/>
        <w:rPr/>
      </w:pPr>
      <w:r>
        <w:rPr>
          <w:rFonts w:eastAsia="Arial" w:cs="Arial"/>
          <w:color w:val="1C2833"/>
          <w:sz w:val="21"/>
          <w:szCs w:val="21"/>
        </w:rPr>
        <w:t>Phase 1: OCR output schema validation; checkbox boolean correctness on synthetic forms with known answers.</w:t>
      </w:r>
    </w:p>
    <w:p>
      <w:pPr>
        <w:pStyle w:val="ListParagraph"/>
        <w:numPr>
          <w:ilvl w:val="0"/>
          <w:numId w:val="2"/>
        </w:numPr>
        <w:spacing w:before="40" w:after="60"/>
        <w:rPr/>
      </w:pPr>
      <w:r>
        <w:rPr>
          <w:rFonts w:eastAsia="Arial" w:cs="Arial"/>
          <w:color w:val="1C2833"/>
          <w:sz w:val="21"/>
          <w:szCs w:val="21"/>
        </w:rPr>
        <w:t>Phase 2: CadQuery script executability rate on test drawing set; caption JSON schema validity.</w:t>
      </w:r>
    </w:p>
    <w:p>
      <w:pPr>
        <w:pStyle w:val="ListParagraph"/>
        <w:numPr>
          <w:ilvl w:val="0"/>
          <w:numId w:val="2"/>
        </w:numPr>
        <w:spacing w:before="40" w:after="60"/>
        <w:rPr/>
      </w:pPr>
      <w:r>
        <w:rPr>
          <w:rFonts w:eastAsia="Arial" w:cs="Arial"/>
          <w:color w:val="1C2833"/>
          <w:sz w:val="21"/>
          <w:szCs w:val="21"/>
        </w:rPr>
        <w:t>Phase 3: Section label extraction correctness; context reference completeness (all contexts in data appear in draft).</w:t>
      </w:r>
    </w:p>
    <w:p>
      <w:pPr>
        <w:pStyle w:val="ListParagraph"/>
        <w:numPr>
          <w:ilvl w:val="0"/>
          <w:numId w:val="2"/>
        </w:numPr>
        <w:spacing w:before="40" w:after="60"/>
        <w:rPr/>
      </w:pPr>
      <w:r>
        <w:rPr>
          <w:rFonts w:eastAsia="Arial" w:cs="Arial"/>
          <w:color w:val="1C2833"/>
          <w:sz w:val="21"/>
          <w:szCs w:val="21"/>
        </w:rPr>
        <w:t>Phase 4: Mandatory field presence after compliance pass; prohibited term absence.</w:t>
      </w:r>
    </w:p>
    <w:p>
      <w:pPr>
        <w:pStyle w:val="ListParagraph"/>
        <w:numPr>
          <w:ilvl w:val="0"/>
          <w:numId w:val="2"/>
        </w:numPr>
        <w:spacing w:before="40" w:after="60"/>
        <w:rPr/>
      </w:pPr>
      <w:r>
        <w:rPr>
          <w:rFonts w:eastAsia="Arial" w:cs="Arial"/>
          <w:color w:val="1C2833"/>
          <w:sz w:val="21"/>
          <w:szCs w:val="21"/>
        </w:rPr>
        <w:t>Phase 5: DOCX export opens without error; PDF generates correctly; ZIP completeness.</w:t>
      </w:r>
    </w:p>
    <w:p>
      <w:pPr>
        <w:pStyle w:val="Normal"/>
        <w:spacing w:before="0" w:after="60"/>
        <w:rPr/>
      </w:pPr>
      <w:r>
        <w:rPr/>
      </w:r>
    </w:p>
    <w:p>
      <w:pPr>
        <w:pStyle w:val="Heading2"/>
        <w:spacing w:before="360" w:after="160"/>
        <w:rPr/>
      </w:pPr>
      <w:r>
        <w:rPr>
          <w:rFonts w:eastAsia="Arial" w:cs="Arial" w:ascii="Arial" w:hAnsi="Arial"/>
          <w:b/>
          <w:bCs/>
          <w:color w:val="2471A3"/>
          <w:sz w:val="26"/>
          <w:szCs w:val="26"/>
        </w:rPr>
        <w:t>Integration Test Dataset</w:t>
      </w:r>
    </w:p>
    <w:p>
      <w:pPr>
        <w:pStyle w:val="Normal"/>
        <w:spacing w:before="80" w:after="140"/>
        <w:rPr/>
      </w:pPr>
      <w:r>
        <w:rPr>
          <w:rFonts w:eastAsia="Arial" w:cs="Arial"/>
          <w:color w:val="1C2833"/>
          <w:sz w:val="22"/>
          <w:szCs w:val="22"/>
        </w:rPr>
        <w:t>A reference dataset of 3 fully processed past excavations (with known-good published reports) should be assembled for integration testing. The pipeline output is evaluated against the published report on: context sheet capture rate, period identification accuracy, and prohibited term rate. These metrics are reported in the test log.</w:t>
      </w:r>
    </w:p>
    <w:p>
      <w:pPr>
        <w:pStyle w:val="Normal"/>
        <w:spacing w:before="0" w:after="60"/>
        <w:rPr/>
      </w:pPr>
      <w:r>
        <w:rPr/>
      </w:r>
    </w:p>
    <w:p>
      <w:pPr>
        <w:pStyle w:val="Heading2"/>
        <w:spacing w:before="360" w:after="160"/>
        <w:rPr/>
      </w:pPr>
      <w:r>
        <w:rPr>
          <w:rFonts w:eastAsia="Arial" w:cs="Arial" w:ascii="Arial" w:hAnsi="Arial"/>
          <w:b/>
          <w:bCs/>
          <w:color w:val="2471A3"/>
          <w:sz w:val="26"/>
          <w:szCs w:val="26"/>
        </w:rPr>
        <w:t>Acceptance Criteria</w:t>
      </w:r>
    </w:p>
    <w:tbl>
      <w:tblPr>
        <w:tblW w:w="9360" w:type="dxa"/>
        <w:jc w:val="start"/>
        <w:tblInd w:w="0" w:type="dxa"/>
        <w:tblLayout w:type="fixed"/>
        <w:tblCellMar>
          <w:top w:w="80" w:type="dxa"/>
          <w:start w:w="120" w:type="dxa"/>
          <w:bottom w:w="80" w:type="dxa"/>
          <w:end w:w="80" w:type="dxa"/>
        </w:tblCellMar>
      </w:tblPr>
      <w:tblGrid>
        <w:gridCol w:w="4680"/>
        <w:gridCol w:w="4680"/>
      </w:tblGrid>
      <w:tr>
        <w:trPr>
          <w:tblHeader w:val="true"/>
        </w:trPr>
        <w:tc>
          <w:tcPr>
            <w:tcW w:w="468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Metric</w:t>
            </w:r>
          </w:p>
        </w:tc>
        <w:tc>
          <w:tcPr>
            <w:tcW w:w="468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Target</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Context sheet field capture rate (vs manual)</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&gt; 90% of fields correctly extracted</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Period identification match (vs published report)</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&gt; 85% agreement</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Mandatory section completeness (post Phase 4)</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100% (placeholders acceptable)</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Prohibited term rate in final output</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0%</w:t>
            </w:r>
          </w:p>
        </w:tc>
      </w:tr>
      <w:tr>
        <w:trPr/>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VRAM peak across all phases</w:t>
            </w:r>
          </w:p>
        </w:tc>
        <w:tc>
          <w:tcPr>
            <w:tcW w:w="468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&lt; 5.5 GB (leaving 0.5 GB OS headroom)</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Full pipeline runtime (typical 50-context evaluation)</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&lt; 25 minutes on target hardware</w:t>
            </w:r>
          </w:p>
        </w:tc>
      </w:tr>
    </w:tbl>
    <w:p>
      <w:pPr>
        <w:pStyle w:val="Normal"/>
        <w:spacing w:before="0" w:after="60"/>
        <w:rPr/>
      </w:pPr>
      <w:r>
        <w:rPr/>
      </w:r>
    </w:p>
    <w:p>
      <w:pPr>
        <w:pStyle w:val="Normal"/>
        <w:pBdr>
          <w:bottom w:val="single" w:sz="6" w:space="1" w:color="2471A3"/>
        </w:pBdr>
        <w:spacing w:before="240" w:after="240"/>
        <w:rPr/>
      </w:pPr>
      <w:r>
        <w:rPr/>
      </w:r>
    </w:p>
    <w:p>
      <w:pPr>
        <w:pStyle w:val="Heading1"/>
        <w:spacing w:before="560" w:after="200"/>
        <w:rPr/>
      </w:pPr>
      <w:r>
        <w:rPr>
          <w:rFonts w:eastAsia="Arial" w:cs="Arial" w:ascii="Arial" w:hAnsi="Arial"/>
          <w:b/>
          <w:bCs/>
          <w:color w:val="1B3A5C"/>
          <w:sz w:val="34"/>
          <w:szCs w:val="34"/>
        </w:rPr>
        <w:t>Known Limitations &amp; Risks</w:t>
      </w:r>
    </w:p>
    <w:tbl>
      <w:tblPr>
        <w:tblW w:w="9360" w:type="dxa"/>
        <w:jc w:val="start"/>
        <w:tblInd w:w="0" w:type="dxa"/>
        <w:tblLayout w:type="fixed"/>
        <w:tblCellMar>
          <w:top w:w="80" w:type="dxa"/>
          <w:start w:w="120" w:type="dxa"/>
          <w:bottom w:w="80" w:type="dxa"/>
          <w:end w:w="80" w:type="dxa"/>
        </w:tblCellMar>
      </w:tblPr>
      <w:tblGrid>
        <w:gridCol w:w="3120"/>
        <w:gridCol w:w="3120"/>
        <w:gridCol w:w="3120"/>
      </w:tblGrid>
      <w:tr>
        <w:trPr>
          <w:tblHeader w:val="true"/>
        </w:trPr>
        <w:tc>
          <w:tcPr>
            <w:tcW w:w="312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Limitation</w:t>
            </w:r>
          </w:p>
        </w:tc>
        <w:tc>
          <w:tcPr>
            <w:tcW w:w="312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Impact</w:t>
            </w:r>
          </w:p>
        </w:tc>
        <w:tc>
          <w:tcPr>
            <w:tcW w:w="312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Mitigation</w:t>
            </w:r>
          </w:p>
        </w:tc>
      </w:tr>
      <w:tr>
        <w:trPr/>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Zero-To-CAD accuracy on schematic field sketches</w:t>
            </w:r>
          </w:p>
        </w:tc>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High — geometry may be incorrect</w:t>
            </w:r>
          </w:p>
        </w:tc>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Hard gate: all geometry flagged REQUIRES_REVIEW; excluded from report body</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TrOCR accuracy on unusual handwriting styles</w:t>
            </w:r>
          </w:p>
        </w:tc>
        <w:tc>
          <w:tcPr>
            <w:tcW w:w="312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Medium — key fields may be misread</w:t>
            </w:r>
          </w:p>
        </w:tc>
        <w:tc>
          <w:tcPr>
            <w:tcW w:w="312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Confidence threshold flags; review dashboard for human correction</w:t>
            </w:r>
          </w:p>
        </w:tc>
      </w:tr>
      <w:tr>
        <w:trPr/>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Qwen drafting hallucination risk</w:t>
            </w:r>
          </w:p>
        </w:tc>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Medium — model may invent plausible-sounding details</w:t>
            </w:r>
          </w:p>
        </w:tc>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System prompt explicitly instructs: cite only data present in context; review triggers on uncertain language</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Jurisdiction templates require maintenance</w:t>
            </w:r>
          </w:p>
        </w:tc>
        <w:tc>
          <w:tcPr>
            <w:tcW w:w="312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Low-Medium — heritage standards change</w:t>
            </w:r>
          </w:p>
        </w:tc>
        <w:tc>
          <w:tcPr>
            <w:tcW w:w="312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Template versioning; update process documented; community contribution model</w:t>
            </w:r>
          </w:p>
        </w:tc>
      </w:tr>
      <w:tr>
        <w:trPr/>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Very large sites (500+ contexts)</w:t>
            </w:r>
          </w:p>
        </w:tc>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Low-Medium — may exceed KV cache</w:t>
            </w:r>
          </w:p>
        </w:tc>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Chunk-and-merge fallback; noted in CLI output</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Non-English context sheets</w:t>
            </w:r>
          </w:p>
        </w:tc>
        <w:tc>
          <w:tcPr>
            <w:tcW w:w="312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Medium — HTR model may underperform</w:t>
            </w:r>
          </w:p>
        </w:tc>
        <w:tc>
          <w:tcPr>
            <w:tcW w:w="312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Language detection in Phase 0; alternative HTR models for French, German, Italian can be specified</w:t>
            </w:r>
          </w:p>
        </w:tc>
      </w:tr>
      <w:tr>
        <w:trPr/>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Specialist finds (numismatics, archaeometallurgy)</w:t>
            </w:r>
          </w:p>
        </w:tc>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Medium — Qwen may lack specialist knowledge</w:t>
            </w:r>
          </w:p>
        </w:tc>
        <w:tc>
          <w:tcPr>
            <w:tcW w:w="312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Flag for specialist review; system prompt notes specialist finds categories</w:t>
            </w:r>
          </w:p>
        </w:tc>
      </w:tr>
    </w:tbl>
    <w:p>
      <w:pPr>
        <w:pStyle w:val="Normal"/>
        <w:spacing w:before="0" w:after="60"/>
        <w:rPr/>
      </w:pPr>
      <w:r>
        <w:rPr/>
      </w:r>
    </w:p>
    <w:p>
      <w:pPr>
        <w:pStyle w:val="Normal"/>
        <w:pBdr>
          <w:bottom w:val="single" w:sz="6" w:space="1" w:color="2471A3"/>
        </w:pBdr>
        <w:spacing w:before="240" w:after="240"/>
        <w:rPr/>
      </w:pPr>
      <w:r>
        <w:rPr/>
      </w:r>
    </w:p>
    <w:p>
      <w:pPr>
        <w:pStyle w:val="Heading1"/>
        <w:spacing w:before="560" w:after="200"/>
        <w:rPr/>
      </w:pPr>
      <w:r>
        <w:rPr>
          <w:rFonts w:eastAsia="Arial" w:cs="Arial" w:ascii="Arial" w:hAnsi="Arial"/>
          <w:b/>
          <w:bCs/>
          <w:color w:val="1B3A5C"/>
          <w:sz w:val="34"/>
          <w:szCs w:val="34"/>
        </w:rPr>
        <w:t>Full Dependency List</w:t>
      </w:r>
    </w:p>
    <w:tbl>
      <w:tblPr>
        <w:tblW w:w="9360" w:type="dxa"/>
        <w:jc w:val="start"/>
        <w:tblInd w:w="0" w:type="dxa"/>
        <w:tblLayout w:type="fixed"/>
        <w:tblCellMar>
          <w:top w:w="80" w:type="dxa"/>
          <w:start w:w="120" w:type="dxa"/>
          <w:bottom w:w="80" w:type="dxa"/>
          <w:end w:w="80" w:type="dxa"/>
        </w:tblCellMar>
      </w:tblPr>
      <w:tblGrid>
        <w:gridCol w:w="2340"/>
        <w:gridCol w:w="2340"/>
        <w:gridCol w:w="2340"/>
        <w:gridCol w:w="2340"/>
      </w:tblGrid>
      <w:tr>
        <w:trPr>
          <w:tblHeader w:val="true"/>
        </w:trPr>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Package / Model</w:t>
            </w:r>
          </w:p>
        </w:tc>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Version / Source</w:t>
            </w:r>
          </w:p>
        </w:tc>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Purpose</w:t>
            </w:r>
          </w:p>
        </w:tc>
        <w:tc>
          <w:tcPr>
            <w:tcW w:w="234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19"/>
                <w:szCs w:val="19"/>
              </w:rPr>
              <w:t>Licence</w:t>
            </w:r>
          </w:p>
        </w:tc>
      </w:tr>
      <w:tr>
        <w:trPr/>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Python</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3.11+</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Orchestrator runtime</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PSF</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llama.cpp (server)</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Latest</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Qwen and Gemma inference</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MIT</w:t>
            </w:r>
          </w:p>
        </w:tc>
      </w:tr>
      <w:tr>
        <w:trPr/>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HTRflow</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Latest pip</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TrOCR page segmentation</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Apache 2.0</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transformers (HF)</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4.40+</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TrOCR model loading</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Apache 2.0</w:t>
            </w:r>
          </w:p>
        </w:tc>
      </w:tr>
      <w:tr>
        <w:trPr/>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PaddleOCR-VL-1.5</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HuggingFace</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Distortion correction</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Apache 2.0</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MinerU2.5-Pro</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HuggingFace</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Table parsing</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Apache 2.0</w:t>
            </w:r>
          </w:p>
        </w:tc>
      </w:tr>
      <w:tr>
        <w:trPr/>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CadQuery</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2.x</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Geometry execution sandbox</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Apache 2.0</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Pillow / Wand</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Latest pip</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Image normalisation</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HPND / ImageMagick</w:t>
            </w:r>
          </w:p>
        </w:tc>
      </w:tr>
      <w:tr>
        <w:trPr/>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OpenCV</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4.x</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Quality triage</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Apache 2.0</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pandas</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2.x</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CSV/XLSX parsing</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BSD</w:t>
            </w:r>
          </w:p>
        </w:tc>
      </w:tr>
      <w:tr>
        <w:trPr/>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pandoc</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3.x (system)</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Markdown → DOCX/PDF export</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GPL 2+</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graphviz</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Latest (system)</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Harris Matrix SVG</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EPL</w:t>
            </w:r>
          </w:p>
        </w:tc>
      </w:tr>
      <w:tr>
        <w:trPr/>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PyYAML</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Latest pip</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Jurisdiction template parsing</w:t>
            </w:r>
          </w:p>
        </w:tc>
        <w:tc>
          <w:tcPr>
            <w:tcW w:w="2340" w:type="dxa"/>
            <w:tcBorders>
              <w:top w:val="single" w:sz="2" w:space="0" w:color="CCCCCC"/>
              <w:start w:val="single" w:sz="2" w:space="0" w:color="CCCCCC"/>
              <w:bottom w:val="single" w:sz="2" w:space="0" w:color="CCCCCC"/>
              <w:end w:val="single" w:sz="2" w:space="0" w:color="CCCCCC"/>
            </w:tcBorders>
            <w:shd w:fill="EBF5FB" w:val="clear"/>
            <w:tcMar>
              <w:top w:w="60" w:type="dxa"/>
              <w:bottom w:w="60" w:type="dxa"/>
            </w:tcMar>
          </w:tcPr>
          <w:p>
            <w:pPr>
              <w:pStyle w:val="Normal"/>
              <w:rPr/>
            </w:pPr>
            <w:r>
              <w:rPr>
                <w:rFonts w:eastAsia="Arial" w:cs="Arial"/>
                <w:color w:val="1C2833"/>
                <w:sz w:val="19"/>
                <w:szCs w:val="19"/>
              </w:rPr>
              <w:t>MIT</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pytest</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Latest pip</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Test suite</w:t>
            </w:r>
          </w:p>
        </w:tc>
        <w:tc>
          <w:tcPr>
            <w:tcW w:w="23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1C2833"/>
                <w:sz w:val="19"/>
                <w:szCs w:val="19"/>
              </w:rPr>
              <w:t>MIT</w:t>
            </w:r>
          </w:p>
        </w:tc>
      </w:tr>
    </w:tbl>
    <w:p>
      <w:pPr>
        <w:pStyle w:val="Normal"/>
        <w:spacing w:before="0" w:after="60"/>
        <w:rPr/>
      </w:pPr>
      <w:r>
        <w:rPr/>
      </w:r>
    </w:p>
    <w:p>
      <w:pPr>
        <w:pStyle w:val="Normal"/>
        <w:pBdr>
          <w:bottom w:val="single" w:sz="6" w:space="1" w:color="2471A3"/>
        </w:pBdr>
        <w:spacing w:before="240" w:after="240"/>
        <w:rPr/>
      </w:pPr>
      <w:r>
        <w:rPr/>
      </w:r>
    </w:p>
    <w:p>
      <w:pPr>
        <w:pStyle w:val="Heading1"/>
        <w:spacing w:before="560" w:after="200"/>
        <w:rPr/>
      </w:pPr>
      <w:r>
        <w:rPr>
          <w:rFonts w:eastAsia="Arial" w:cs="Arial" w:ascii="Arial" w:hAnsi="Arial"/>
          <w:b/>
          <w:bCs/>
          <w:color w:val="1B3A5C"/>
          <w:sz w:val="34"/>
          <w:szCs w:val="34"/>
        </w:rPr>
        <w:t>Open Questions for v2.1</w:t>
      </w:r>
    </w:p>
    <w:p>
      <w:pPr>
        <w:pStyle w:val="ListParagraph"/>
        <w:numPr>
          <w:ilvl w:val="0"/>
          <w:numId w:val="2"/>
        </w:numPr>
        <w:spacing w:before="40" w:after="60"/>
        <w:rPr/>
      </w:pPr>
      <w:r>
        <w:rPr>
          <w:rFonts w:eastAsia="Arial" w:cs="Arial"/>
          <w:color w:val="1C2833"/>
          <w:sz w:val="21"/>
          <w:szCs w:val="21"/>
        </w:rPr>
        <w:t>Should the review dashboard be terminal-only (rich/textual) or offer an optional lightweight web UI (FastAPI + HTMX)? The web UI option is more accessible for non-technical site directors but adds a dependency.</w:t>
      </w:r>
    </w:p>
    <w:p>
      <w:pPr>
        <w:pStyle w:val="ListParagraph"/>
        <w:numPr>
          <w:ilvl w:val="0"/>
          <w:numId w:val="2"/>
        </w:numPr>
        <w:spacing w:before="40" w:after="60"/>
        <w:rPr/>
      </w:pPr>
      <w:r>
        <w:rPr>
          <w:rFonts w:eastAsia="Arial" w:cs="Arial"/>
          <w:color w:val="1C2833"/>
          <w:sz w:val="21"/>
          <w:szCs w:val="21"/>
        </w:rPr>
        <w:t>Is a Harris Matrix auto-generator within scope for v1? The stratigraphic relationships are available in the context JSON; generating the matrix SVG via graphviz is straightforward but will need validation against manually drawn matrices.</w:t>
      </w:r>
    </w:p>
    <w:p>
      <w:pPr>
        <w:pStyle w:val="ListParagraph"/>
        <w:numPr>
          <w:ilvl w:val="0"/>
          <w:numId w:val="2"/>
        </w:numPr>
        <w:spacing w:before="40" w:after="60"/>
        <w:rPr/>
      </w:pPr>
      <w:r>
        <w:rPr>
          <w:rFonts w:eastAsia="Arial" w:cs="Arial"/>
          <w:color w:val="1C2833"/>
          <w:sz w:val="21"/>
          <w:szCs w:val="21"/>
        </w:rPr>
        <w:t>What is the minimum hardware specification for the CPU-only fallback path? An M-series Mac (unified memory) handles the full pipeline well. A CPU-only x86 path is possible but Phase 3 inference time will be 10-20x longer.</w:t>
      </w:r>
    </w:p>
    <w:p>
      <w:pPr>
        <w:pStyle w:val="ListParagraph"/>
        <w:numPr>
          <w:ilvl w:val="0"/>
          <w:numId w:val="2"/>
        </w:numPr>
        <w:spacing w:before="40" w:after="60"/>
        <w:rPr/>
      </w:pPr>
      <w:r>
        <w:rPr>
          <w:rFonts w:eastAsia="Arial" w:cs="Arial"/>
          <w:color w:val="1C2833"/>
          <w:sz w:val="21"/>
          <w:szCs w:val="21"/>
        </w:rPr>
        <w:t>Should the pipeline support ARK system (the open-source excavation database) as a direct data input, bypassing Phase 1 OCR entirely for digitally-recorded sites? This would be a significant time saving.</w:t>
      </w:r>
    </w:p>
    <w:p>
      <w:pPr>
        <w:pStyle w:val="ListParagraph"/>
        <w:numPr>
          <w:ilvl w:val="0"/>
          <w:numId w:val="2"/>
        </w:numPr>
        <w:spacing w:before="40" w:after="60"/>
        <w:rPr/>
      </w:pPr>
      <w:r>
        <w:rPr>
          <w:rFonts w:eastAsia="Arial" w:cs="Arial"/>
          <w:color w:val="1C2833"/>
          <w:sz w:val="21"/>
          <w:szCs w:val="21"/>
        </w:rPr>
        <w:t>Qwen3.5-4B in Thinking Mode produces a reasoning chain of 1,000–3,000 tokens before the draft. Should this be presented to the site director as a 'confidence log', or silently discarded after logging? User research needed.</w:t>
      </w:r>
    </w:p>
    <w:p>
      <w:pPr>
        <w:pStyle w:val="Normal"/>
        <w:spacing w:before="0" w:after="6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6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560" w:hanging="280"/>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U"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AU" w:eastAsia="zh-CN" w:bidi="hi-IN"/>
    </w:rPr>
  </w:style>
  <w:style w:type="paragraph" w:styleId="Heading1">
    <w:name w:val="heading 1"/>
    <w:basedOn w:val="Heading"/>
    <w:qFormat/>
    <w:pPr>
      <w:spacing w:before="560" w:after="200"/>
      <w:outlineLvl w:val="0"/>
    </w:pPr>
    <w:rPr>
      <w:rFonts w:ascii="Arial" w:hAnsi="Arial" w:eastAsia="Arial" w:cs="Arial"/>
      <w:b/>
      <w:bCs/>
      <w:color w:val="1B3A5C"/>
      <w:sz w:val="34"/>
      <w:szCs w:val="34"/>
    </w:rPr>
  </w:style>
  <w:style w:type="paragraph" w:styleId="Heading2">
    <w:name w:val="heading 2"/>
    <w:basedOn w:val="Heading"/>
    <w:qFormat/>
    <w:pPr>
      <w:spacing w:before="360" w:after="160"/>
      <w:outlineLvl w:val="1"/>
    </w:pPr>
    <w:rPr>
      <w:rFonts w:ascii="Arial" w:hAnsi="Arial" w:eastAsia="Arial" w:cs="Arial"/>
      <w:b/>
      <w:bCs/>
      <w:color w:val="2471A3"/>
      <w:sz w:val="26"/>
      <w:szCs w:val="26"/>
    </w:rPr>
  </w:style>
  <w:style w:type="paragraph" w:styleId="Heading3">
    <w:name w:val="heading 3"/>
    <w:basedOn w:val="Heading"/>
    <w:qFormat/>
    <w:pPr>
      <w:spacing w:before="280" w:after="120"/>
      <w:outlineLvl w:val="2"/>
    </w:pPr>
    <w:rPr>
      <w:rFonts w:ascii="Arial" w:hAnsi="Arial" w:eastAsia="Arial" w:cs="Arial"/>
      <w:b/>
      <w:bCs/>
      <w:color w:val="1B3A5C"/>
      <w:sz w:val="22"/>
      <w:szCs w:val="22"/>
    </w:rPr>
  </w:style>
  <w:style w:type="paragraph" w:styleId="Heading4">
    <w:name w:val="heading 4"/>
    <w:basedOn w:val="Heading"/>
    <w:qFormat/>
    <w:pPr>
      <w:spacing w:before="200" w:after="80"/>
      <w:outlineLvl w:val="3"/>
    </w:pPr>
    <w:rPr>
      <w:rFonts w:ascii="Arial" w:hAnsi="Arial" w:eastAsia="Arial" w:cs="Arial"/>
      <w:b/>
      <w:bCs/>
      <w:color w:val="5D6D7E"/>
      <w:sz w:val="20"/>
      <w:szCs w:val="20"/>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AU"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AU"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20</Pages>
  <Words>4265</Words>
  <Characters>26076</Characters>
  <CharactersWithSpaces>30119</CharactersWithSpaces>
  <Paragraphs>725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2026-05-09T00:44:33Z</dcterms:created>
  <dc:creator>Un-named</dc:creator>
  <dc:description/>
  <dc:language>en-AU</dc:language>
  <cp:lastModifiedBy/>
  <dcterms:modified xsi:type="dcterms:W3CDTF">2026-05-09T11:03:31Z</dcterms:modified>
  <cp:revision>2</cp:revision>
  <dc:subject/>
  <dc:title/>
</cp:coreProperties>
</file>