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48"/>
        </w:rPr>
        <w:t>A 股因子字典 / 因子目录说明书</w:t>
      </w:r>
    </w:p>
    <w:p>
      <w:pPr>
        <w:jc w:val="center"/>
      </w:pPr>
      <w:r>
        <w:rPr>
          <w:rFonts w:ascii="Arial" w:hAnsi="Arial" w:eastAsia="Microsoft YaHei"/>
          <w:i/>
          <w:sz w:val="26"/>
        </w:rPr>
        <w:t>A 股公开信息驱动多层多因子系统 - 第一版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版本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日期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2026-04-09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文档类型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系统因子标准文档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用于因子定义、验证、版本管理与研发协作</w:t>
            </w:r>
          </w:p>
        </w:tc>
      </w:tr>
    </w:tbl>
    <w:p/>
    <w:p>
      <w:pPr>
        <w:jc w:val="center"/>
      </w:pPr>
      <w:r>
        <w:rPr>
          <w:rFonts w:ascii="Arial" w:hAnsi="Arial" w:eastAsia="Microsoft YaHei"/>
          <w:sz w:val="21"/>
        </w:rPr>
        <w:t>适用范围：A 股公开信息驱动多层多因子系统（第一版）</w:t>
      </w:r>
    </w:p>
    <w:p>
      <w:r>
        <w:br w:type="page"/>
      </w:r>
    </w:p>
    <w:p>
      <w:pPr>
        <w:pStyle w:val="Heading1"/>
      </w:pPr>
      <w:r>
        <w:t>1. 文档目的</w:t>
      </w:r>
    </w:p>
    <w:p>
      <w:r>
        <w:t>本说明书用于定义 A 股公开信息驱动多层多因子系统的第一版因子字典与因子目录标准，作为后续因子开发、实验、验证、上线与淘汰的统一依据。</w:t>
      </w:r>
    </w:p>
    <w:p>
      <w:r>
        <w:t>本版强调公开信息、结构化、可验证、可淘汰、可持续演化，不以内幕、未公开重大信息或不可合规复现的信息作为因子来源。</w:t>
      </w:r>
    </w:p>
    <w:p>
      <w:pPr>
        <w:pStyle w:val="Heading1"/>
      </w:pPr>
      <w:r>
        <w:t>2. 因子字典设计原则</w:t>
      </w:r>
    </w:p>
    <w:p>
      <w:pPr>
        <w:pStyle w:val="Heading2"/>
      </w:pPr>
      <w:r>
        <w:t>2.1 基本原则</w:t>
      </w:r>
    </w:p>
    <w:p>
      <w:r>
        <w:t>因子必须可定义：每个因子都要能写成明确对象与规则，不接受模糊故事型描述。</w:t>
      </w:r>
    </w:p>
    <w:p>
      <w:r>
        <w:t>因子必须可追溯：必须能追溯数据源、清洗版本、抽取版本、公式版本和验证版本。</w:t>
      </w:r>
    </w:p>
    <w:p>
      <w:r>
        <w:t>因子必须可验证：任何因子都必须经过样本外、成本后、状态分层验证。</w:t>
      </w:r>
    </w:p>
    <w:p>
      <w:r>
        <w:t>因子必须可淘汰：衰减、拥挤、重复、失去可交易性的因子必须进入降权或退役流程。</w:t>
      </w:r>
    </w:p>
    <w:p>
      <w:r>
        <w:t>因子必须分层使用：顶层状态、行业/板块、个股 alpha、风险惩罚不能混成同一层简单打分。</w:t>
      </w:r>
    </w:p>
    <w:p>
      <w:pPr>
        <w:pStyle w:val="Heading2"/>
      </w:pPr>
      <w:r>
        <w:t>2.2 因子生命周期</w:t>
      </w:r>
    </w:p>
    <w:p>
      <w:r>
        <w:t>candidate：候选因子，只有定义，无正式验证结果。</w:t>
      </w:r>
    </w:p>
    <w:p>
      <w:r>
        <w:t>in_validation：验证中，已有初步实验，但未完成样本外检验。</w:t>
      </w:r>
    </w:p>
    <w:p>
      <w:r>
        <w:t>approved：验证通过，可进入组合候选池。</w:t>
      </w:r>
    </w:p>
    <w:p>
      <w:r>
        <w:t>live：已上线观察或实盘 shadow 运行。</w:t>
      </w:r>
    </w:p>
    <w:p>
      <w:r>
        <w:t>decay：表现衰减，进入降权 / 重新验证阶段。</w:t>
      </w:r>
    </w:p>
    <w:p>
      <w:r>
        <w:t>retired：退役，不再进入新策略。</w:t>
      </w:r>
    </w:p>
    <w:p>
      <w:pPr>
        <w:pStyle w:val="Heading2"/>
      </w:pPr>
      <w:r>
        <w:t>2.3 因子统一字段规范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字段</w:t>
            </w:r>
          </w:p>
        </w:tc>
        <w:tc>
          <w:tcPr>
            <w:tcW w:type="dxa" w:w="4929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factor_code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因子唯一编码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factor_name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因子名称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layer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所属层级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priority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优先级，P0 为首批必做，P1 为增强项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horizon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主要作用持有期或观察期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definition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因子定义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data_source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主要数据源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calculation_logic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计算逻辑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usage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用途与进入哪一层决策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validation_focus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验证重点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risk_notes</w:t>
            </w:r>
          </w:p>
        </w:tc>
        <w:tc>
          <w:tcPr>
            <w:tcW w:type="dxa" w:w="49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使用风险与口径注意事项</w:t>
            </w:r>
          </w:p>
        </w:tc>
      </w:tr>
    </w:tbl>
    <w:p>
      <w:pPr>
        <w:pStyle w:val="Heading1"/>
      </w:pPr>
      <w:r>
        <w:t>3. 第一版因子分类总览</w:t>
      </w:r>
    </w:p>
    <w:p>
      <w:pPr>
        <w:pStyle w:val="Heading2"/>
      </w:pPr>
      <w:r>
        <w:t>3.1 顶层状态因子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编码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因子名称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REGIME_01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市场趋势状态因子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作为系统顶层 regime，不直接选股；控制趋势、突破、题材扩散类因子的整体权重和仓位上限。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REGIME_02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市场波动状态因子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控制止损宽度、仓位、缩量回踩类因子的可用性；高波动状态下提高风险惩罚层权重。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REGIME_03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外部风险冲击因子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作为出口链、资源链、成长板块的条件变量；在高外部冲击时降低激进因子权重。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REGIME_04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风格切换因子（大盘/小盘，成长/价值）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为事件、动量、质量、低波动等因子做风格条件化加权。</w:t>
            </w:r>
          </w:p>
        </w:tc>
      </w:tr>
    </w:tbl>
    <w:p/>
    <w:p>
      <w:pPr>
        <w:pStyle w:val="Heading2"/>
      </w:pPr>
      <w:r>
        <w:t>3.2 行业 / 板块因子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编码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因子名称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IND_01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行业相对强弱因子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给行业顺风中的个股信号加分，逆风行业中的个股信号降权；用于选股分层。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IND_02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题材扩散率因子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用于消息市和题材市的阶段识别；帮助区分“可跟随扩散”与“尾端补涨”。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IND_03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题材拥挤与分歧因子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对追涨、题材扩散、突破类信号做风险惩罚或阶段性加权。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IND_04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行业景气边际改善因子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为财务边际改善和事件因子提供行业景气上下文，减少个股信号孤立化。</w:t>
            </w:r>
          </w:p>
        </w:tc>
      </w:tr>
    </w:tbl>
    <w:p/>
    <w:p>
      <w:pPr>
        <w:pStyle w:val="Heading2"/>
      </w:pPr>
      <w:r>
        <w:t>3.3 个股事件因子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编码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因子名称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EVT_01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业绩预告意外度因子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直接进入事件总分；驱动研究层的 event_score 和后续策略中的事件加权。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EVT_02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回购 / 增持正向事件因子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提升中短期研究中的事件可信度，也可作为风险缓冲项。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EVT_03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减持 / 问询 / 立案风险事件因子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作为风险惩罚层的重要输入，必要时直接否决 BUY。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EVT_04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重大合同 / 中标强度因子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适用于工程、设备、军工、能源链等订单驱动行业。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EVT_05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披露密度异常因子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作为事件研究辅助因子；辅助判断消息面是否进入“密集驱动阶段”。</w:t>
            </w:r>
          </w:p>
        </w:tc>
      </w:tr>
    </w:tbl>
    <w:p/>
    <w:p>
      <w:pPr>
        <w:pStyle w:val="Heading2"/>
      </w:pPr>
      <w:r>
        <w:t>3.4 个股技术因子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编码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因子名称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TEC_01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趋势对齐评分因子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作为研究和选股中的核心技术总分，是多个技术子因子的上层聚合。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TEC_02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突破保持率因子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比单纯 breakout 更适合实战，用来过滤假突破。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TEC_03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缩量回踩质量因子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作为策略层 pullback 类型的核心驱动因子。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TEC_04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波动收敛因子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为突破类和事件驱动类因子提供“压缩后释放”的技术背景。</w:t>
            </w:r>
          </w:p>
        </w:tc>
      </w:tr>
    </w:tbl>
    <w:p/>
    <w:p>
      <w:pPr>
        <w:pStyle w:val="Heading2"/>
      </w:pPr>
      <w:r>
        <w:t>3.5 个股微观结构因子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编码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因子名称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MIC_01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日内资金路径一致性因子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跟踪量化与短线资金的公开路径痕迹；适合短周期策略增强。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MIC_02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板块同步交易强度因子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识别“量化和题材资金一起动了”的阶段，提高对跟随型机会的判断力。</w:t>
            </w:r>
          </w:p>
        </w:tc>
      </w:tr>
    </w:tbl>
    <w:p/>
    <w:p>
      <w:pPr>
        <w:pStyle w:val="Heading2"/>
      </w:pPr>
      <w:r>
        <w:t>3.6 个股财务因子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编码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因子名称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FUN_01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财务边际改善因子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提升事件和技术因子的真实性，过滤纯情绪炒作。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FUN_02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现金流质量因子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为研究层提供财务风险识别，提高持有期安全边际。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FUN_03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资产负债安全因子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作为风险层增强项，避免把短期强势票配到财务脆弱标的上。</w:t>
            </w:r>
          </w:p>
        </w:tc>
      </w:tr>
    </w:tbl>
    <w:p/>
    <w:p>
      <w:pPr>
        <w:pStyle w:val="Heading2"/>
      </w:pPr>
      <w:r>
        <w:t>3.7 传播 / 社交因子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编码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因子名称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2465"/>
            <w:vAlign w:val="center"/>
            <w:shd w:fill="B8CCE4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主要用途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SOC_01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注意力扩散冲击因子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不作为主 alpha，而是用来确认事件扩散、题材传播和拥挤早期信号。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SOC_02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情绪分歧因子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辅助区分“健康扩散”与“高分歧博弈”；可做风险预警。</w:t>
            </w:r>
          </w:p>
        </w:tc>
      </w:tr>
      <w:tr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SOC_03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9"/>
              </w:rPr>
              <w:t>拥挤预警因子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2465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作为风险惩罚层重要输入，用来过滤追高和末端接力。</w:t>
            </w:r>
          </w:p>
        </w:tc>
      </w:tr>
    </w:tbl>
    <w:p/>
    <w:p>
      <w:pPr>
        <w:pStyle w:val="Heading1"/>
      </w:pPr>
      <w:r>
        <w:t>4. 详细因子条目</w:t>
      </w:r>
    </w:p>
    <w:p>
      <w:pPr>
        <w:pStyle w:val="Heading2"/>
      </w:pPr>
      <w:r>
        <w:t>4.1 市场趋势状态因子（REGIME_01）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顶层状态层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5-20个交易日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衡量全市场当前处于上升、震荡或下行状态的综合因子，用于决定趋势类与突破类因子的启用权重。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上证指数、深成指、沪深300、中证1000、全A指数日线；可选涨跌家数、成交额结构。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综合5/10/20日收益、指数相对MA20/MA60位置、均线斜率、上涨家数占比，标准化后形成0-100分并映射为 up / neutral / down。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作为系统顶层 regime，不直接选股；控制趋势、突破、题材扩散类因子的整体权重和仓位上限。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分年份、分风格、分波动环境验证对下游因子收益分布的解释能力；关注 regime 切换边界是否稳定。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不得直接把指数短期涨跌当买卖信号；重点是给下层因子提供上下文。</w:t>
      </w:r>
    </w:p>
    <w:p/>
    <w:p>
      <w:pPr>
        <w:pStyle w:val="Heading2"/>
      </w:pPr>
      <w:r>
        <w:t>4.2 市场波动状态因子（REGIME_02）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顶层状态层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3-10个交易日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衡量市场当前波动是低、正常还是高，用于区分“可持有的趋势”与“高噪音高冲击环境”。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主要指数日线与分钟线、涨跌停家数、市场振幅、可选情绪代理。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使用10/20日实现波动率、指数振幅中位数、涨跌停比例、市场跳空率做标准化评分，输出 low / normal / high。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控制止损宽度、仓位、缩量回踩类因子的可用性；高波动状态下提高风险惩罚层权重。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验证其对回撤、滑点、策略盈亏比的解释能力；比较不同波动状态下同一因子的净值路径。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优先用于风控和调权，不建议作为直接 alpha。</w:t>
      </w:r>
    </w:p>
    <w:p/>
    <w:p>
      <w:pPr>
        <w:pStyle w:val="Heading2"/>
      </w:pPr>
      <w:r>
        <w:t>4.3 外部风险冲击因子（REGIME_03）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顶层状态层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1-10个交易日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衡量海外风险和全球资产价格波动对A股的潜在冲击强度。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USD/CNH、海外主要股指、原油、有色、黄金等公开价格；可选全球不确定性代理。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对美元、海外风险资产和大宗商品的短期异常波动做z-score聚合；结合A股开盘与隔夜外盘偏离形成外部冲击分数。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作为出口链、资源链、成长板块的条件变量；在高外部冲击时降低激进因子权重。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分行业检验，重点看对外需、资源、科技链的差异影响；避免把共性冲击误判为个股 alpha。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更适合做条件和惩罚器，不应直接给所有股票一刀切。</w:t>
      </w:r>
    </w:p>
    <w:p/>
    <w:p>
      <w:pPr>
        <w:pStyle w:val="Heading2"/>
      </w:pPr>
      <w:r>
        <w:t>4.4 风格切换因子（大盘/小盘，成长/价值）（REGIME_04）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顶层状态层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5-20个交易日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识别当前市场偏大盘还是小盘、偏成长还是偏价值，以调节因子组合暴露。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风格指数、代表性ETF、全市场分组收益。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计算大小盘相对收益、成长价值相对收益、风格成交额占比和持续性，形成风格偏好标签。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为事件、动量、质量、低波动等因子做风格条件化加权。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验证风格状态下的分层收益稳定性，以及对组合回撤和风格暴露的改善效果。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不追求精确预测风格转折，重点是避免错配。</w:t>
      </w:r>
    </w:p>
    <w:p/>
    <w:p>
      <w:pPr>
        <w:pStyle w:val="Heading2"/>
      </w:pPr>
      <w:r>
        <w:t>4.5 行业相对强弱因子（IND_01）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行业/板块层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5-20个交易日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衡量某行业相对市场基准的超额强弱，用于区分行业顺风与逆风环境。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申万/中信行业指数或自建行业收益序列；行业成交额与上涨家数。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计算行业5/10/20日超额收益、行业成交额占比变化、上涨家数占比，标准化后得到行业强弱分。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给行业顺风中的个股信号加分，逆风行业中的个股信号降权；用于选股分层。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分行业、分风格、分年份验证超额强弱的持续性和对个股 alpha 的放大效果。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该因子常是行业 beta，不要误当个股 alpha。</w:t>
      </w:r>
    </w:p>
    <w:p/>
    <w:p>
      <w:pPr>
        <w:pStyle w:val="Heading2"/>
      </w:pPr>
      <w:r>
        <w:t>4.6 题材扩散率因子（IND_02）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行业/板块层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1-5个交易日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衡量某题材从龙头向板块成员扩散的速度和广度，判断题材处于早期、中期还是后期。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题材板块成分股、日线/分钟线、涨停与大涨统计。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以龙头首次明确启动为事件原点，统计1/2/3日内同题材股票中上涨、放量、突破前高的比例，形成扩散率和扩散斜率。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用于消息市和题材市的阶段识别；帮助区分“可跟随扩散”与“尾端补涨”。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对不同题材类别、龙头强度和市场状态做分组，验证扩散率对后续题材收益和拥挤风险的解释能力。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必须先定义题材池与龙头识别规则，避免事后归因。</w:t>
      </w:r>
    </w:p>
    <w:p/>
    <w:p>
      <w:pPr>
        <w:pStyle w:val="Heading2"/>
      </w:pPr>
      <w:r>
        <w:t>4.7 题材拥挤与分歧因子（IND_03）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行业/板块层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1-5个交易日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识别板块是在健康共振、强分歧博弈还是末端拥挤阶段。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板块内个股收益、换手、振幅、可选社交热度。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用板块同步上涨率、换手中位数、龙头偏离度、收益分散度构造“拥挤/分歧”二维分数。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对追涨、题材扩散、突破类信号做风险惩罚或阶段性加权。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检验不同拥挤/分歧状态下，题材跟随策略的胜率、盈亏比和次日回撤差异。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拥挤高不一定马上结束，但会显著提高追高风险。</w:t>
      </w:r>
    </w:p>
    <w:p/>
    <w:p>
      <w:pPr>
        <w:pStyle w:val="Heading2"/>
      </w:pPr>
      <w:r>
        <w:t>4.8 行业景气边际改善因子（IND_04）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行业/板块层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10-40个交易日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衡量一个行业内部盈利、订单、价格或政策景气是否在边际改善。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行业内财务摘要、业绩预告、订单类公告、可选行业数据。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统计行业内利润增速改善比例、业绩预告超预期比例、订单公告密度变化，做行业内标准化评分。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为财务边际改善和事件因子提供行业景气上下文，减少个股信号孤立化。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按行业周期类型验证；重点看对中周期收益和持有期延展的解释能力。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第一版可用粗粒度替代，后续再做行业专有数据。</w:t>
      </w:r>
    </w:p>
    <w:p/>
    <w:p>
      <w:pPr>
        <w:pStyle w:val="Heading2"/>
      </w:pPr>
      <w:r>
        <w:t>4.9 业绩预告意外度因子（EVT_01）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个股事件层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3-20个交易日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衡量业绩预告/快报对市场预期的偏离程度，是A股事件驱动体系的核心因子之一。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巨潮/交易所公告、财务摘要、行业中位数对比。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用预告净利润区间中值、同比变化、是否修正预告、行业偏离度构造 surprise_score；负向预告给予非对称更高惩罚。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直接进入事件总分；驱动研究层的 event_score 和后续策略中的事件加权。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按行业、业绩预告类型、盈利区间大小做分层；重点看公告后1/3/5/10日收益和回撤表现。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必须严格时间对齐，盘后发布不能用于当天盘中决策。</w:t>
      </w:r>
    </w:p>
    <w:p/>
    <w:p>
      <w:pPr>
        <w:pStyle w:val="Heading2"/>
      </w:pPr>
      <w:r>
        <w:t>4.10 回购 / 增持正向事件因子（EVT_02）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个股事件层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5-30个交易日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衡量回购、重要股东增持、员工持股等正向资本配置事件的力度。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正式公告文本。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提取事件类型、计划金额/市值、执行进度、是否完成、是否连续发生，生成 positive_event_score。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提升中短期研究中的事件可信度，也可作为风险缓冲项。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区分计划公告与实施完成、金额大小和连续性，比较事件后收益与回撤路径。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计划不等于落地，执行进度必须进入模型。</w:t>
      </w:r>
    </w:p>
    <w:p/>
    <w:p>
      <w:pPr>
        <w:pStyle w:val="Heading2"/>
      </w:pPr>
      <w:r>
        <w:t>4.11 减持 / 问询 / 立案风险事件因子（EVT_03）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个股事件层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1-30个交易日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统一量化减持计划、监管问询、立案调查、风险提示等负向披露对交易风险的影响。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正式公告、监管文件。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对事件按严重度分级：问询 &lt; 风险提示 &lt; 立案 / 退市风险；结合是否连续发生与是否未消除不确定性做负向累积。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作为风险惩罚层的重要输入，必要时直接否决 BUY。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检验不同严重度事件对后续收益、回撤、波动和成交行为的影响差异。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与社交热度联动时更有效，但第一版应独立可用。</w:t>
      </w:r>
    </w:p>
    <w:p/>
    <w:p>
      <w:pPr>
        <w:pStyle w:val="Heading2"/>
      </w:pPr>
      <w:r>
        <w:t>4.12 重大合同 / 中标强度因子（EVT_04）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个股事件层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5-40个交易日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衡量重大合同、订单、中标公告对经营预期的冲击强度。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公告文本、历史营收、市值。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抽取金额、金额/市值、金额/营收、连续性、行业匹配度，形成 contract_strength_score。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适用于工程、设备、军工、能源链等订单驱动行业。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按行业类型和订单相对体量验证，关注公告后趋势持续性而非次日情绪。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需防止把小额订单当大利好。</w:t>
      </w:r>
    </w:p>
    <w:p/>
    <w:p>
      <w:pPr>
        <w:pStyle w:val="Heading2"/>
      </w:pPr>
      <w:r>
        <w:t>4.13 披露密度异常因子（EVT_05）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个股事件层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1-10个交易日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衡量某股票在短时间内公告密度是否异常，异常密集往往代表信息流增加或不确定性提升。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公告索引列表。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统计近3/5/10日公告数量相对过去60日均值的z-score；结合公告类型正负权重形成净披露密度分。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作为事件研究辅助因子；辅助判断消息面是否进入“密集驱动阶段”。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验证公告密度异常对波动、换手、题材扩散和单票收益的解释能力。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公告多不等于利好，必须和事件类型一起看。</w:t>
      </w:r>
    </w:p>
    <w:p/>
    <w:p>
      <w:pPr>
        <w:pStyle w:val="Heading2"/>
      </w:pPr>
      <w:r>
        <w:t>4.14 趋势对齐评分因子（TEC_01）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个股技术层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5-20个交易日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综合均线位置、均线斜率、MACD、RSI 等，衡量单票当前是否处于健康上升趋势。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日线OHLCV。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价格相对MA20/MA60位置、MA20/MA60斜率、MACD柱体方向、RSI区间共同打分，形成0-100的 trend_alignment_score。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作为研究和选股中的核心技术总分，是多个技术子因子的上层聚合。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检验对未来5/10日收益分层能力，以及与纯价格动量因子的相关性与增量。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不应与简单收益动量重复计算过多。</w:t>
      </w:r>
    </w:p>
    <w:p/>
    <w:p>
      <w:pPr>
        <w:pStyle w:val="Heading2"/>
      </w:pPr>
      <w:r>
        <w:t>4.15 突破保持率因子（TEC_02）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个股技术层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1-10个交易日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衡量价格突破近期高点后，能否有效站稳而不是立刻回落。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日线OHLCV、成交量。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当日收盘突破N日高点且量能放大后，统计未来1~3日是否仍站在突破位之上，并计算最大回撤与量能保持率。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比单纯 breakout 更适合实战，用来过滤假突破。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对不同N值、量能阈值、市场趋势状态做walk-forward，关注成本后收益与回撤。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第一版先作为规则化因子，后续可加入分钟级确认。</w:t>
      </w:r>
    </w:p>
    <w:p/>
    <w:p>
      <w:pPr>
        <w:pStyle w:val="Heading2"/>
      </w:pPr>
      <w:r>
        <w:t>4.16 缩量回踩质量因子（TEC_03）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个股技术层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3-15个交易日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衡量上升趋势中的回踩是否健康，适合波段低吸与二次入场。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日线OHLCV、均线。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先要求中期趋势向上，再判断价格回到MA10/MA20附近时是否缩量、未破关键支撑、K线实体收缩，形成 pullback_quality_score。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作为策略层 pullback 类型的核心驱动因子。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验证不同回踩深度、量缩幅度、支撑距离对后续反弹成功率的影响。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缩量回踩比追突破更稳，但更依赖大盘和行业环境。</w:t>
      </w:r>
    </w:p>
    <w:p/>
    <w:p>
      <w:pPr>
        <w:pStyle w:val="Heading2"/>
      </w:pPr>
      <w:r>
        <w:t>4.17 波动收敛因子（TEC_04）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个股技术层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3-15个交易日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识别波动持续收敛、等待方向选择的股票。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日线OHLCV、ATR、布林带宽度。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用ATR占比、近20日布林带宽度变化、振幅中位数变化构造 volatility_contraction_score。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为突破类和事件驱动类因子提供“压缩后释放”的技术背景。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验证与突破保持率的配合效果，以及单独使用时的误报率。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必须和方向信号搭配，单独使用噪声较大。</w:t>
      </w:r>
    </w:p>
    <w:p/>
    <w:p>
      <w:pPr>
        <w:pStyle w:val="Heading2"/>
      </w:pPr>
      <w:r>
        <w:t>4.18 日内资金路径一致性因子（MIC_01）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个股微观结构层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1-3个交易日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衡量日内资金是全天一致推升，还是冲高回落、骗线出货。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1分钟或5分钟K线、集合竞价数据。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整合集合竞价强度、开盘30分钟收益、午后回撤率、尾盘净推升，形成 intraday_path_score。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跟踪量化与短线资金的公开路径痕迹；适合短周期策略增强。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分市场状态验证对次日延续和回撤的解释力；加入交易成本后复核。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分钟数据维护成本高，建议第二阶段接入。</w:t>
      </w:r>
    </w:p>
    <w:p/>
    <w:p>
      <w:pPr>
        <w:pStyle w:val="Heading2"/>
      </w:pPr>
      <w:r>
        <w:t>4.19 板块同步交易强度因子（MIC_02）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个股微观结构层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1-3个交易日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识别同板块股票是否出现同步性很强的交易路径，反映同质化资金共振。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板块成分股分钟线、换手、成交额。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计算板块内分钟收益相关性、同步放量比例、同向脉冲频次，形成 board_sync_score。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识别“量化和题材资金一起动了”的阶段，提高对跟随型机会的判断力。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验证高同步性下板块延续、分歧和回撤的差异；重点关注尾端拥挤风险。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不是越同步越好，需和拥挤度联合解释。</w:t>
      </w:r>
    </w:p>
    <w:p/>
    <w:p>
      <w:pPr>
        <w:pStyle w:val="Heading2"/>
      </w:pPr>
      <w:r>
        <w:t>4.20 财务边际改善因子（FUN_01）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个股财务层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P0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10-60个交易日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关注财务指标的改善而非绝对好坏，是A股中周期最有用的财务类因子之一。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财务摘要、季报、业绩预告。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综合营收同比、净利润同比、毛利率变化、经营现金流变化、ROE变化，行业内标准化后加总。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提升事件和技术因子的真实性，过滤纯情绪炒作。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按行业、大小盘、风格环境分层，验证对未来1-3个月收益和回撤的解释力。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更适合做增强项，不适合单独做短线触发。</w:t>
      </w:r>
    </w:p>
    <w:p/>
    <w:p>
      <w:pPr>
        <w:pStyle w:val="Heading2"/>
      </w:pPr>
      <w:r>
        <w:t>4.21 现金流质量因子（FUN_02）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个股财务层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20-60个交易日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衡量利润是否真实转化为经营现金流，识别“利润好看但含金量差”的公司。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现金流量表摘要、利润表摘要。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使用经营现金流/净利润、经营现金流同比、应收与存货变化等构建 cash_quality_score。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为研究层提供财务风险识别，提高持有期安全边际。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在高景气和低景气行业分别验证，关注其对暴雷和回撤的过滤效果。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适合做负面过滤，而不是短线加速器。</w:t>
      </w:r>
    </w:p>
    <w:p/>
    <w:p>
      <w:pPr>
        <w:pStyle w:val="Heading2"/>
      </w:pPr>
      <w:r>
        <w:t>4.22 资产负债安全因子（FUN_03）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个股财务层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20-60个交易日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衡量资产负债表的稳健性，识别高杠杆和潜在财务脆弱性。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财务摘要、资产负债表。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基于负债率、短债压力、现金短债比、净资产变化构建 balance_safety_score。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作为风险层增强项，避免把短期强势票配到财务脆弱标的上。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检验在市场下行和融资收缩环境中的过滤能力。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更偏防守属性。</w:t>
      </w:r>
    </w:p>
    <w:p/>
    <w:p>
      <w:pPr>
        <w:pStyle w:val="Heading2"/>
      </w:pPr>
      <w:r>
        <w:t>4.23 注意力扩散冲击因子（SOC_01）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传播/社交层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1-5个交易日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衡量某股票或题材的公开讨论是否从“知道”进入“快速扩散”阶段。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股吧、雪球、互动平台、公开问答平台。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计算提及量z-score、热度变化率、跨平台共振、传播半衰期，并用账号质量和内容可信度加权。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不作为主 alpha，而是用来确认事件扩散、题材传播和拥挤早期信号。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验证其对短期换手、波动、题材扩散率和次日收益分层的解释能力。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必须去水军、去噪声、严格时间对齐。</w:t>
      </w:r>
    </w:p>
    <w:p/>
    <w:p>
      <w:pPr>
        <w:pStyle w:val="Heading2"/>
      </w:pPr>
      <w:r>
        <w:t>4.24 情绪分歧因子（SOC_02）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传播/社交层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1-3个交易日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衡量公开讨论中多空观点的分歧程度，分歧往往对应方向选择或大波动临近。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公开社交文本与互动数据。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计算正负向文本比例、情绪方差、高互动内容之间的一致性，形成 sentiment_divergence_score。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辅助区分“健康扩散”与“高分歧博弈”；可做风险预警。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验证在题材启动、分歧转一致、极端一致三个阶段的表现差异。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分歧本身不是好坏，需要和趋势、事件联动解释。</w:t>
      </w:r>
    </w:p>
    <w:p/>
    <w:p>
      <w:pPr>
        <w:pStyle w:val="Heading2"/>
      </w:pPr>
      <w:r>
        <w:t>4.25 拥挤预警因子（SOC_03）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层级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优先级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/>
                <w:sz w:val="20"/>
              </w:rPr>
              <w:t>作用周期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传播/社交层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P1</w:t>
            </w:r>
          </w:p>
        </w:tc>
        <w:tc>
          <w:tcPr>
            <w:tcW w:type="dxa" w:w="3286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Microsoft YaHei"/>
                <w:b w:val="0"/>
                <w:sz w:val="20"/>
              </w:rPr>
              <w:t>1-5个交易日</w:t>
            </w:r>
          </w:p>
        </w:tc>
      </w:tr>
    </w:tbl>
    <w:p>
      <w:pPr>
        <w:spacing w:after="40"/>
      </w:pPr>
      <w:r>
        <w:rPr>
          <w:rFonts w:ascii="Arial" w:hAnsi="Arial" w:eastAsia="Microsoft YaHei"/>
          <w:b/>
        </w:rPr>
        <w:t>定义：</w:t>
      </w:r>
      <w:r>
        <w:rPr>
          <w:rFonts w:ascii="Arial" w:hAnsi="Arial" w:eastAsia="Microsoft YaHei"/>
        </w:rPr>
        <w:t>识别某股票或题材是否出现公开注意力过热、观点同质化和高拥挤风险。</w:t>
      </w:r>
    </w:p>
    <w:p>
      <w:pPr>
        <w:spacing w:after="40"/>
      </w:pPr>
      <w:r>
        <w:rPr>
          <w:rFonts w:ascii="Arial" w:hAnsi="Arial" w:eastAsia="Microsoft YaHei"/>
          <w:b/>
        </w:rPr>
        <w:t>数据源：</w:t>
      </w:r>
      <w:r>
        <w:rPr>
          <w:rFonts w:ascii="Arial" w:hAnsi="Arial" w:eastAsia="Microsoft YaHei"/>
        </w:rPr>
        <w:t>热度、互动、价格偏离、换手。</w:t>
      </w:r>
    </w:p>
    <w:p>
      <w:pPr>
        <w:spacing w:after="40"/>
      </w:pPr>
      <w:r>
        <w:rPr>
          <w:rFonts w:ascii="Arial" w:hAnsi="Arial" w:eastAsia="Microsoft YaHei"/>
          <w:b/>
        </w:rPr>
        <w:t>计算逻辑：</w:t>
      </w:r>
      <w:r>
        <w:rPr>
          <w:rFonts w:ascii="Arial" w:hAnsi="Arial" w:eastAsia="Microsoft YaHei"/>
        </w:rPr>
        <w:t>综合热度z-score、情绪一致性、价格偏离支撑程度、换手升温速度，形成 crowding_warning_score。</w:t>
      </w:r>
    </w:p>
    <w:p>
      <w:pPr>
        <w:spacing w:after="40"/>
      </w:pPr>
      <w:r>
        <w:rPr>
          <w:rFonts w:ascii="Arial" w:hAnsi="Arial" w:eastAsia="Microsoft YaHei"/>
          <w:b/>
        </w:rPr>
        <w:t>用途：</w:t>
      </w:r>
      <w:r>
        <w:rPr>
          <w:rFonts w:ascii="Arial" w:hAnsi="Arial" w:eastAsia="Microsoft YaHei"/>
        </w:rPr>
        <w:t>作为风险惩罚层重要输入，用来过滤追高和末端接力。</w:t>
      </w:r>
    </w:p>
    <w:p>
      <w:pPr>
        <w:spacing w:after="40"/>
      </w:pPr>
      <w:r>
        <w:rPr>
          <w:rFonts w:ascii="Arial" w:hAnsi="Arial" w:eastAsia="Microsoft YaHei"/>
          <w:b/>
        </w:rPr>
        <w:t>验证重点：</w:t>
      </w:r>
      <w:r>
        <w:rPr>
          <w:rFonts w:ascii="Arial" w:hAnsi="Arial" w:eastAsia="Microsoft YaHei"/>
        </w:rPr>
        <w:t>关注高拥挤样本的次日冲高回落率、回撤和盈亏比恶化情况。</w:t>
      </w:r>
    </w:p>
    <w:p>
      <w:pPr>
        <w:spacing w:after="40"/>
      </w:pPr>
      <w:r>
        <w:rPr>
          <w:rFonts w:ascii="Arial" w:hAnsi="Arial" w:eastAsia="Microsoft YaHei"/>
          <w:b/>
        </w:rPr>
        <w:t>使用注意事项：</w:t>
      </w:r>
      <w:r>
        <w:rPr>
          <w:rFonts w:ascii="Arial" w:hAnsi="Arial" w:eastAsia="Microsoft YaHei"/>
        </w:rPr>
        <w:t>拥挤高不等于立刻做空，但通常不适合激进加仓。</w:t>
      </w:r>
    </w:p>
    <w:p/>
    <w:p>
      <w:pPr>
        <w:pStyle w:val="Heading1"/>
      </w:pPr>
      <w:r>
        <w:t>5. 因子组合建议（第一版）</w:t>
      </w:r>
    </w:p>
    <w:p>
      <w:pPr>
        <w:pStyle w:val="Heading2"/>
      </w:pPr>
      <w:r>
        <w:t>5.1 第一批上线候选（P0）</w:t>
      </w:r>
    </w:p>
    <w:p>
      <w:r>
        <w:t>REGIME_01 - 市场趋势状态因子</w:t>
      </w:r>
    </w:p>
    <w:p>
      <w:r>
        <w:t>REGIME_02 - 市场波动状态因子</w:t>
      </w:r>
    </w:p>
    <w:p>
      <w:r>
        <w:t>IND_01 - 行业相对强弱因子</w:t>
      </w:r>
    </w:p>
    <w:p>
      <w:r>
        <w:t>IND_02 - 题材扩散率因子</w:t>
      </w:r>
    </w:p>
    <w:p>
      <w:r>
        <w:t>IND_03 - 题材拥挤与分歧因子</w:t>
      </w:r>
    </w:p>
    <w:p>
      <w:r>
        <w:t>EVT_01 - 业绩预告意外度因子</w:t>
      </w:r>
    </w:p>
    <w:p>
      <w:r>
        <w:t>EVT_02 - 回购 / 增持正向事件因子</w:t>
      </w:r>
    </w:p>
    <w:p>
      <w:r>
        <w:t>EVT_03 - 减持 / 问询 / 立案风险事件因子</w:t>
      </w:r>
    </w:p>
    <w:p>
      <w:r>
        <w:t>TEC_01 - 趋势对齐评分因子</w:t>
      </w:r>
    </w:p>
    <w:p>
      <w:r>
        <w:t>TEC_02 - 突破保持率因子</w:t>
      </w:r>
    </w:p>
    <w:p>
      <w:r>
        <w:t>TEC_03 - 缩量回踩质量因子</w:t>
      </w:r>
    </w:p>
    <w:p>
      <w:r>
        <w:t>FUN_01 - 财务边际改善因子</w:t>
      </w:r>
    </w:p>
    <w:p>
      <w:pPr>
        <w:pStyle w:val="Heading2"/>
      </w:pPr>
      <w:r>
        <w:t>5.2 第二批增强项（P1）</w:t>
      </w:r>
    </w:p>
    <w:p>
      <w:r>
        <w:t>REGIME_03 - 外部风险冲击因子</w:t>
      </w:r>
    </w:p>
    <w:p>
      <w:r>
        <w:t>REGIME_04 - 风格切换因子（大盘/小盘，成长/价值）</w:t>
      </w:r>
    </w:p>
    <w:p>
      <w:r>
        <w:t>IND_04 - 行业景气边际改善因子</w:t>
      </w:r>
    </w:p>
    <w:p>
      <w:r>
        <w:t>EVT_04 - 重大合同 / 中标强度因子</w:t>
      </w:r>
    </w:p>
    <w:p>
      <w:r>
        <w:t>EVT_05 - 披露密度异常因子</w:t>
      </w:r>
    </w:p>
    <w:p>
      <w:r>
        <w:t>TEC_04 - 波动收敛因子</w:t>
      </w:r>
    </w:p>
    <w:p>
      <w:r>
        <w:t>MIC_01 - 日内资金路径一致性因子</w:t>
      </w:r>
    </w:p>
    <w:p>
      <w:r>
        <w:t>MIC_02 - 板块同步交易强度因子</w:t>
      </w:r>
    </w:p>
    <w:p>
      <w:r>
        <w:t>FUN_02 - 现金流质量因子</w:t>
      </w:r>
    </w:p>
    <w:p>
      <w:r>
        <w:t>FUN_03 - 资产负债安全因子</w:t>
      </w:r>
    </w:p>
    <w:p>
      <w:r>
        <w:t>SOC_01 - 注意力扩散冲击因子</w:t>
      </w:r>
    </w:p>
    <w:p>
      <w:r>
        <w:t>SOC_02 - 情绪分歧因子</w:t>
      </w:r>
    </w:p>
    <w:p>
      <w:r>
        <w:t>SOC_03 - 拥挤预警因子</w:t>
      </w:r>
    </w:p>
    <w:p>
      <w:pPr>
        <w:pStyle w:val="Heading1"/>
      </w:pPr>
      <w:r>
        <w:t>6. 因子验证框架</w:t>
      </w:r>
    </w:p>
    <w:p>
      <w:r>
        <w:t>定义正确性检查：确认没有未来函数、时间错配、口径漂移。</w:t>
      </w:r>
    </w:p>
    <w:p>
      <w:r>
        <w:t>覆盖率与缺失检查：确认因子不是被少量样本或极端值支配。</w:t>
      </w:r>
    </w:p>
    <w:p>
      <w:r>
        <w:t>排序能力验证：IC、RankIC、分层收益、命中率。</w:t>
      </w:r>
    </w:p>
    <w:p>
      <w:r>
        <w:t>样本外验证：训练 / 验证 / 测试切分，以及 Walk-forward。</w:t>
      </w:r>
    </w:p>
    <w:p>
      <w:r>
        <w:t>市场状态分层：强趋势、震荡、退潮、高波动、低波动环境分别验证。</w:t>
      </w:r>
    </w:p>
    <w:p>
      <w:r>
        <w:t>成本后验证：加入滑点、换手、T+1、涨跌停限制、成交额过滤。</w:t>
      </w:r>
    </w:p>
    <w:p>
      <w:r>
        <w:t>组合增量验证：确认其对现有因子组合有增量，而不是重复暴露。</w:t>
      </w:r>
    </w:p>
    <w:p>
      <w:pPr>
        <w:pStyle w:val="Heading1"/>
      </w:pPr>
      <w:r>
        <w:t>7. 因子版本管理建议</w:t>
      </w:r>
    </w:p>
    <w:p>
      <w:r>
        <w:t>建议为每个因子至少维护以下版本字段：factor_code、definition_version、data_version、extract_version、validation_version、status、owner、last_review_date。</w:t>
      </w:r>
    </w:p>
    <w:p>
      <w:pPr>
        <w:pStyle w:val="Heading1"/>
      </w:pPr>
      <w:r>
        <w:t>8. 文档使用建议</w:t>
      </w:r>
    </w:p>
    <w:p>
      <w:r>
        <w:t>本说明书可作为 PRD 的配套技术字典、因子数据库建表依据、因子实验 notebook / pipeline 的字段规范、Codex 分批开发任务拆解输入。</w:t>
      </w:r>
    </w:p>
    <w:p>
      <w:r>
        <w:t>建议下一步继续生成两份配套文档：《因子验证与回测规范说明书》和《第一阶段因子开发任务书》。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sz w:val="18"/>
      </w:rPr>
      <w:t>A 股因子字典 / 因子目录说明书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