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Collaborative relational time without a global clock: Reconstruction, partial gluing, and gauge-invariant calibration structure in finite event networks</w:t>
      </w:r>
    </w:p>
    <w:p>
      <w:pPr>
        <w:spacing w:after="40"/>
        <w:jc w:val="center"/>
      </w:pPr>
      <w:r>
        <w:rPr>
          <w:rFonts w:ascii="Times New Roman" w:hAnsi="Times New Roman" w:eastAsia="Times New Roman"/>
          <w:b w:val="0"/>
          <w:i w:val="0"/>
          <w:color w:val="000000"/>
          <w:sz w:val="23"/>
        </w:rPr>
        <w:t>Mariano Boj Viudes</w:t>
      </w:r>
    </w:p>
    <w:p>
      <w:pPr>
        <w:spacing w:after="20"/>
        <w:jc w:val="center"/>
      </w:pPr>
      <w:r>
        <w:rPr>
          <w:rFonts w:ascii="Times New Roman" w:hAnsi="Times New Roman" w:eastAsia="Times New Roman"/>
          <w:b w:val="0"/>
          <w:i/>
          <w:color w:val="000000"/>
          <w:sz w:val="21"/>
        </w:rPr>
        <w:t>Independent Researcher, Villanueva del Pardillo, Spain</w:t>
      </w:r>
    </w:p>
    <w:p>
      <w:pPr>
        <w:spacing w:after="200"/>
        <w:jc w:val="center"/>
      </w:pPr>
      <w:r>
        <w:rPr>
          <w:rFonts w:ascii="Times New Roman" w:hAnsi="Times New Roman" w:eastAsia="Times New Roman"/>
          <w:b w:val="0"/>
          <w:i w:val="0"/>
          <w:color w:val="000000"/>
          <w:sz w:val="19"/>
        </w:rPr>
        <w:t>ORCID: 0009-0003-5544-0273</w:t>
      </w:r>
    </w:p>
    <w:p>
      <w:pPr>
        <w:jc w:val="both"/>
      </w:pPr>
      <w:r>
        <w:t>Abstract. We develop a finite relational theory of temporal organization without assuming a primitive global scalar clock. Building on earlier serialization-gauge results, we first distinguish regional informational sufficiency from trajectory-dependent causal domains. Conditional on a supplied collective ordering/calibration structure, finite validation shows that a global scalar coordinate and total serialization need not be primitive; separate local-clock and calibration constructions then reconstruct collective chronology across exact, dynamically changing, mixed-record, and approximate-closure layers. We next define collaborative complexity as the minimum number of local views needed to determine a target temporal relation. Local token/ORD microdynamics generate nontrivial collaborative complexity without a global target oracle, and a one-shot 288-case synthetic holdout supports finite robustness under sparse networks, shortcuts, connected token loss, and richer routing rules. Historical precedence is then separated from mutable active coordination; ORD and affine-CAL data obey distinct gluing criteria, and finite tests separate local relational coherence from conditioning of a chosen global affine reduction. In the positive CAL scale sector, relative calibration defines a gauge-covariant one-cochain with gauge-invariant curl and exact/coexact/harmonic decomposition. Projection away from exact directions yields gauge-invariant nonintegrable content for a fixed cochain inner product. Given supplied provenance and a declared density convention, one obtains a gauge-invariant current assignment and exact discrete balance law. The results are finite and structural and do not establish universal temporal emergence, continuum spacetime, Lorentz symmetry, gravity, physical curvature, or a Noether charge.</w:t>
      </w:r>
    </w:p>
    <w:p>
      <w:pPr>
        <w:pStyle w:val="Heading1"/>
        <w:keepNext/>
        <w:keepLines/>
        <w:jc w:val="center"/>
      </w:pPr>
      <w:r>
        <w:rPr>
          <w:rFonts w:ascii="Times New Roman" w:hAnsi="Times New Roman" w:eastAsia="Times New Roman"/>
          <w:b/>
          <w:i w:val="0"/>
          <w:color w:val="000000"/>
          <w:sz w:val="22"/>
        </w:rPr>
        <w:t>I. INTRODUCTION</w:t>
      </w:r>
    </w:p>
    <w:p>
      <w:r>
        <w:rPr>
          <w:rFonts w:ascii="Times New Roman" w:hAnsi="Times New Roman"/>
          <w:sz w:val="22"/>
        </w:rPr>
        <w:t>The predecessor article asked when different serializations of a finite event process are gauge-equivalent and when conditioned hazards obstruct that equivalence, as established in Ref. 13. The present article takes the next question rather than repeating the first one: after serialization has ceased to be the central representation problem, what temporal organization can be built from local event relations themselves, and which parts of that organization require genuinely joint information? We work entirely in finite relational models and do not assume a primitive global scalar clock.</w:t>
      </w:r>
    </w:p>
    <w:p>
      <w:pPr>
        <w:jc w:val="both"/>
      </w:pPr>
      <w:r>
        <w:t>The separation between event ordering and clock representation has antecedents in distributed event ordering (Ref. 1), while relational and clock-free formulations motivate complementary questions about temporal description (Refs. 2 and 3). Finite event partial orders are also mathematically adjacent to causal-set constructions (Ref. 14), but no causal-set continuum approximation or spacetime interpretation is assumed here. The present construction is narrower: it concerns finite relational event systems, explicit reconstructibility, and falsification-oriented finite validation rather than a universal ontology of time.</w:t>
      </w:r>
    </w:p>
    <w:p>
      <w:pPr>
        <w:widowControl/>
        <w:jc w:val="both"/>
      </w:pPr>
      <w:r>
        <w:t>This continuation is deliberately nonretroactive. The predecessor separated event-poset structure, compatible serializations, conditional event kernels, observable quotients, and conditioned hazards; it did not prove that physical time is globally redundant. The present article treats those earlier results as fixed inputs and does not use later constructions to revise earlier claims, failed paths, thresholds, or equivalence notions.</w:t>
      </w:r>
    </w:p>
    <w:p>
      <w:pPr>
        <w:widowControl/>
        <w:jc w:val="both"/>
      </w:pPr>
      <w:r>
        <w:t>The first successor question is regional and informational rather than collaborative. Operator support, regional sufficiency for a declared channel or target, accessibility of that regional information to an arbitration rule, and a trajectory-dependent causal domain are distinct notions. The regional analysis establishes informational sufficiency/obstruction over the declared admissible configuration family; it does not claim that the witness configurations are dynamically reachable from one common origin, nor does it identify an informationally sufficient region with a full causal domain.</w:t>
      </w:r>
    </w:p>
    <w:p>
      <w:r>
        <w:t>The second question separates representation from construction. Conditional on an already supplied collective temporal structure, a finite validation shows that a scalar global coordinate and total serialization can be removed as primitive representational inputs within the declared domain. This statement is intentionally conditional: it does not derive the collective structure from local clocks. A subsequent staged reconstruction program addresses that missing step by building chronology from local clocks and calibrations through exact factorized, dynamically changing, correlated-domain, mixed-record, and controlled approximate-closure layers.</w:t>
      </w:r>
    </w:p>
    <w:p>
      <w:r>
        <w:t>Only after those two steps do we ask the stronger collaborative question. For a declared family of finite histories, a target temporal relation can require several local participant views for reconstruction even though no individual view determines it. Bounded local token/ORD microdynamics can generate such history families without reading a global target variable or consulting a scalar clock. In this precise sense, overlapping dependencies can support nontrivial collaborative temporal information. The phrase “collaborative time” in this paper refers to that operational property; it is not an assertion that physical time itself has been ontologically derived.</w:t>
      </w:r>
    </w:p>
    <w:p>
      <w:pPr>
        <w:widowControl/>
        <w:jc w:val="both"/>
      </w:pPr>
      <w:r>
        <w:rPr>
          <w:rFonts w:ascii="Times New Roman" w:hAnsi="Times New Roman" w:eastAsia="Times New Roman"/>
          <w:color w:val="000000"/>
          <w:sz w:val="22"/>
        </w:rPr>
        <w:t>The remaining theory is built downstream of this collaborative layer. Historical precedence is separated from mutable active coordination; active coordination patches can split and re-form without historical memory acting as a hidden synchronization channel; local charts form temporal atlases whose ORD and CAL data obey different gluing criteria; finite-scale tests separate local relational coherence from the conditioning of a single scalar coordinate; and matched-connectivity controls show that ORD, CAL, and CORR relations cannot be reduced to bare graph connectivity. Only after those steps do temporal domains become a useful interaction-level concept rather than the starting ontology.</w:t>
      </w:r>
    </w:p>
    <w:p>
      <w:pPr>
        <w:widowControl/>
        <w:jc w:val="both"/>
      </w:pPr>
      <w:r>
        <w:t>A further layer concerns integrability and gauge. Global affine CAL scalarization is treated as an optional reduction, distinct from an order-preserving serialization of an ORD partial order. When affine calibrations integrate, one common affine representation is available; when they do not, partial precedence, local calibration, holonomy, harmonic periods, and provenance-conditioned balance may still be well defined. In the positive CAL scale sector this leads to a gauge-covariant edge cochain, an exact/coexact/harmonic decomposition, a no-go for gauge-dependent raw divergence, and a provenance-conditioned finite balance law for gauge-invariant nonintegrable calibration content.</w:t>
      </w:r>
    </w:p>
    <w:p>
      <w:pPr>
        <w:jc w:val="both"/>
      </w:pPr>
      <w:r>
        <w:t>Exact finite statements and computational validation studies are kept distinct throughout. Predeclared synthetic holdouts test robustness of declared constructions, while semantic consistency checks delimit interpretation; neither is treated as experimental evidence about nature. Sec. II separates regional informational locality, conditional global-coordinate redundancy, reconstruction from local clocks/calibrations, and typed interfaces; Sec. III establishes collaborative reconstructibility and its external robustness test; Secs. IV–VII develop dynamic coordination, atlases, scalar deconditioning, and typed partial gluing; Secs. VIII–XI develop the gauge/Hodge and provenance-balance structure; Sec. XII summarizes evidential status and reproducibility; and Secs. XIII–XIV give interpretation and conclusions. Machine-oriented provenance and negative-path records are retained in Appendix B and in the reproducibility archive rather than used to drive the scientific narrative.</w:t>
      </w:r>
    </w:p>
    <w:p>
      <w:pPr>
        <w:pStyle w:val="Heading1"/>
        <w:keepNext/>
        <w:keepLines/>
        <w:jc w:val="center"/>
      </w:pPr>
      <w:r>
        <w:t>II. FROM REGIONAL INFORMATION TO COLLECTIVE TEMPORAL STRUCTURE</w:t>
      </w:r>
    </w:p>
    <w:p>
      <w:pPr>
        <w:pStyle w:val="Heading2"/>
        <w:keepNext/>
        <w:keepLines/>
        <w:jc w:val="left"/>
      </w:pPr>
      <w:r>
        <w:t>A. Relation to the predecessor and nonretroactivity</w:t>
      </w:r>
    </w:p>
    <w:p>
      <w:pPr>
        <w:widowControl/>
        <w:jc w:val="both"/>
      </w:pPr>
      <w:r>
        <w:t>The predecessor research line is not reinterpreted here. Successor constructions may inherit its fixed mathematical objects, validated finite results, and stated limitations, but they may not retrospectively revise predecessor claims, failed paths, thresholds, or equivalence semantics. This dependency rule is part of the reproducibility protocol rather than a new temporal theorem.</w:t>
      </w:r>
    </w:p>
    <w:p>
      <w:pPr>
        <w:widowControl/>
        <w:jc w:val="both"/>
      </w:pPr>
      <w:r>
        <w:t>This distinction is substantive. The predecessor studies serialization equivalence and obstruction for supplied event dynamics; the present article asks what finite collective temporal structure can be reconstructed and generated when local event relations and declared local views are operative inputs. Removing a primitive global scalar clock from the successor ontology is therefore a modeling choice tested downstream, not a retroactive claim about the physical content of the predecessor models.</w:t>
      </w:r>
    </w:p>
    <w:p>
      <w:pPr>
        <w:pStyle w:val="Heading2"/>
        <w:keepNext/>
        <w:keepLines/>
        <w:jc w:val="left"/>
      </w:pPr>
      <w:r>
        <w:t>B. Regional informational locality and the reachability boundary</w:t>
      </w:r>
    </w:p>
    <w:p>
      <w:pPr>
        <w:widowControl/>
        <w:jc w:val="both"/>
      </w:pPr>
      <w:r>
        <w:t>The regional layer distinguishes four questions that are easily conflated: where an operation is supported, which region is informationally sufficient for a declared channel or target, whether that information is accessible to the rule that must arbitrate an update, and which events belong to a trajectory-dependent causal domain. The first three can be posed on a declared finite configuration family without already solving the fourth.</w:t>
      </w:r>
    </w:p>
    <w:p>
      <w:pPr>
        <w:widowControl/>
        <w:jc w:val="both"/>
      </w:pPr>
      <w:r>
        <w:t>Accordingly, the regional obstruction used here is an informational statement on admissible configurations. It does not assert that two witness configurations are reachable from a common dynamical origin. “Regional locality” below therefore means channel-relative informational sufficiency/accessibility, not a proof of a trajectory-dependent causal domain. This boundary prevents an information-theoretic statement from being silently promoted to a dynamical-causality claim.</w:t>
      </w:r>
    </w:p>
    <w:p>
      <w:pPr>
        <w:pStyle w:val="Heading2"/>
      </w:pPr>
      <w:r>
        <w:t>C. Conditional redundancy of a global scalar coordinate</w:t>
      </w:r>
    </w:p>
    <w:p>
      <w:r>
        <w:t>A separate finite validation asks a conditional representation question. Suppose the collective temporal structure needed for arbitration—local temporal data together with the declared ordering/compatibility/calibration relations—is already supplied. Within the declared finite domain, the global scalar coordinate and total serialization are then not required as primitive state variables: the relevant scheduler outputs can be reconstructed from the supplied collective structure. The validation comprised 32 cases, split evenly between training and holdout, and satisfied all 16 predeclared criteria with exact replay.</w:t>
      </w:r>
    </w:p>
    <w:p>
      <w:r>
        <w:t>The condition is essential. This result does not explain where the collective structure comes from, and it is not a proof that global physical time is absent. Its role is narrower: once the relational structure is given, one global scalar coordinate is a representation rather than an additional constitutive object. The reconstruction problem addressed next is therefore logically prior to any claim of collaborative generation.</w:t>
      </w:r>
    </w:p>
    <w:p>
      <w:pPr>
        <w:pStyle w:val="Heading2"/>
      </w:pPr>
      <w:r>
        <w:t>D. Reconstruction from local clocks and calibrations</w:t>
      </w:r>
    </w:p>
    <w:p>
      <w:r>
        <w:t>The next stage removes that supplied-structure shortcut. Reconstruction was developed incrementally so that exact factorized cases, dynamic creation and invalidation of certified interfaces, correlated-domain clocks, mixed instrument records, rollback/ownership semantics, and approximate closure were tested separately rather than folded into one emergence claim. The construction uses local clock and calibration data plus explicitly declared interfaces; it does not assume an independently available global scalar time variable.</w:t>
      </w:r>
    </w:p>
    <w:p>
      <w:r>
        <w:t>Finite validation suites covered 60/60 exact factorized cases, 80/80 dynamic-interface cases, and 112/112 correlated-domain-clock cases; the approximate-closure/effective-macrotime layer later passed 240/240 declared cases. These stages test different objects and should not be read as one universal theorem. In particular, the interfaces and contact substrate are supplied by the model: the program does not derive autonomous discovery of arbitrary remote interactions, a continuum, or a universal many-body clock.</w:t>
      </w:r>
    </w:p>
    <w:p>
      <w:r>
        <w:t>This staged reconstruction is the bridge between “a global coordinate is dispensable once collective structure is known” and the stronger question “can collective temporal information itself arise from bounded local dependencies?” The latter is the collaborative problem of Sec. III.</w:t>
      </w:r>
    </w:p>
    <w:p>
      <w:pPr>
        <w:pStyle w:val="Heading2"/>
      </w:pPr>
      <w:r>
        <w:t>E. Typed interface composition</w:t>
      </w:r>
    </w:p>
    <w:p>
      <w:r>
        <w:t>A finite typed interface-composition study then checked executable composition of the adapters connecting the local-clock, dynamic-domain, mixed-record, and approximate-closure layers. All 156 declared cases satisfied the composition criteria; the two independent evaluation paths agreed in 156/156 cases, and all 48 multipath concordance checks passed. Its role is implementation consistency across interfaces used later, not a theorem of time.</w:t>
      </w:r>
    </w:p>
    <w:p>
      <w:r>
        <w:t>An earlier interface-composition attempt was invalidated by design and oracle conflicts before it could support a scientific claim. That negative path is retained in Appendix B; none of its synthetic mutations is used as a physical counterexample or as evidence for the successor theory.</w:t>
      </w:r>
    </w:p>
    <w:p>
      <w:pPr>
        <w:pStyle w:val="Heading2"/>
        <w:keepNext/>
        <w:keepLines/>
        <w:jc w:val="left"/>
      </w:pPr>
      <w:r>
        <w:t>F. Operational primitives and relation typing</w:t>
      </w:r>
    </w:p>
    <w:p>
      <w:pPr>
        <w:widowControl/>
        <w:jc w:val="both"/>
      </w:pPr>
      <w:r>
        <w:rPr>
          <w:rFonts w:ascii="Times New Roman" w:hAnsi="Times New Roman" w:eastAsia="Times New Roman"/>
          <w:color w:val="000000"/>
          <w:sz w:val="22"/>
        </w:rPr>
        <w:t>The successor theory uses a deliberately sparse operational ontology. Events and local precedence are primitive inputs. Local read/write or provenance information is admitted only when explicitly supplied by the micro-event law, and global closure, connected components, scheduler variables, aggregate statistics, and adjudication objects remain analyst-level objects rather than microdynamic oracles.</w:t>
      </w:r>
    </w:p>
    <w:p>
      <w:pPr>
        <w:pStyle w:val="Equation"/>
        <w:keepLines/>
        <w:widowControl/>
        <w:spacing w:before="100" w:after="100"/>
        <w:jc w:val="center"/>
      </w:pPr>
      <w:r>
        <w:rPr>
          <w:rFonts w:ascii="Times New Roman" w:hAnsi="Times New Roman" w:eastAsia="Times New Roman"/>
          <w:color w:val="000000"/>
          <w:sz w:val="22"/>
        </w:rPr>
        <w:t xml:space="preserve">Optional local clock coordinates </w:t>
      </w:r>
      <m:oMath>
        <m:sSub>
          <m:e>
            <m:r>
              <m:t>τ</m:t>
            </m:r>
          </m:e>
          <m:sub>
            <m:r>
              <m:t>i</m:t>
            </m:r>
          </m:sub>
        </m:sSub>
        <m:r>
          <m:rPr>
            <m:sty m:val="p"/>
          </m:rPr>
          <m:t>:</m:t>
        </m:r>
        <m:sSub>
          <m:e>
            <m:r>
              <m:t>E</m:t>
            </m:r>
          </m:e>
          <m:sub>
            <m:r>
              <m:t>i</m:t>
            </m:r>
          </m:sub>
        </m:sSub>
        <m:r>
          <m:rPr>
            <m:sty m:val="p"/>
          </m:rPr>
          <m:t>→</m:t>
        </m:r>
        <m:sSub>
          <m:e>
            <m:r>
              <m:t>Λ</m:t>
            </m:r>
          </m:e>
          <m:sub>
            <m:r>
              <m:t>i</m:t>
            </m:r>
          </m:sub>
        </m:sSub>
        <m:r>
          <m:rPr>
            <m:sty m:val="p"/>
          </m:rPr>
          <m:t>⊂</m:t>
        </m:r>
        <m:r>
          <m:rPr>
            <m:sty m:val="p"/>
            <m:scr m:val="double-struck"/>
          </m:rPr>
          <m:t>R</m:t>
        </m:r>
      </m:oMath>
      <w:r>
        <w:rPr>
          <w:rFonts w:ascii="Times New Roman" w:hAnsi="Times New Roman" w:eastAsia="Times New Roman"/>
          <w:color w:val="000000"/>
          <w:sz w:val="22"/>
        </w:rPr>
        <w:t xml:space="preserve"> may be used as representations. Their numerical values are not taken as primitive observables. Membership of Λᵢ in ℝ carries no assumption of density, connectedness, completeness, or continuum structure. Strictly increasing reparametrizations are allowed when only order matters; positive affine gauges are used only when affine calibration is part of the model.</w:t>
      </w:r>
    </w:p>
    <w:p>
      <w:pPr>
        <w:widowControl/>
        <w:jc w:val="both"/>
      </w:pPr>
      <w:r>
        <w:rPr>
          <w:rFonts w:ascii="Times New Roman" w:hAnsi="Times New Roman" w:eastAsia="Times New Roman"/>
          <w:color w:val="000000"/>
          <w:sz w:val="22"/>
        </w:rPr>
        <w:t>Locality constraints are structural rather than geometric: support, ports, and fanout are bounded independently of system size, spectator systems must not alter a local rule, and the construction must be equivariant under relabeling. No spatial coordinates, embedding, metric, dimension, or preferred geometry is introduced at this stage.</w:t>
      </w:r>
    </w:p>
    <w:p>
      <w:pPr>
        <w:widowControl/>
        <w:jc w:val="both"/>
      </w:pPr>
      <w:r>
        <w:rPr>
          <w:rFonts w:ascii="Times New Roman" w:hAnsi="Times New Roman" w:eastAsia="Times New Roman"/>
          <w:color w:val="000000"/>
          <w:sz w:val="22"/>
        </w:rPr>
        <w:t>The three principal relation types are kept noninterchangeable:</w:t>
      </w:r>
    </w:p>
    <w:p>
      <w:pPr>
        <w:widowControl/>
        <w:ind w:left="259" w:hanging="202"/>
        <w:jc w:val="left"/>
      </w:pPr>
      <w:r>
        <w:rPr>
          <w:rFonts w:ascii="Times New Roman" w:hAnsi="Times New Roman" w:eastAsia="Times New Roman"/>
          <w:color w:val="000000"/>
          <w:sz w:val="22"/>
        </w:rPr>
        <w:t>• ORD: directed event precedence. Only ORD contributes to the collective partial order.</w:t>
      </w:r>
    </w:p>
    <w:p>
      <w:pPr>
        <w:widowControl/>
        <w:ind w:left="259" w:hanging="202"/>
        <w:jc w:val="left"/>
      </w:pPr>
      <w:r>
        <w:rPr>
          <w:rFonts w:ascii="Times New Roman" w:hAnsi="Times New Roman" w:eastAsia="Times New Roman"/>
          <w:color w:val="000000"/>
          <w:sz w:val="22"/>
        </w:rPr>
        <w:t>• CAL: orientation-preserving affine calibration between local clock representations. CAL compares representations but does not by itself create event precedence.</w:t>
      </w:r>
    </w:p>
    <w:p>
      <w:pPr>
        <w:widowControl/>
        <w:ind w:left="259" w:hanging="202"/>
        <w:jc w:val="left"/>
      </w:pPr>
      <w:r>
        <w:rPr>
          <w:rFonts w:ascii="Times New Roman" w:hAnsi="Times New Roman" w:eastAsia="Times New Roman"/>
          <w:color w:val="000000"/>
          <w:sz w:val="22"/>
        </w:rPr>
        <w:t>• CORR: a declared correlation witness. CORR alone creates neither precedence nor affine calibration.</w:t>
      </w:r>
    </w:p>
    <w:p>
      <w:pPr>
        <w:widowControl/>
        <w:jc w:val="both"/>
      </w:pPr>
      <w:r>
        <w:rPr>
          <w:rFonts w:ascii="Times New Roman" w:hAnsi="Times New Roman" w:eastAsia="Times New Roman"/>
          <w:color w:val="000000"/>
          <w:sz w:val="22"/>
        </w:rPr>
        <w:t>The resulting hierarchy is conceptual rather than a claim of inevitable dynamics:</w:t>
      </w:r>
      <w:r>
        <w:rPr>
          <w:rFonts w:ascii="Times New Roman" w:hAnsi="Times New Roman" w:eastAsia="Times New Roman"/>
          <w:color w:val="000000"/>
          <w:sz w:val="22"/>
        </w:rPr>
        <w:t xml:space="preserve"> Figure 1 summarizes the resulting successor architecture.</w:t>
      </w:r>
    </w:p>
    <w:p>
      <w:pPr>
        <w:pStyle w:val="Equation"/>
        <w:keepLines/>
        <w:widowControl/>
        <w:spacing w:before="100" w:after="100"/>
        <w:jc w:val="center"/>
      </w:pPr>
      <w:r>
        <w:t>regional information  →  local-clock reconstruction  →  collaborative reconstructibility  →  active coordination  →  temporal atlas  →  global scalarization only when integrability permits it.    (1)</w:t>
      </w:r>
    </w:p>
    <w:p>
      <w:pPr>
        <w:keepNext/>
        <w:keepLines/>
        <w:jc w:val="center"/>
      </w:pPr>
      <w:r>
        <w:drawing>
          <wp:inline xmlns:a="http://schemas.openxmlformats.org/drawingml/2006/main" xmlns:pic="http://schemas.openxmlformats.org/drawingml/2006/picture">
            <wp:extent cx="5989320" cy="2059762"/>
            <wp:docPr id="3" name="Picture 3" title="Logical architecture from regional information to collaborative temporal organization" descr="Flow diagram from predecessor serialization results through regional informational locality, conditional global-coordinate redundancy, local-clock reconstruction, collaborative reconstructibility, active coordination, temporal-atlas gluing, optional scalarization, CAL gauge/Hodge structure, and provenance balance."/>
            <wp:cNvGraphicFramePr>
              <a:graphicFrameLocks noChangeAspect="1"/>
            </wp:cNvGraphicFramePr>
            <a:graphic>
              <a:graphicData uri="http://schemas.openxmlformats.org/drawingml/2006/picture">
                <pic:pic>
                  <pic:nvPicPr>
                    <pic:cNvPr id="0" name="figure1_successor_architecture_v14_2.png"/>
                    <pic:cNvPicPr/>
                  </pic:nvPicPr>
                  <pic:blipFill>
                    <a:blip r:embed="rId13"/>
                    <a:stretch>
                      <a:fillRect/>
                    </a:stretch>
                  </pic:blipFill>
                  <pic:spPr>
                    <a:xfrm>
                      <a:off x="0" y="0"/>
                      <a:ext cx="5989320" cy="2059762"/>
                    </a:xfrm>
                    <a:prstGeom prst="rect"/>
                  </pic:spPr>
                </pic:pic>
              </a:graphicData>
            </a:graphic>
          </wp:inline>
        </w:drawing>
      </w:r>
    </w:p>
    <w:p>
      <w:pPr>
        <w:pStyle w:val="CaptionText"/>
        <w:keepNext w:val="0"/>
        <w:keepLines/>
        <w:spacing w:before="80" w:after="140"/>
        <w:jc w:val="left"/>
      </w:pPr>
      <w:r>
        <w:t>FIG. 1. Logical architecture of the finite successor theory. Regional informational locality precedes the conditional representation result; local-clock reconstruction then precedes the stronger collaborative layer. Temporal domains enter only after these earlier stages. The arrows denote logical dependency, not ontological reduction.</w:t>
      </w:r>
    </w:p>
    <w:p>
      <w:pPr>
        <w:pStyle w:val="Heading1"/>
        <w:keepNext/>
        <w:keepLines/>
        <w:jc w:val="center"/>
      </w:pPr>
      <w:r>
        <w:rPr>
          <w:rFonts w:ascii="Times New Roman" w:hAnsi="Times New Roman" w:eastAsia="Times New Roman"/>
          <w:b/>
          <w:i w:val="0"/>
          <w:color w:val="000000"/>
          <w:sz w:val="22"/>
        </w:rPr>
        <w:t>III. COLLABORATIVE RECONSTRUCTION AND GENERATION OF TEMPORAL INFORMATION</w:t>
      </w:r>
    </w:p>
    <w:p>
      <w:pPr>
        <w:pStyle w:val="Heading2"/>
        <w:keepNext/>
        <w:keepLines/>
        <w:jc w:val="left"/>
      </w:pPr>
      <w:r>
        <w:rPr>
          <w:rFonts w:ascii="Times New Roman" w:hAnsi="Times New Roman" w:eastAsia="Times New Roman"/>
          <w:b/>
          <w:i w:val="0"/>
          <w:color w:val="000000"/>
          <w:sz w:val="21"/>
        </w:rPr>
        <w:t>A. Reconstructive collaboration and collaborative complexity</w:t>
      </w:r>
    </w:p>
    <w:p>
      <w:pPr>
        <w:widowControl/>
        <w:jc w:val="both"/>
      </w:pPr>
      <w:r>
        <w:t>Let Ω be a finite predeclared family of admissible histories and Q a target temporal relation. Participant i has only its declared local view Vᵢ. For a set A of participants, write V(A) for the joined information in those local views. We say that A reconstructs Q over Ω when Q is a function of V(A) on that history family. The collaborative complexity  is the smallest number of participant views with that property. This definition is epistemic/informational: it measures joint reconstructibility and is not identified with causal influence.</w:t>
      </w:r>
    </w:p>
    <w:p>
      <w:pPr>
        <w:keepNext w:val="0"/>
        <w:keepLines/>
        <w:jc w:val="center"/>
      </w:pPr>
      <m:oMath>
        <m:sSub>
          <m:e>
            <m:r>
              <m:t>κ</m:t>
            </m:r>
          </m:e>
          <m:sub>
            <m:r>
              <m:t>Ω</m:t>
            </m:r>
          </m:sub>
        </m:sSub>
        <m:d>
          <m:dPr>
            <m:begChr m:val="("/>
            <m:endChr m:val=")"/>
            <m:sepChr m:val=""/>
            <m:grow/>
          </m:dPr>
          <m:e>
            <m:r>
              <m:t>Q</m:t>
            </m:r>
          </m:e>
        </m:d>
        <m:r>
          <m:rPr>
            <m:sty m:val="p"/>
          </m:rPr>
          <m:t>=</m:t>
        </m:r>
        <m:r>
          <m:rPr>
            <m:sty m:val="p"/>
          </m:rPr>
          <m:t>min</m:t>
        </m:r>
        <m:r>
          <m:rPr>
            <m:sty m:val="p"/>
          </m:rPr>
          <m:t>{</m:t>
        </m:r>
        <m:r>
          <m:t> </m:t>
        </m:r>
        <m:d>
          <m:dPr>
            <m:begChr m:val="|"/>
            <m:endChr m:val="|"/>
            <m:sepChr m:val=""/>
            <m:grow/>
          </m:dPr>
          <m:e>
            <m:r>
              <m:t>A</m:t>
            </m:r>
          </m:e>
        </m:d>
        <m:r>
          <m:rPr>
            <m:sty m:val="p"/>
          </m:rPr>
          <m:t>:</m:t>
        </m:r>
        <m:r>
          <m:t> </m:t>
        </m:r>
        <m:r>
          <m:t>Q</m:t>
        </m:r>
        <m:r>
          <m:rPr>
            <m:nor/>
            <m:sty m:val="p"/>
          </m:rPr>
          <m:t> is determined by </m:t>
        </m:r>
        <m:r>
          <m:t>V</m:t>
        </m:r>
        <m:d>
          <m:dPr>
            <m:begChr m:val="("/>
            <m:endChr m:val=")"/>
            <m:sepChr m:val=""/>
            <m:grow/>
          </m:dPr>
          <m:e>
            <m:r>
              <m:t>A</m:t>
            </m:r>
          </m:e>
        </m:d>
        <m:r>
          <m:rPr>
            <m:nor/>
            <m:sty m:val="p"/>
          </m:rPr>
          <m:t> on </m:t>
        </m:r>
        <m:r>
          <m:t>Ω</m:t>
        </m:r>
        <m:r>
          <m:t> </m:t>
        </m:r>
        <m:r>
          <m:rPr>
            <m:sty m:val="p"/>
          </m:rPr>
          <m:t>}</m:t>
        </m:r>
        <m:r>
          <m:rPr>
            <m:sty m:val="p"/>
          </m:rPr>
          <m:t>.</m:t>
        </m:r>
      </m:oMath>
      <w:r>
        <w:rPr>
          <w:rFonts w:ascii="Times New Roman" w:hAnsi="Times New Roman" w:eastAsia="Times New Roman"/>
          <w:color w:val="000000"/>
          <w:sz w:val="22"/>
        </w:rPr>
        <w:t xml:space="preserve">    (2)</w:t>
      </w:r>
    </w:p>
    <w:p>
      <w:pPr>
        <w:widowControl/>
        <w:jc w:val="both"/>
      </w:pPr>
      <w:r>
        <w:t>Thus κ=1 means that at least one declared local view already suffices, whereas κ≥2 certifies a genuinely joint reconstruction requirement relative to Ω and the chosen view map. Larger κ means that a larger smallest set of views is jointly necessary; it does not by itself identify causal responsibility or individual variable essentiality. The cardinality minimization is used here as a finite determining-set functional; the claimed novelty lies in its role within the temporal construction, its explicit local generation, and its prospective robustness tests rather than in the abstract minimization problem alone.</w:t>
      </w:r>
    </w:p>
    <w:p>
      <w:pPr>
        <w:pStyle w:val="Heading2"/>
        <w:keepNext/>
        <w:keepLines/>
        <w:jc w:val="left"/>
      </w:pPr>
      <w:r>
        <w:rPr>
          <w:rFonts w:ascii="Times New Roman" w:hAnsi="Times New Roman" w:eastAsia="Times New Roman"/>
          <w:b/>
          <w:i w:val="0"/>
          <w:color w:val="000000"/>
          <w:sz w:val="21"/>
        </w:rPr>
        <w:t>B. Local microdynamics without a scalar clock or global target oracle</w:t>
      </w:r>
    </w:p>
    <w:p>
      <w:pPr>
        <w:widowControl/>
        <w:jc w:val="both"/>
      </w:pPr>
      <w:r>
        <w:t>To separate collaborative reconstruction from an analyst who simply computes Q globally, the local constructive protocol uses finite token/ORD microdynamics whose updates use bounded local information, no primitive scalar time coordinate, and no global Q oracle. Within the constructive family tested, the dynamics generate instances with collaborative complexity κ=2,…,8. This is a finite existence result: it shows that nontrivial distributed temporal information can arise in an explicitly local construction without being inserted as a global clock or target variable. It does not assert that the construction is unique, generic in all model classes, or a model of physical time in nature.</w:t>
      </w:r>
    </w:p>
    <w:p>
      <w:pPr>
        <w:pStyle w:val="Heading2"/>
        <w:keepNext/>
        <w:keepLines/>
        <w:jc w:val="left"/>
      </w:pPr>
      <w:r>
        <w:t>C. Exact product-state DAG result</w:t>
      </w:r>
    </w:p>
    <w:p>
      <w:pPr/>
      <w:r>
        <w:t>For the exact identity below we now specialize to the declared DAG protocol, whose admissible participant-state family is a Cartesian product of the declared local state sets. This product-domain assumption is used only for Proposition 1 and is not part of the general definition of κ above.</w:t>
      </w:r>
    </w:p>
    <w:p>
      <w:pPr>
        <w:widowControl/>
        <w:jc w:val="both"/>
      </w:pPr>
      <w:r>
        <w:rPr>
          <w:rFonts w:ascii="Times New Roman" w:hAnsi="Times New Roman" w:eastAsia="Times New Roman"/>
          <w:color w:val="000000"/>
          <w:sz w:val="22"/>
        </w:rPr>
        <w:t xml:space="preserve">For the declared finite DAG protocol with source s and sink t, let </w:t>
      </w:r>
      <m:oMath>
        <m:sSub>
          <m:e>
            <m:r>
              <m:t>Q</m:t>
            </m:r>
          </m:e>
          <m:sub>
            <m:r>
              <m:t>G</m:t>
            </m:r>
          </m:sub>
        </m:sSub>
        <m:r>
          <m:t>∈{</m:t>
        </m:r>
        <m:r>
          <m:rPr>
            <m:nor/>
          </m:rPr>
          <m:t>BEFORE</m:t>
        </m:r>
        <m:r>
          <m:t>,</m:t>
        </m:r>
        <m:r>
          <m:rPr>
            <m:nor/>
          </m:rPr>
          <m:t>INCOMPARABLE</m:t>
        </m:r>
        <m:r>
          <m:t>}</m:t>
        </m:r>
      </m:oMath>
      <w:r>
        <w:rPr>
          <w:rFonts w:ascii="Times New Roman" w:hAnsi="Times New Roman" w:eastAsia="Times New Roman"/>
          <w:color w:val="000000"/>
          <w:sz w:val="22"/>
        </w:rPr>
        <w:t xml:space="preserve">: </w:t>
      </w:r>
      <m:oMath>
        <m:sSub>
          <m:e>
            <m:r>
              <m:t>Q</m:t>
            </m:r>
          </m:e>
          <m:sub>
            <m:r>
              <m:t>G</m:t>
            </m:r>
          </m:sub>
        </m:sSub>
        <m:r>
          <m:rPr>
            <m:sty m:val="p"/>
          </m:rPr>
          <m:t>=</m:t>
        </m:r>
        <m:r>
          <m:rPr>
            <m:nor/>
          </m:rPr>
          <m:t>BEFORE</m:t>
        </m:r>
      </m:oMath>
      <w:r>
        <w:rPr>
          <w:rFonts w:ascii="Times New Roman" w:hAnsi="Times New Roman" w:eastAsia="Times New Roman"/>
          <w:color w:val="000000"/>
          <w:sz w:val="22"/>
        </w:rPr>
        <w:t xml:space="preserve"> iff the '+' participants contain a directed s→t path; otherwise </w:t>
      </w:r>
      <m:oMath>
        <m:sSub>
          <m:e>
            <m:r>
              <m:t>Q</m:t>
            </m:r>
          </m:e>
          <m:sub>
            <m:r>
              <m:t>G</m:t>
            </m:r>
          </m:sub>
        </m:sSub>
        <m:r>
          <m:rPr>
            <m:sty m:val="p"/>
          </m:rPr>
          <m:t>=</m:t>
        </m:r>
        <m:r>
          <m:rPr>
            <m:nor/>
          </m:rPr>
          <m:t>INCOMPARABLE</m:t>
        </m:r>
      </m:oMath>
      <w:r>
        <w:rPr>
          <w:rFonts w:ascii="Times New Roman" w:hAnsi="Times New Roman" w:eastAsia="Times New Roman"/>
          <w:color w:val="000000"/>
          <w:sz w:val="22"/>
        </w:rPr>
        <w:t xml:space="preserve">. Participant i is Q-essential iff flipping only i changes </w:t>
      </w:r>
      <m:oMath>
        <m:sSub>
          <m:e>
            <m:r>
              <m:t>Q</m:t>
            </m:r>
          </m:e>
          <m:sub>
            <m:r>
              <m:t>G</m:t>
            </m:r>
          </m:sub>
        </m:sSub>
      </m:oMath>
      <w:r>
        <w:rPr>
          <w:rFonts w:ascii="Times New Roman" w:hAnsi="Times New Roman" w:eastAsia="Times New Roman"/>
          <w:color w:val="000000"/>
          <w:sz w:val="22"/>
        </w:rPr>
        <w:t xml:space="preserve"> for some admissible setting of the other states.</w:t>
      </w:r>
    </w:p>
    <w:p>
      <w:pPr>
        <w:widowControl/>
        <w:jc w:val="both"/>
      </w:pPr>
      <w:r>
        <w:t>Proposition 1 (collaborative complexity on the declared product-state DAG protocol).</w:t>
      </w:r>
    </w:p>
    <w:p>
      <w:pPr>
        <w:keepNext w:val="0"/>
        <w:keepLines/>
        <w:jc w:val="center"/>
      </w:pPr>
      <m:oMath>
        <m:sSub>
          <m:e>
            <m:r>
              <m:t>κ</m:t>
            </m:r>
          </m:e>
          <m:sub>
            <m:sSub>
              <m:e>
                <m:r>
                  <m:t>Ω</m:t>
                </m:r>
              </m:e>
              <m:sub>
                <m:r>
                  <m:t>G</m:t>
                </m:r>
              </m:sub>
            </m:sSub>
          </m:sub>
        </m:sSub>
        <m:d>
          <m:dPr>
            <m:begChr m:val="("/>
            <m:endChr m:val=")"/>
            <m:sepChr m:val=""/>
            <m:grow/>
          </m:dPr>
          <m:e>
            <m:sSub>
              <m:e>
                <m:r>
                  <m:t>Q</m:t>
                </m:r>
              </m:e>
              <m:sub>
                <m:r>
                  <m:t>G</m:t>
                </m:r>
              </m:sub>
            </m:sSub>
          </m:e>
        </m:d>
        <m:r>
          <m:rPr>
            <m:sty m:val="p"/>
          </m:rPr>
          <m:t>=</m:t>
        </m:r>
        <m:r>
          <m:rPr>
            <m:nor/>
          </m:rPr>
          <m:t xml:space="preserve"># </m:t>
        </m:r>
        <m:r>
          <m:rPr>
            <m:nor/>
          </m:rPr>
          <m:t>Ess</m:t>
        </m:r>
        <m:d>
          <m:dPr>
            <m:begChr m:val="("/>
            <m:endChr m:val=")"/>
            <m:sepChr m:val=""/>
            <m:grow/>
          </m:dPr>
          <m:e>
            <m:sSub>
              <m:e>
                <m:r>
                  <m:t>Q</m:t>
                </m:r>
              </m:e>
              <m:sub>
                <m:r>
                  <m:t>G</m:t>
                </m:r>
              </m:sub>
            </m:sSub>
          </m:e>
        </m:d>
        <m:r>
          <m:rPr>
            <m:sty m:val="p"/>
          </m:rPr>
          <m:t>.</m:t>
        </m:r>
      </m:oMath>
      <w:r>
        <w:rPr>
          <w:rFonts w:ascii="Times New Roman" w:hAnsi="Times New Roman" w:eastAsia="Times New Roman"/>
          <w:color w:val="000000"/>
          <w:sz w:val="22"/>
        </w:rPr>
        <w:t xml:space="preserve">    (3)</w:t>
      </w:r>
    </w:p>
    <w:p>
      <w:pPr>
        <w:jc w:val="both"/>
      </w:pPr>
      <w:r>
        <w:t>Proof. Every Q-essential participant must occur in any reconstructing set: its witness pair agrees on all retained views if that participant is omitted but has different target values. Conversely, let E be the set of Q-essential participants. If two admissible product states agree on E, product structure permits an admissible sequence between them that changes one nonessential coordinate at a time. By nonessentiality, Q is unchanged at each step, so the two endpoint states have the same target value. Hence E determines Q, and minimality follows from the witness argument.</w:t>
      </w:r>
    </w:p>
    <w:p>
      <w:pPr/>
      <w:r>
        <w:t>The product-domain hypothesis is essential to the converse. On a constrained nonproduct history family, absence of single-coordinate flip witnesses need not imply that the target is determined by the individually essential coordinates. Equation (3) is therefore not exported beyond the declared product-state protocol without an additional connectivity/closure assumption.</w:t>
      </w:r>
    </w:p>
    <w:p>
      <w:pPr>
        <w:widowControl/>
        <w:jc w:val="both"/>
      </w:pPr>
      <w:r>
        <w:t>The proposition separates collaboration from simple path counting. A shortcut can bypass otherwise relevant vertices and lower κ; alternative redundant routes can make path members nonessential. The collaborative content is therefore a property of the dependency logic induced over the declared history family, not merely of network size or path length.</w:t>
      </w:r>
    </w:p>
    <w:p>
      <w:pPr>
        <w:pStyle w:val="Heading2"/>
        <w:keepNext/>
        <w:keepLines/>
        <w:jc w:val="left"/>
      </w:pPr>
      <w:r>
        <w:t>D. External robustness holdout</w:t>
      </w:r>
    </w:p>
    <w:p>
      <w:pPr>
        <w:widowControl/>
        <w:jc w:val="both"/>
      </w:pPr>
      <w:r>
        <w:t>The exact construction was followed by a one-shot, externally executed holdout on 288 predeclared synthetic cases. The substantive effect was κ&gt;2 rather than the minimal κ=2 floor that can arise from source/sink structure. All predeclared criteria were satisfied, and an independent reconstruction reproduced the record-level outputs, summary, criterion evaluations, and final verdict. Table I summarizes the family-level outcomes. The claim used here is deliberately limited to finite-ensemble robustness.</w:t>
      </w:r>
    </w:p>
    <w:p>
      <w:pPr>
        <w:pStyle w:val="CaptionText"/>
        <w:keepNext/>
        <w:keepLines/>
        <w:spacing w:before="80" w:after="60"/>
        <w:jc w:val="left"/>
      </w:pPr>
      <w:r>
        <w:t>TABLE I. One-shot external robustness holdout for collaborative reconstructibility. The controls show both positive and negative behavior: direct bypass collapses κ to 2, shortcut stress reduces κ in a subset of cases, and token loss can disconnect the network. The observed result is therefore sensitivity plus robustness, not saturation of a metric that always reports collaboration.</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Caption w:val="TABLE I. Frozen TIME-COLLAB-3H holdout underlying CERT-011."/>
        <w:tblDescription w:val="Holdout outcomes across positive chain, negative bypass, sparse baseline, shortcut stress, token loss, and rich-rule families, emphasizing persistence and designed degradation of collaborative complexity."/>
      </w:tblPr>
      <w:tblGrid>
        <w:gridCol w:w="3293"/>
        <w:gridCol w:w="3293"/>
        <w:gridCol w:w="3293"/>
      </w:tblGrid>
      <w:tr>
        <w:trPr>
          <w:tblHeader w:val="true"/>
          <w:cantSplit/>
          <w:tblHeader w:val="true"/>
          <w:tblHeader w:val="true"/>
        </w:trPr>
        <w:tc>
          <w:tcPr>
            <w:tcW w:type="dxa" w:w="2951"/>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Family</w:t>
            </w:r>
          </w:p>
        </w:tc>
        <w:tc>
          <w:tcPr>
            <w:tcW w:type="dxa" w:w="1036"/>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Cases</w:t>
            </w:r>
          </w:p>
        </w:tc>
        <w:tc>
          <w:tcPr>
            <w:tcW w:type="dxa" w:w="5112"/>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Observed result</w:t>
            </w:r>
          </w:p>
        </w:tc>
      </w:tr>
      <w:tr>
        <w:trPr>
          <w:cantSplit/>
        </w:trPr>
        <w:tc>
          <w:tcPr>
            <w:tcW w:type="dxa" w:w="2951"/>
            <w:vAlign w:val="center"/>
            <w:tcMar>
              <w:top w:w="70" w:type="dxa"/>
              <w:start w:w="95" w:type="dxa"/>
              <w:bottom w:w="70" w:type="dxa"/>
              <w:end w:w="95" w:type="dxa"/>
            </w:tcMar>
          </w:tcPr>
          <w:p>
            <w:r>
              <w:t>Positive chain control</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16</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16/16 with κ=n</w:t>
            </w:r>
          </w:p>
        </w:tc>
      </w:tr>
      <w:tr>
        <w:trPr>
          <w:cantSplit/>
        </w:trPr>
        <w:tc>
          <w:tcPr>
            <w:tcW w:type="dxa" w:w="2951"/>
            <w:vAlign w:val="center"/>
            <w:tcMar>
              <w:top w:w="70" w:type="dxa"/>
              <w:start w:w="95" w:type="dxa"/>
              <w:bottom w:w="70" w:type="dxa"/>
              <w:end w:w="95" w:type="dxa"/>
            </w:tcMar>
          </w:tcPr>
          <w:p>
            <w:r>
              <w:t>Direct-bypass negative control</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16</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16/16 with κ=2</w:t>
            </w:r>
          </w:p>
        </w:tc>
      </w:tr>
      <w:tr>
        <w:trPr>
          <w:cantSplit/>
        </w:trPr>
        <w:tc>
          <w:tcPr>
            <w:tcW w:type="dxa" w:w="2951"/>
            <w:vAlign w:val="center"/>
            <w:tcMar>
              <w:top w:w="70" w:type="dxa"/>
              <w:start w:w="95" w:type="dxa"/>
              <w:bottom w:w="70" w:type="dxa"/>
              <w:end w:w="95" w:type="dxa"/>
            </w:tcMar>
          </w:tcPr>
          <w:p>
            <w:r>
              <w:t>Sparse baseline</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64</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64/64 with κ&gt;2</w:t>
            </w:r>
          </w:p>
        </w:tc>
      </w:tr>
      <w:tr>
        <w:trPr>
          <w:cantSplit/>
        </w:trPr>
        <w:tc>
          <w:tcPr>
            <w:tcW w:type="dxa" w:w="2951"/>
            <w:vAlign w:val="center"/>
            <w:tcMar>
              <w:top w:w="70" w:type="dxa"/>
              <w:start w:w="95" w:type="dxa"/>
              <w:bottom w:w="70" w:type="dxa"/>
              <w:end w:w="95" w:type="dxa"/>
            </w:tcMar>
          </w:tcPr>
          <w:p>
            <w:r>
              <w:t>Shortcut stress</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64</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44/64 with κ&gt;2; 20/64 degraded to κ=2</w:t>
            </w:r>
          </w:p>
        </w:tc>
      </w:tr>
      <w:tr>
        <w:trPr>
          <w:cantSplit/>
        </w:trPr>
        <w:tc>
          <w:tcPr>
            <w:tcW w:type="dxa" w:w="2951"/>
            <w:vAlign w:val="center"/>
            <w:tcMar>
              <w:top w:w="70" w:type="dxa"/>
              <w:start w:w="95" w:type="dxa"/>
              <w:bottom w:w="70" w:type="dxa"/>
              <w:end w:w="95" w:type="dxa"/>
            </w:tcMar>
          </w:tcPr>
          <w:p>
            <w:r>
              <w:t>Token loss</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64</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43/64 remained connected; all 43 connected cases had κ&gt;2; 21 disconnected</w:t>
            </w:r>
          </w:p>
        </w:tc>
      </w:tr>
      <w:tr>
        <w:trPr>
          <w:cantSplit/>
        </w:trPr>
        <w:tc>
          <w:tcPr>
            <w:tcW w:type="dxa" w:w="2951"/>
            <w:vAlign w:val="center"/>
            <w:tcMar>
              <w:top w:w="70" w:type="dxa"/>
              <w:start w:w="95" w:type="dxa"/>
              <w:bottom w:w="70" w:type="dxa"/>
              <w:end w:w="95" w:type="dxa"/>
            </w:tcMar>
          </w:tcPr>
          <w:p>
            <w:r>
              <w:t>Richer local routing rule</w:t>
            </w:r>
          </w:p>
        </w:tc>
        <w:tc>
          <w:tcPr>
            <w:tcW w:type="dxa" w:w="1036"/>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64</w:t>
            </w:r>
          </w:p>
        </w:tc>
        <w:tc>
          <w:tcPr>
            <w:tcW w:type="dxa" w:w="511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64/64 with nonconstant Q and 64/64 with κ&gt;2</w:t>
            </w:r>
          </w:p>
        </w:tc>
      </w:tr>
    </w:tbl>
    <w:p>
      <w:pPr>
        <w:widowControl/>
        <w:spacing w:after="20"/>
      </w:pPr>
    </w:p>
    <w:p>
      <w:pPr>
        <w:widowControl/>
        <w:jc w:val="both"/>
      </w:pPr>
      <w:r>
        <w:t>This holdout supports a specific finite robustness claim. Within the predeclared ensembles and thresholds, κ&gt;2 persists across the unseen sparse baseline, a substantial fraction of shortcut-stress cases, every connected token-loss case, and all richer local-rule cases. The negative-control family with a direct bypass gives κ=2 as designed. This does not establish that all temporal information is collaborative, that κ measures causal responsibility, or that physical time is generated by the tested protocol. It establishes that the collaborative phenomenon defined above is nontrivial, structurally responsive, and reproducible within the declared finite domain.</w:t>
      </w:r>
    </w:p>
    <w:p>
      <w:pPr>
        <w:jc w:val="both"/>
      </w:pPr>
      <w:r>
        <w:t>Proposition 1, the explicit local construction, and the external holdout play different evidential roles and are not collapsed into one claim. The proposition is exact for the declared product-state DAG protocol; the token/ORD microdynamics provide an explicit finite construction; and the holdout tests robustness over predeclared unseen ensembles. Together they motivate the term collaborative relational time used in the title: a temporal relation can be globally available to the joint system while remaining unavailable to every insufficient subset of local views, without requiring a primitive scalar clock. The physical significance of that structure remains an open question rather than an assumption.</w:t>
      </w:r>
    </w:p>
    <w:p>
      <w:pPr>
        <w:pStyle w:val="Heading1"/>
        <w:keepNext/>
        <w:keepLines/>
        <w:jc w:val="center"/>
      </w:pPr>
      <w:r>
        <w:t>IV. DYNAMIC COORDINATION, HISTORICAL MEMORY, AND ACTIVE COORDINATION DOMAINS</w:t>
      </w:r>
    </w:p>
    <w:p>
      <w:pPr>
        <w:pStyle w:val="Heading2"/>
        <w:keepNext/>
        <w:keepLines/>
        <w:jc w:val="left"/>
      </w:pPr>
      <w:r>
        <w:rPr>
          <w:rFonts w:ascii="Times New Roman" w:hAnsi="Times New Roman" w:eastAsia="Times New Roman"/>
          <w:b/>
          <w:i w:val="0"/>
          <w:color w:val="000000"/>
          <w:sz w:val="21"/>
        </w:rPr>
        <w:t>A. Two temporal layers: historical order and active coordination</w:t>
      </w:r>
    </w:p>
    <w:p>
      <w:pPr>
        <w:widowControl/>
        <w:jc w:val="both"/>
      </w:pPr>
      <w:r>
        <w:rPr>
          <w:rFonts w:ascii="Times New Roman" w:hAnsi="Times New Roman" w:eastAsia="Times New Roman"/>
          <w:color w:val="000000"/>
          <w:sz w:val="22"/>
        </w:rPr>
        <w:t xml:space="preserve">Collaborative reconstructibility does not by itself define a temporal domain. To describe changing coordination, the model carries two different relational layers. The historical graph </w:t>
      </w:r>
      <m:oMath>
        <m:sSub>
          <m:e>
            <m:r>
              <m:t>P</m:t>
            </m:r>
          </m:e>
          <m:sub>
            <m:r>
              <m:t>H</m:t>
            </m:r>
          </m:sub>
        </m:sSub>
      </m:oMath>
      <w:r>
        <w:rPr>
          <w:rFonts w:ascii="Times New Roman" w:hAnsi="Times New Roman" w:eastAsia="Times New Roman"/>
          <w:color w:val="000000"/>
          <w:sz w:val="22"/>
        </w:rPr>
        <w:t xml:space="preserve"> records certified ORD and provenance that have already occurred; its role is archival and order-theoretic. The active graph </w:t>
      </w:r>
      <m:oMath>
        <m:sSub>
          <m:e>
            <m:r>
              <m:t>A</m:t>
            </m:r>
          </m:e>
          <m:sub>
            <m:r>
              <m:t>H</m:t>
            </m:r>
          </m:sub>
        </m:sSub>
      </m:oMath>
      <w:r>
        <w:rPr>
          <w:rFonts w:ascii="Times New Roman" w:hAnsi="Times New Roman" w:eastAsia="Times New Roman"/>
          <w:color w:val="000000"/>
          <w:sz w:val="22"/>
        </w:rPr>
        <w:t xml:space="preserve"> records relations that are presently available for coordination. An active temporal domain is then an analyst-level connected component of </w:t>
      </w:r>
      <m:oMath>
        <m:sSub>
          <m:e>
            <m:r>
              <m:t>A</m:t>
            </m:r>
          </m:e>
          <m:sub>
            <m:r>
              <m:t>H</m:t>
            </m:r>
          </m:sub>
        </m:sSub>
      </m:oMath>
      <w:r>
        <w:rPr>
          <w:rFonts w:ascii="Times New Roman" w:hAnsi="Times New Roman" w:eastAsia="Times New Roman"/>
          <w:color w:val="000000"/>
          <w:sz w:val="22"/>
        </w:rPr>
        <w:t xml:space="preserve"> satisfying the declared internal coherence conditions. It is neither identical to </w:t>
      </w:r>
      <m:oMath>
        <m:sSub>
          <m:e>
            <m:r>
              <m:t>P</m:t>
            </m:r>
          </m:e>
          <m:sub>
            <m:r>
              <m:t>H</m:t>
            </m:r>
          </m:sub>
        </m:sSub>
      </m:oMath>
      <w:r>
        <w:rPr>
          <w:rFonts w:ascii="Times New Roman" w:hAnsi="Times New Roman" w:eastAsia="Times New Roman"/>
          <w:color w:val="000000"/>
          <w:sz w:val="22"/>
        </w:rPr>
        <w:t xml:space="preserve"> nor assumed to be maximal, spatially localized, or ontologically fundamental.</w:t>
      </w:r>
    </w:p>
    <w:p>
      <w:pPr>
        <w:widowControl/>
        <w:jc w:val="both"/>
      </w:pPr>
      <w:r>
        <w:rPr>
          <w:rFonts w:ascii="Times New Roman" w:hAnsi="Times New Roman" w:eastAsia="Times New Roman"/>
          <w:color w:val="000000"/>
          <w:sz w:val="22"/>
        </w:rPr>
        <w:t xml:space="preserve">The distinction matters dynamically. ACTIVATE and DEACTIVATE change current coordination, whereas LOCAL_COMMIT and TRANSFER_COMMIT add new locally certified event relations or transfers. If an active bridge is removed, past cross-domain ORD and provenance may remain in </w:t>
      </w:r>
      <m:oMath>
        <m:sSub>
          <m:e>
            <m:r>
              <m:t>P</m:t>
            </m:r>
          </m:e>
          <m:sub>
            <m:r>
              <m:t>H</m:t>
            </m:r>
          </m:sub>
        </m:sSub>
      </m:oMath>
      <w:r>
        <w:rPr>
          <w:rFonts w:ascii="Times New Roman" w:hAnsi="Times New Roman" w:eastAsia="Times New Roman"/>
          <w:color w:val="000000"/>
          <w:sz w:val="22"/>
        </w:rPr>
        <w:t>, but no new post-split comparison is generated merely because an earlier interaction once existed. A later re-merger must be supported by a fresh active relation or forward transfer. In this precise sense, historical memory is retained without being promoted to future influence.</w:t>
      </w:r>
    </w:p>
    <w:p>
      <w:pPr>
        <w:pStyle w:val="Heading2"/>
        <w:keepNext/>
        <w:keepLines/>
        <w:jc w:val="left"/>
      </w:pPr>
      <w:r>
        <w:t>B. Non-resurrection and finite lifecycle validation</w:t>
      </w:r>
    </w:p>
    <w:p>
      <w:pPr>
        <w:widowControl/>
        <w:jc w:val="both"/>
      </w:pPr>
      <w:r>
        <w:t>The structural rule above is deliberately stronger than keeping a historical log: a split changes which future relations can be generated even though the past remains available for audit. A prospectively corrected finite lifecycle holdout satisfied all predeclared criteria within its declared domain. The study supports the split/remerge and non-resurrection semantics of the implementation; it is not evidence that physical systems must organize time in this way. The preceding failed lifecycle attempt is retained in Appendix B rather than rewritten retrospectively.</w:t>
      </w:r>
    </w:p>
    <w:p>
      <w:pPr>
        <w:jc w:val="both"/>
      </w:pPr>
      <w:r>
        <w:rPr>
          <w:rFonts w:ascii="Times New Roman" w:hAnsi="Times New Roman" w:eastAsia="Times New Roman"/>
          <w:color w:val="000000"/>
          <w:sz w:val="21"/>
        </w:rPr>
        <w:t>The conceptual consequence is limited but important: a temporal domain is a state of current coordination, not a permanent equivalence class generated by all past interactions. This prevents the historical record from functioning as a hidden universal synchronization channel.</w:t>
      </w:r>
    </w:p>
    <w:p>
      <w:pPr>
        <w:pStyle w:val="Heading1"/>
        <w:keepNext/>
        <w:keepLines/>
        <w:jc w:val="center"/>
      </w:pPr>
      <w:r>
        <w:rPr>
          <w:rFonts w:ascii="Times New Roman" w:hAnsi="Times New Roman" w:eastAsia="Times New Roman"/>
          <w:b/>
          <w:i w:val="0"/>
          <w:color w:val="000000"/>
          <w:sz w:val="22"/>
        </w:rPr>
        <w:t>V. TEMPORAL ATLASES: EXACT GLUING CRITERIA AND DYNAMIC ROBUSTNESS</w:t>
      </w:r>
    </w:p>
    <w:p>
      <w:pPr>
        <w:pStyle w:val="Heading2"/>
        <w:keepNext/>
        <w:keepLines/>
        <w:jc w:val="left"/>
      </w:pPr>
      <w:r>
        <w:rPr>
          <w:rFonts w:ascii="Times New Roman" w:hAnsi="Times New Roman" w:eastAsia="Times New Roman"/>
          <w:b/>
          <w:i w:val="0"/>
          <w:color w:val="000000"/>
          <w:sz w:val="21"/>
        </w:rPr>
        <w:t>A. Exact ORD and affine-CAL gluing criteria</w:t>
      </w:r>
    </w:p>
    <w:p>
      <w:pPr>
        <w:widowControl/>
        <w:jc w:val="both"/>
      </w:pPr>
      <w:r>
        <w:rPr>
          <w:rFonts w:ascii="Times New Roman" w:hAnsi="Times New Roman" w:eastAsia="Times New Roman"/>
          <w:color w:val="000000"/>
          <w:sz w:val="22"/>
        </w:rPr>
        <w:t xml:space="preserve">Active domains may be treated as local temporal charts </w:t>
      </w:r>
      <m:oMath>
        <m:sSub>
          <m:e>
            <m:r>
              <m:t>D</m:t>
            </m:r>
          </m:e>
          <m:sub>
            <m:r>
              <m:t>α</m:t>
            </m:r>
          </m:sub>
        </m:sSub>
      </m:oMath>
      <w:r>
        <w:rPr>
          <w:rFonts w:ascii="Times New Roman" w:hAnsi="Times New Roman" w:eastAsia="Times New Roman"/>
          <w:color w:val="000000"/>
          <w:sz w:val="22"/>
        </w:rPr>
        <w:t xml:space="preserve"> carrying certified ORD relations and, when calibration is meaningful, positive-affine CAL transition maps. Global coherence is type-dependent. Pairwise compatibility alone is not sufficient: ORD must be checked for global acyclicity, whereas redundant affine CAL data must satisfy cycle-composition constraints.</w:t>
      </w:r>
    </w:p>
    <w:p>
      <w:pPr>
        <w:widowControl/>
        <w:jc w:val="both"/>
      </w:pPr>
      <w:r>
        <w:rPr>
          <w:rFonts w:ascii="Times New Roman" w:hAnsi="Times New Roman" w:eastAsia="Times New Roman"/>
          <w:color w:val="000000"/>
          <w:sz w:val="21"/>
        </w:rPr>
        <w:t>Proposition 2 (finite temporal-atlas gluing criterion).</w:t>
      </w:r>
    </w:p>
    <w:p>
      <w:pPr>
        <w:widowControl/>
        <w:ind w:left="259" w:hanging="202"/>
        <w:jc w:val="left"/>
      </w:pPr>
      <w:r>
        <w:rPr>
          <w:rFonts w:ascii="Times New Roman" w:hAnsi="Times New Roman" w:eastAsia="Times New Roman"/>
          <w:color w:val="000000"/>
          <w:sz w:val="21"/>
        </w:rPr>
        <w:t>• ORD: a family of charts glues to a collective partial order if and only if the union of all certified ORD edges is acyclic. When this holds, the collective order is the transitive closure of that union.</w:t>
      </w:r>
    </w:p>
    <w:p>
      <w:pPr>
        <w:widowControl/>
        <w:ind w:left="259" w:hanging="202"/>
        <w:jc w:val="left"/>
      </w:pPr>
      <w:r>
        <w:rPr>
          <w:rFonts w:ascii="Times New Roman" w:hAnsi="Times New Roman" w:eastAsia="Times New Roman"/>
          <w:color w:val="000000"/>
          <w:sz w:val="21"/>
        </w:rPr>
        <w:t>• CAL: on a connected overlap graph, a compatible global affine scalarization exists, unique up to one global affine gauge, if and only if every affine cycle holonomy is the identity.</w:t>
      </w:r>
    </w:p>
    <w:p>
      <w:pPr>
        <w:widowControl/>
        <w:ind w:left="259" w:hanging="202"/>
        <w:jc w:val="left"/>
      </w:pPr>
      <w:r>
        <w:rPr>
          <w:rFonts w:ascii="Times New Roman" w:hAnsi="Times New Roman" w:eastAsia="Times New Roman"/>
          <w:color w:val="000000"/>
          <w:sz w:val="21"/>
        </w:rPr>
        <w:t>• Every connected CAL tree is scalarizable because a root gauge can be propagated recursively and there is no redundant cycle constraint.</w:t>
      </w:r>
    </w:p>
    <w:p>
      <w:pPr>
        <w:widowControl/>
        <w:ind w:left="259" w:hanging="202"/>
        <w:jc w:val="left"/>
      </w:pPr>
      <w:r>
        <w:rPr>
          <w:rFonts w:ascii="Times New Roman" w:hAnsi="Times New Roman" w:eastAsia="Times New Roman"/>
          <w:color w:val="000000"/>
          <w:sz w:val="21"/>
        </w:rPr>
        <w:t>• Nonidentity affine holonomy obstructs one global affine clock even when the ORD sector remains a coherent partial order.</w:t>
      </w:r>
    </w:p>
    <w:p>
      <w:pPr>
        <w:widowControl/>
        <w:ind w:left="259" w:hanging="202"/>
        <w:jc w:val="left"/>
      </w:pPr>
      <w:r>
        <w:rPr>
          <w:rFonts w:ascii="Times New Roman" w:hAnsi="Times New Roman" w:eastAsia="Times New Roman"/>
          <w:color w:val="000000"/>
          <w:sz w:val="21"/>
        </w:rPr>
        <w:t>• Whether a cycle holonomy is the identity is invariant under independent positive-affine reparametrizations of the local charts.</w:t>
      </w:r>
    </w:p>
    <w:p>
      <w:pPr>
        <w:jc w:val="both"/>
      </w:pPr>
      <w:r>
        <w:rPr>
          <w:rFonts w:ascii="Times New Roman" w:hAnsi="Times New Roman" w:eastAsia="Times New Roman"/>
          <w:color w:val="000000"/>
          <w:sz w:val="21"/>
        </w:rPr>
        <w:t>Proof sketch. For ORD, any directed cycle in the union would violate antisymmetry of a putative collective partial order; conversely, if the finite union is acyclic, its transitive closure is a partial order extending every local certified relation. For CAL, choose a root chart and propagate affine gauges along a spanning tree. Any non-tree edge then closes a cycle. The propagated assignment is independent of path exactly when every such cycle composition is the identity; equivalently, every cycle holonomy is trivial. A local affine reparametrization conjugates the composed transition around a cycle, so identity versus nonidentity is gauge invariant.</w:t>
      </w:r>
    </w:p>
    <w:p>
      <w:pPr>
        <w:widowControl/>
        <w:jc w:val="both"/>
      </w:pPr>
      <w:r>
        <w:rPr>
          <w:rFonts w:ascii="Times New Roman" w:hAnsi="Times New Roman" w:eastAsia="Times New Roman"/>
          <w:color w:val="000000"/>
          <w:sz w:val="21"/>
        </w:rPr>
        <w:t>Thus relational temporal coherence and global scalarizability are logically distinct. A coherent ORD atlas may coexist with CAL holonomy, and a curl-free local calibration sector may still contain global obstruction, as the Hodge formulation below will make explicit.</w:t>
      </w:r>
    </w:p>
    <w:p>
      <w:pPr/>
      <w:r>
        <w:t>An acyclic ORD atlas always admits order-preserving topological serializations, but those labels are not the affine CAL scalarization discussed here. The holonomy obstruction concerns compatibility of calibrated local clock representations, not the existence of some arbitrary numbering of a finite partial order.</w:t>
      </w:r>
    </w:p>
    <w:p>
      <w:pPr>
        <w:pStyle w:val="Heading2"/>
        <w:keepNext/>
        <w:keepLines/>
        <w:jc w:val="left"/>
      </w:pPr>
      <w:r>
        <w:t>B. Dynamic/noisy atlas validation and preserved failure</w:t>
      </w:r>
    </w:p>
    <w:p>
      <w:pPr>
        <w:widowControl/>
        <w:jc w:val="both"/>
      </w:pPr>
      <w:r>
        <w:t>The exact proposition does not by itself establish robustness under dynamic or noisy chart data. That separate implementation question was tested in a fresh prospectively repaired holdout, which satisfied all predeclared criteria within the declared finite domain. The result supports the atlas/gluing distinctions under the tested perturbations; it does not enlarge Proposition 2 into a universal theorem. The earlier failed noisy-atlas attempt is preserved in Appendix B.</w:t>
      </w:r>
    </w:p>
    <w:p>
      <w:pPr>
        <w:pStyle w:val="Heading1"/>
        <w:keepNext/>
        <w:keepLines/>
        <w:jc w:val="center"/>
      </w:pPr>
      <w:r>
        <w:rPr>
          <w:rFonts w:ascii="Times New Roman" w:hAnsi="Times New Roman" w:eastAsia="Times New Roman"/>
          <w:b/>
          <w:i w:val="0"/>
          <w:color w:val="000000"/>
          <w:sz w:val="22"/>
        </w:rPr>
        <w:t>VI. SEMANTIC FIREWALLS, FINITE SCALE COMPATIBILITY, AND SCALAR DECONDITIONING</w:t>
      </w:r>
    </w:p>
    <w:p>
      <w:pPr>
        <w:pStyle w:val="Heading2"/>
        <w:keepNext/>
        <w:keepLines/>
        <w:jc w:val="left"/>
      </w:pPr>
      <w:r>
        <w:rPr>
          <w:rFonts w:ascii="Times New Roman" w:hAnsi="Times New Roman" w:eastAsia="Times New Roman"/>
          <w:b/>
          <w:i w:val="0"/>
          <w:color w:val="000000"/>
          <w:sz w:val="21"/>
        </w:rPr>
        <w:t>A. Semantic firewalls fixed before macroscopic interpretation</w:t>
      </w:r>
    </w:p>
    <w:p>
      <w:pPr>
        <w:widowControl/>
        <w:jc w:val="both"/>
      </w:pPr>
      <w:r>
        <w:t>Before interpreting atlas behavior across scale, a dedicated semantic consistency check fixed a set of non-identifications that function as firewalls for the successor theory:</w:t>
      </w:r>
    </w:p>
    <w:p>
      <w:pPr>
        <w:widowControl/>
        <w:ind w:left="259" w:hanging="202"/>
        <w:jc w:val="left"/>
      </w:pPr>
      <w:r>
        <w:rPr>
          <w:rFonts w:ascii="Times New Roman" w:hAnsi="Times New Roman" w:eastAsia="Times New Roman"/>
          <w:color w:val="000000"/>
          <w:sz w:val="22"/>
        </w:rPr>
        <w:t>• reconstructibility ≠ causal influence;</w:t>
      </w:r>
    </w:p>
    <w:p>
      <w:pPr>
        <w:widowControl/>
        <w:ind w:left="259" w:hanging="202"/>
        <w:jc w:val="left"/>
      </w:pPr>
      <w:r>
        <w:rPr>
          <w:rFonts w:ascii="Times New Roman" w:hAnsi="Times New Roman" w:eastAsia="Times New Roman"/>
          <w:color w:val="000000"/>
          <w:sz w:val="22"/>
        </w:rPr>
        <w:t>• incomparability ≠ operational independence;</w:t>
      </w:r>
    </w:p>
    <w:p>
      <w:pPr>
        <w:widowControl/>
        <w:ind w:left="259" w:hanging="202"/>
        <w:jc w:val="left"/>
      </w:pPr>
      <w:r>
        <w:rPr>
          <w:rFonts w:ascii="Times New Roman" w:hAnsi="Times New Roman" w:eastAsia="Times New Roman"/>
          <w:color w:val="000000"/>
          <w:sz w:val="22"/>
        </w:rPr>
        <w:t>• active connectivity ≠ historical precedence;</w:t>
      </w:r>
    </w:p>
    <w:p>
      <w:pPr>
        <w:widowControl/>
        <w:ind w:left="259" w:hanging="202"/>
        <w:jc w:val="left"/>
      </w:pPr>
      <w:r>
        <w:rPr>
          <w:rFonts w:ascii="Times New Roman" w:hAnsi="Times New Roman" w:eastAsia="Times New Roman"/>
          <w:color w:val="000000"/>
          <w:sz w:val="22"/>
        </w:rPr>
        <w:t>• active connectivity ≠ directed reachability;</w:t>
      </w:r>
    </w:p>
    <w:p>
      <w:pPr>
        <w:widowControl/>
        <w:ind w:left="259" w:hanging="202"/>
        <w:jc w:val="left"/>
      </w:pPr>
      <w:r>
        <w:rPr>
          <w:rFonts w:ascii="Times New Roman" w:hAnsi="Times New Roman" w:eastAsia="Times New Roman"/>
          <w:color w:val="000000"/>
          <w:sz w:val="22"/>
        </w:rPr>
        <w:t>• memory ≠ future influence;</w:t>
      </w:r>
    </w:p>
    <w:p>
      <w:pPr>
        <w:widowControl/>
        <w:ind w:left="259" w:hanging="202"/>
        <w:jc w:val="left"/>
      </w:pPr>
      <w:r>
        <w:rPr>
          <w:rFonts w:ascii="Times New Roman" w:hAnsi="Times New Roman" w:eastAsia="Times New Roman"/>
          <w:color w:val="000000"/>
          <w:sz w:val="22"/>
        </w:rPr>
        <w:t>• CAL holonomy ≠ ORD cycle;</w:t>
      </w:r>
    </w:p>
    <w:p>
      <w:pPr>
        <w:widowControl/>
        <w:ind w:left="259" w:hanging="202"/>
        <w:jc w:val="left"/>
      </w:pPr>
      <w:r>
        <w:rPr>
          <w:rFonts w:ascii="Times New Roman" w:hAnsi="Times New Roman" w:eastAsia="Times New Roman"/>
          <w:color w:val="000000"/>
          <w:sz w:val="22"/>
        </w:rPr>
        <w:t>• affine holonomy ≠ spatial or gravitational curvature;</w:t>
      </w:r>
    </w:p>
    <w:p>
      <w:pPr>
        <w:widowControl/>
        <w:ind w:left="259" w:hanging="202"/>
        <w:jc w:val="left"/>
      </w:pPr>
      <w:r>
        <w:t>• affine CAL scalarizability is an optional reduction, not the definition of temporal organization.</w:t>
      </w:r>
    </w:p>
    <w:p>
      <w:pPr>
        <w:widowControl/>
        <w:jc w:val="both"/>
      </w:pPr>
      <w:r>
        <w:rPr>
          <w:rFonts w:ascii="Times New Roman" w:hAnsi="Times New Roman" w:eastAsia="Times New Roman"/>
          <w:color w:val="000000"/>
          <w:sz w:val="21"/>
        </w:rPr>
        <w:t>These are constraints on inference, not stylistic caveats. In particular, a large reconstructibility complexity κ cannot be read as causal responsibility; an active connected component cannot be substituted for a historical causal order; and a failure of affine scalarization cannot be relabeled as spacetime curvature. The later scale and field results are interpreted only inside these firewalls.</w:t>
      </w:r>
    </w:p>
    <w:p>
      <w:pPr>
        <w:pStyle w:val="Heading2"/>
        <w:keepNext/>
        <w:keepLines/>
        <w:jc w:val="left"/>
      </w:pPr>
      <w:r>
        <w:rPr>
          <w:rFonts w:ascii="Times New Roman" w:hAnsi="Times New Roman" w:eastAsia="Times New Roman"/>
          <w:b/>
          <w:i w:val="0"/>
          <w:color w:val="000000"/>
          <w:sz w:val="21"/>
        </w:rPr>
        <w:t>B. Finite-scale compatibility of a macroscopic affine coordinate</w:t>
      </w:r>
    </w:p>
    <w:p>
      <w:pPr>
        <w:widowControl/>
        <w:jc w:val="both"/>
      </w:pPr>
      <w:r>
        <w:t>A finite-scale validation study asked a positive question: can a macroscopic affine coordinate remain compatible with the declared local relational structure over a predeclared range of finite sizes? The study satisfied its predeclared criteria. This licenses only finite-domain compatibility. It neither proves that such a coordinate remains uniformly well conditioned as the system grows nor supplies an N→∞ or continuum limit.</w:t>
      </w:r>
    </w:p>
    <w:p>
      <w:pPr>
        <w:pStyle w:val="Heading2"/>
        <w:keepNext/>
        <w:keepLines/>
        <w:jc w:val="left"/>
      </w:pPr>
      <w:r>
        <w:rPr>
          <w:rFonts w:ascii="Times New Roman" w:hAnsi="Times New Roman" w:eastAsia="Times New Roman"/>
          <w:b/>
          <w:i w:val="0"/>
          <w:color w:val="000000"/>
          <w:sz w:val="21"/>
        </w:rPr>
        <w:t>C. Relational coherence despite global scalar deconditioning</w:t>
      </w:r>
    </w:p>
    <w:p>
      <w:pPr>
        <w:widowControl/>
        <w:jc w:val="both"/>
      </w:pPr>
      <w:r>
        <w:t>A complementary scalar-deconditioning study then asked a different question: can bounded-radius relational coherence remain stable while one global scalar representation becomes progressively more weakly conditioned? In the tested chain-plus-span-2 calibration family, local mismatch predictions remained essentially unchanged while endpoint effective resistance R_eff, used as a scalar-synchronization susceptibility, increased strongly with system size. Table II reports the finite-size values, and Fig. 2 visualizes the separation.</w:t>
      </w:r>
    </w:p>
    <w:p>
      <w:pPr/>
      <w:r>
        <w:t>Here R_eff is the endpoint effective resistance of the weighted calibration graph and is used only as a finite conditioning diagnostic for inference from relative measurements, consistent with the electrical-network interpretation of relative-estimation error (Ref. 15). The term “susceptibility” is descriptive; no thermodynamic susceptibility is implied.</w:t>
      </w:r>
    </w:p>
    <w:p>
      <w:pPr>
        <w:pStyle w:val="CaptionText"/>
        <w:keepNext/>
        <w:keepLines/>
        <w:spacing w:after="60"/>
      </w:pPr>
      <w:r>
        <w:t>TABLE II. Finite scalar-deconditioning example. The log-log slope of R_eff versus N is 0.986606 over the tested sizes. All 48 unseen local-mismatch cases satisfied the predeclared relational-coherence criterion. No asymptotic or continuum inference is made.</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Caption w:val="TABLE II. Finite scalar-deconditioning example underlying CERT-016."/>
        <w:tblDescription w:val="Finite-size values showing endpoint scalar susceptibility increasing with system size while reported local mismatch predictions at the measured endpoints remain nearly unchanged."/>
      </w:tblPr>
      <w:tblGrid>
        <w:gridCol w:w="3293"/>
        <w:gridCol w:w="3293"/>
        <w:gridCol w:w="3293"/>
      </w:tblGrid>
      <w:tr>
        <w:trPr>
          <w:tblHeader w:val="true"/>
          <w:cantSplit/>
          <w:tblHeader w:val="true"/>
          <w:tblHeader w:val="true"/>
        </w:trPr>
        <w:tc>
          <w:tcPr>
            <w:tcW w:type="dxa" w:w="1224"/>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N</w:t>
            </w:r>
          </w:p>
        </w:tc>
        <w:tc>
          <w:tcPr>
            <w:tcW w:type="dxa" w:w="2951"/>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Local prediction p90</w:t>
            </w:r>
          </w:p>
        </w:tc>
        <w:tc>
          <w:tcPr>
            <w:tcW w:type="dxa" w:w="4968"/>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 xml:space="preserve">Endpoint scalar susceptibility </w:t>
            </w:r>
            <m:oMath>
              <m:sSub>
                <m:e>
                  <m:r>
                    <m:t>R</m:t>
                  </m:r>
                </m:e>
                <m:sub>
                  <m:r>
                    <m:rPr>
                      <m:sty m:val="p"/>
                    </m:rPr>
                    <m:t>e</m:t>
                  </m:r>
                  <m:r>
                    <m:rPr>
                      <m:sty m:val="p"/>
                    </m:rPr>
                    <m:t>f</m:t>
                  </m:r>
                  <m:r>
                    <m:rPr>
                      <m:sty m:val="p"/>
                    </m:rPr>
                    <m:t>f</m:t>
                  </m:r>
                </m:sub>
              </m:sSub>
            </m:oMath>
          </w:p>
        </w:tc>
      </w:tr>
      <w:tr>
        <w:trPr>
          <w:cantSplit/>
        </w:trPr>
        <w:tc>
          <w:tcPr>
            <w:tcW w:type="dxa" w:w="1224"/>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24</w:t>
            </w:r>
          </w:p>
        </w:tc>
        <w:tc>
          <w:tcPr>
            <w:tcW w:type="dxa" w:w="2951"/>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0.0099491</w:t>
            </w:r>
          </w:p>
        </w:tc>
        <w:tc>
          <w:tcPr>
            <w:tcW w:type="dxa" w:w="4968"/>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4.9577709</w:t>
            </w:r>
          </w:p>
        </w:tc>
      </w:tr>
      <w:tr>
        <w:trPr>
          <w:cantSplit/>
        </w:trPr>
        <w:tc>
          <w:tcPr>
            <w:tcW w:type="dxa" w:w="1224"/>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48</w:t>
            </w:r>
          </w:p>
        </w:tc>
        <w:tc>
          <w:tcPr>
            <w:tcW w:type="dxa" w:w="2951"/>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w:t>
            </w:r>
          </w:p>
        </w:tc>
        <w:tc>
          <w:tcPr>
            <w:tcW w:type="dxa" w:w="4968"/>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9.7577709</w:t>
            </w:r>
          </w:p>
        </w:tc>
      </w:tr>
      <w:tr>
        <w:trPr>
          <w:cantSplit/>
        </w:trPr>
        <w:tc>
          <w:tcPr>
            <w:tcW w:type="dxa" w:w="1224"/>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96</w:t>
            </w:r>
          </w:p>
        </w:tc>
        <w:tc>
          <w:tcPr>
            <w:tcW w:type="dxa" w:w="2951"/>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w:t>
            </w:r>
          </w:p>
        </w:tc>
        <w:tc>
          <w:tcPr>
            <w:tcW w:type="dxa" w:w="4968"/>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19.3577709</w:t>
            </w:r>
          </w:p>
        </w:tc>
      </w:tr>
      <w:tr>
        <w:trPr>
          <w:cantSplit/>
        </w:trPr>
        <w:tc>
          <w:tcPr>
            <w:tcW w:type="dxa" w:w="1224"/>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192</w:t>
            </w:r>
          </w:p>
        </w:tc>
        <w:tc>
          <w:tcPr>
            <w:tcW w:type="dxa" w:w="2951"/>
            <w:vAlign w:val="center"/>
            <w:tcMar>
              <w:top w:w="70" w:type="dxa"/>
              <w:start w:w="95" w:type="dxa"/>
              <w:bottom w:w="70" w:type="dxa"/>
              <w:end w:w="95" w:type="dxa"/>
            </w:tcMar>
          </w:tcPr>
          <w:p>
            <w:pPr>
              <w:spacing w:after="30" w:line="240" w:lineRule="auto" w:before="30"/>
              <w:jc w:val="center"/>
            </w:pPr>
            <w:r>
              <w:rPr>
                <w:rFonts w:ascii="Times New Roman" w:hAnsi="Times New Roman" w:eastAsia="Times New Roman"/>
                <w:color w:val="000000"/>
                <w:sz w:val="17"/>
              </w:rPr>
              <w:t>0.0098429</w:t>
            </w:r>
          </w:p>
        </w:tc>
        <w:tc>
          <w:tcPr>
            <w:tcW w:type="dxa" w:w="4968"/>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38.5577709</w:t>
            </w:r>
          </w:p>
        </w:tc>
      </w:tr>
    </w:tbl>
    <w:p>
      <w:pPr>
        <w:widowControl/>
        <w:jc w:val="both"/>
      </w:pPr>
      <w:r>
        <w:t>The finite-scale compatibility and scalar-deconditioning studies are complementary rather than contradictory. The first shows that a compatible macroscopic affine reduction can exist over a declared finite scale range; the second shows that existence or local compatibility does not imply uniformly good global conditioning. Within this tested family, the declared local relational coherence is therefore more stable than the numerical conditioning of the chosen global affine reduction; no stronger constitutive or asymptotic claim is made.</w:t>
      </w:r>
    </w:p>
    <w:p>
      <w:pPr>
        <w:jc w:val="both"/>
      </w:pPr>
      <w:r>
        <w:t>No asymptotic claim follows from the observed near-linear growth of R_eff. The result is a finite separation-of-properties statement: over the tested sizes and predeclared controls, local coherence and global-scalar conditioning do not track one another.</w:t>
      </w:r>
    </w:p>
    <w:p>
      <w:pPr>
        <w:keepNext/>
        <w:keepLines/>
        <w:jc w:val="center"/>
      </w:pPr>
      <w:r>
        <w:rPr>
          <w:rFonts w:ascii="Times New Roman" w:hAnsi="Times New Roman" w:eastAsia="Times New Roman"/>
          <w:color w:val="000000"/>
          <w:sz w:val="22"/>
        </w:rPr>
        <w:drawing>
          <wp:inline xmlns:a="http://schemas.openxmlformats.org/drawingml/2006/main" xmlns:pic="http://schemas.openxmlformats.org/drawingml/2006/picture">
            <wp:extent cx="5303520" cy="2751450"/>
            <wp:docPr id="2" name="Picture 2" title="Finite scalar deconditioning" descr="Dual-axis chart showing endpoint effective resistance increasing from about 4.96 at N=24 to about 38.56 at N=192. Only two local mismatch p90 markers are shown, at N=24 and N=192, with no interpolation between them."/>
            <wp:cNvGraphicFramePr>
              <a:graphicFrameLocks noChangeAspect="1"/>
            </wp:cNvGraphicFramePr>
            <a:graphic>
              <a:graphicData uri="http://schemas.openxmlformats.org/drawingml/2006/picture">
                <pic:pic>
                  <pic:nvPicPr>
                    <pic:cNvPr id="0" name="figure2_scalar_deconditioning.png"/>
                    <pic:cNvPicPr/>
                  </pic:nvPicPr>
                  <pic:blipFill>
                    <a:blip r:embed="rId11"/>
                    <a:stretch>
                      <a:fillRect/>
                    </a:stretch>
                  </pic:blipFill>
                  <pic:spPr>
                    <a:xfrm>
                      <a:off x="0" y="0"/>
                      <a:ext cx="5303520" cy="2751450"/>
                    </a:xfrm>
                    <a:prstGeom prst="rect"/>
                  </pic:spPr>
                </pic:pic>
              </a:graphicData>
            </a:graphic>
          </wp:inline>
        </w:drawing>
      </w:r>
    </w:p>
    <w:p>
      <w:pPr>
        <w:pStyle w:val="CaptionText"/>
        <w:keepNext w:val="0"/>
        <w:keepLines/>
        <w:spacing w:before="80" w:after="140"/>
        <w:jc w:val="left"/>
      </w:pPr>
      <w:r>
        <w:t>FIG. 2. Finite scalar deconditioning. Endpoint effective resistance increases over the tested sizes. The local-mismatch series contains only the two actually reported p90 values, at N = 24 and N = 192; no intermediate values are interpolated or inferred.</w:t>
      </w:r>
    </w:p>
    <w:p>
      <w:pPr>
        <w:pStyle w:val="Heading1"/>
        <w:keepNext/>
        <w:keepLines/>
        <w:jc w:val="center"/>
      </w:pPr>
      <w:r>
        <w:rPr>
          <w:rFonts w:ascii="Times New Roman" w:hAnsi="Times New Roman" w:eastAsia="Times New Roman"/>
          <w:b/>
          <w:i w:val="0"/>
          <w:color w:val="000000"/>
          <w:sz w:val="22"/>
        </w:rPr>
        <w:t>VII. TYPED INTERACTION: PARTIAL GLUING WITHOUT GENERIC SYNCHRONIZATION</w:t>
      </w:r>
    </w:p>
    <w:p>
      <w:pPr>
        <w:pStyle w:val="Heading2"/>
        <w:keepNext/>
        <w:keepLines/>
        <w:jc w:val="left"/>
      </w:pPr>
      <w:r>
        <w:rPr>
          <w:rFonts w:ascii="Times New Roman" w:hAnsi="Times New Roman" w:eastAsia="Times New Roman"/>
          <w:b/>
          <w:i w:val="0"/>
          <w:color w:val="000000"/>
          <w:sz w:val="21"/>
        </w:rPr>
        <w:t>A. Exact consequences of ORD, CAL, and CORR typing</w:t>
      </w:r>
    </w:p>
    <w:p>
      <w:pPr>
        <w:widowControl/>
        <w:jc w:val="both"/>
      </w:pPr>
      <w:r>
        <w:rPr>
          <w:rFonts w:ascii="Times New Roman" w:hAnsi="Times New Roman" w:eastAsia="Times New Roman"/>
          <w:color w:val="000000"/>
          <w:sz w:val="21"/>
        </w:rPr>
        <w:t>Only after collaborative reconstruction, active coordination, and atlas gluing have been defined do temporal domains become useful as an interaction layer. Two internally coherent active patches need not share the same temporal relation merely because they are connected. The effect of an inter-domain link depends on its declared type and consistency:</w:t>
      </w:r>
    </w:p>
    <w:p>
      <w:pPr>
        <w:widowControl/>
        <w:ind w:left="259" w:hanging="202"/>
        <w:jc w:val="left"/>
      </w:pPr>
      <w:r>
        <w:rPr>
          <w:rFonts w:ascii="Times New Roman" w:hAnsi="Times New Roman" w:eastAsia="Times New Roman"/>
          <w:color w:val="000000"/>
          <w:sz w:val="22"/>
        </w:rPr>
        <w:t>• ORD: none, partial precedence, or an inadmissible cycle.</w:t>
      </w:r>
    </w:p>
    <w:p>
      <w:pPr>
        <w:widowControl/>
        <w:ind w:left="259" w:hanging="202"/>
        <w:jc w:val="left"/>
      </w:pPr>
      <w:r>
        <w:rPr>
          <w:rFonts w:ascii="Times New Roman" w:hAnsi="Times New Roman" w:eastAsia="Times New Roman"/>
          <w:color w:val="000000"/>
          <w:sz w:val="22"/>
        </w:rPr>
        <w:t>• CAL: unidentified relative gauge, single-link nonredundant identification, redundantly scalarizable calibration, or holonomy obstruction.</w:t>
      </w:r>
    </w:p>
    <w:p>
      <w:pPr>
        <w:widowControl/>
        <w:ind w:left="259" w:hanging="202"/>
        <w:jc w:val="left"/>
      </w:pPr>
      <w:r>
        <w:rPr>
          <w:rFonts w:ascii="Times New Roman" w:hAnsi="Times New Roman" w:eastAsia="Times New Roman"/>
          <w:color w:val="000000"/>
          <w:sz w:val="22"/>
        </w:rPr>
        <w:t>• CORR: witness only; no precedence or calibration is generated by CORR alone.</w:t>
      </w:r>
    </w:p>
    <w:p>
      <w:pPr>
        <w:widowControl/>
        <w:jc w:val="both"/>
      </w:pPr>
      <w:r>
        <w:rPr>
          <w:rFonts w:ascii="Times New Roman" w:hAnsi="Times New Roman" w:eastAsia="Times New Roman"/>
          <w:color w:val="000000"/>
          <w:sz w:val="21"/>
        </w:rPr>
        <w:t>Proposition 3 (typed partial gluing).</w:t>
      </w:r>
    </w:p>
    <w:p>
      <w:pPr>
        <w:widowControl/>
        <w:ind w:left="259" w:hanging="202"/>
        <w:jc w:val="left"/>
      </w:pPr>
      <w:r>
        <w:rPr>
          <w:rFonts w:ascii="Times New Roman" w:hAnsi="Times New Roman" w:eastAsia="Times New Roman"/>
          <w:color w:val="000000"/>
          <w:sz w:val="22"/>
        </w:rPr>
        <w:t>• Disconnected scalarizable domains retain independent affine gauge freedoms.</w:t>
      </w:r>
    </w:p>
    <w:p>
      <w:pPr>
        <w:widowControl/>
        <w:ind w:left="259" w:hanging="202"/>
        <w:jc w:val="left"/>
      </w:pPr>
      <w:r>
        <w:rPr>
          <w:rFonts w:ascii="Times New Roman" w:hAnsi="Times New Roman" w:eastAsia="Times New Roman"/>
          <w:color w:val="000000"/>
          <w:sz w:val="22"/>
        </w:rPr>
        <w:t>• Cross-domain ORD creates partial comparison without identifying CAL gauges.</w:t>
      </w:r>
    </w:p>
    <w:p>
      <w:pPr>
        <w:widowControl/>
        <w:ind w:left="259" w:hanging="202"/>
        <w:jc w:val="left"/>
      </w:pPr>
      <w:r>
        <w:rPr>
          <w:rFonts w:ascii="Times New Roman" w:hAnsi="Times New Roman" w:eastAsia="Times New Roman"/>
          <w:color w:val="000000"/>
          <w:sz w:val="22"/>
        </w:rPr>
        <w:t>• One CAL bridge identifies relative affine gauge but is nonredundant.</w:t>
      </w:r>
    </w:p>
    <w:p>
      <w:pPr>
        <w:widowControl/>
        <w:ind w:left="259" w:hanging="202"/>
        <w:jc w:val="left"/>
      </w:pPr>
      <w:r>
        <w:rPr>
          <w:rFonts w:ascii="Times New Roman" w:hAnsi="Times New Roman" w:eastAsia="Times New Roman"/>
          <w:color w:val="000000"/>
          <w:sz w:val="22"/>
        </w:rPr>
        <w:t>• Redundant CAL constraints are jointly scalarizable exactly when inferred calibrations are cycle-consistent.</w:t>
      </w:r>
    </w:p>
    <w:p>
      <w:pPr>
        <w:widowControl/>
        <w:ind w:left="259" w:hanging="202"/>
        <w:jc w:val="left"/>
      </w:pPr>
      <w:r>
        <w:t>• A connected CAL subgraph that is a tree is globally affine-scalarizable; redundant CAL cycles provide falsifiable holonomy constraints.</w:t>
      </w:r>
    </w:p>
    <w:p>
      <w:pPr>
        <w:widowControl/>
        <w:ind w:left="259" w:hanging="202"/>
        <w:jc w:val="left"/>
      </w:pPr>
      <w:r>
        <w:rPr>
          <w:rFonts w:ascii="Times New Roman" w:hAnsi="Times New Roman" w:eastAsia="Times New Roman"/>
          <w:color w:val="000000"/>
          <w:sz w:val="22"/>
        </w:rPr>
        <w:t>• Removing active inter-domain relations splits active coordination without resurrecting future cross-domain ordering.</w:t>
      </w:r>
    </w:p>
    <w:p>
      <w:pPr>
        <w:widowControl/>
        <w:ind w:left="259" w:hanging="202"/>
        <w:jc w:val="left"/>
      </w:pPr>
      <w:r>
        <w:t>• Fresh active relation(s) of the relevant coordination type are required for reglue; CORR alone does not create ORD or CAL closure.</w:t>
      </w:r>
    </w:p>
    <w:p>
      <w:pPr>
        <w:widowControl/>
        <w:ind w:left="259" w:hanging="202"/>
        <w:jc w:val="left"/>
      </w:pPr>
      <w:r>
        <w:rPr>
          <w:rFonts w:ascii="Times New Roman" w:hAnsi="Times New Roman" w:eastAsia="Times New Roman"/>
          <w:color w:val="000000"/>
          <w:sz w:val="22"/>
        </w:rPr>
        <w:t>• CORR-only coupling creates neither precedence nor affine calibration.</w:t>
      </w:r>
    </w:p>
    <w:p>
      <w:pPr>
        <w:jc w:val="both"/>
      </w:pPr>
      <w:r>
        <w:rPr>
          <w:rFonts w:ascii="Times New Roman" w:hAnsi="Times New Roman" w:eastAsia="Times New Roman"/>
          <w:color w:val="000000"/>
          <w:sz w:val="21"/>
        </w:rPr>
        <w:t>Proof sketch. ORD and CAL participate in different closure operations. Adding an ORD bridge enlarges directed reachability and may therefore create only those cross-domain comparisons implied by transitive closure; it does not identify affine chart gauges. A single CAL bridge fixes a relative affine map but supplies no redundant consistency test. Additional CAL links close cycles, so joint scalarizability is equivalent to consistency of the induced cycle compositions. Removing the active bridges deletes the present coordination relation but does not delete historical records, hence future ordering does not resurrect without a new active event. CORR is excluded by definition from both ORD closure and CAL composition, so CORR-only connectivity has neither effect.</w:t>
      </w:r>
    </w:p>
    <w:p>
      <w:pPr>
        <w:pStyle w:val="Heading2"/>
        <w:keepNext/>
        <w:keepLines/>
        <w:jc w:val="left"/>
      </w:pPr>
      <w:r>
        <w:rPr>
          <w:rFonts w:ascii="Times New Roman" w:hAnsi="Times New Roman" w:eastAsia="Times New Roman"/>
          <w:b/>
          <w:i w:val="0"/>
          <w:color w:val="000000"/>
          <w:sz w:val="21"/>
        </w:rPr>
        <w:t>B. Matched-connectivity specificity test</w:t>
      </w:r>
    </w:p>
    <w:p>
      <w:pPr>
        <w:widowControl/>
        <w:jc w:val="both"/>
      </w:pPr>
      <w:r>
        <w:t>A direct confound remains: perhaps any connected inter-domain skeleton would be classified as sharing a common temporal structure, making relation typing decorative. A matched-connectivity holdout attacked this possibility by holding connectivity fixed and varying only the relation semantics. In the 200-case unseen holdout over D=3,4,5,6 domains, the ORD multiple-link, CAL-tree, and CORR-only families used the same chain 0–1–…–(D−1) with the same number of links. Table III displays the matched-connectivity comparison.</w:t>
      </w:r>
    </w:p>
    <w:p>
      <w:pPr>
        <w:pStyle w:val="CaptionText"/>
        <w:keepNext/>
        <w:keepLines/>
        <w:spacing w:before="80" w:after="60"/>
        <w:jc w:val="left"/>
      </w:pPr>
      <w:r>
        <w:t>TABLE III. Matched-connectivity semantic-specificity control. With the skeleton fixed, the implementation preserves the distinct closure semantics assigned to ORD, CAL, and CORR.</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Caption w:val="TABLE III. Matched-connectivity control underlying CERT-017."/>
        <w:tblDescription w:val="The same chain connectivity with ORD, CAL, and CORR relations produces distinct temporal semantics, supporting relation-type specificity."/>
      </w:tblPr>
      <w:tblGrid>
        <w:gridCol w:w="4939"/>
        <w:gridCol w:w="4939"/>
      </w:tblGrid>
      <w:tr>
        <w:trPr>
          <w:tblHeader w:val="true"/>
          <w:cantSplit/>
          <w:tblHeader w:val="true"/>
          <w:tblHeader w:val="true"/>
        </w:trPr>
        <w:tc>
          <w:tcPr>
            <w:tcW w:type="dxa" w:w="2520"/>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Relation on identical chain</w:t>
            </w:r>
          </w:p>
        </w:tc>
        <w:tc>
          <w:tcPr>
            <w:tcW w:type="dxa" w:w="6552"/>
            <w:vAlign w:val="center"/>
            <w:tcMar>
              <w:top w:w="70" w:type="dxa"/>
              <w:start w:w="95" w:type="dxa"/>
              <w:bottom w:w="70" w:type="dxa"/>
              <w:end w:w="95" w:type="dxa"/>
            </w:tcMar>
            <w:tcBorders>
              <w:bottom w:val="single" w:sz="6" w:space="0" w:color="000000"/>
            </w:tcBorders>
          </w:tcPr>
          <w:p>
            <w:pPr>
              <w:spacing w:before="30" w:after="30" w:line="240" w:lineRule="auto"/>
              <w:jc w:val="center"/>
            </w:pPr>
            <w:r>
              <w:rPr>
                <w:rFonts w:ascii="Times New Roman" w:hAnsi="Times New Roman" w:eastAsia="Times New Roman"/>
                <w:b/>
                <w:color w:val="000000"/>
                <w:sz w:val="17"/>
              </w:rPr>
              <w:t>Observed temporal semantics</w:t>
            </w:r>
          </w:p>
        </w:tc>
      </w:tr>
      <w:tr>
        <w:trPr>
          <w:cantSplit/>
        </w:trPr>
        <w:tc>
          <w:tcPr>
            <w:tcW w:type="dxa" w:w="2520"/>
            <w:vAlign w:val="center"/>
            <w:tcMar>
              <w:top w:w="70" w:type="dxa"/>
              <w:start w:w="95" w:type="dxa"/>
              <w:bottom w:w="70" w:type="dxa"/>
              <w:end w:w="95" w:type="dxa"/>
            </w:tcMar>
          </w:tcPr>
          <w:p>
            <w:r>
              <w:t>ORD multiple-link chain</w:t>
            </w:r>
          </w:p>
        </w:tc>
        <w:tc>
          <w:tcPr>
            <w:tcW w:type="dxa" w:w="655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Partial cross-domain precedence; no affine calibration</w:t>
            </w:r>
          </w:p>
        </w:tc>
      </w:tr>
      <w:tr>
        <w:trPr>
          <w:cantSplit/>
        </w:trPr>
        <w:tc>
          <w:tcPr>
            <w:tcW w:type="dxa" w:w="2520"/>
            <w:vAlign w:val="center"/>
            <w:tcMar>
              <w:top w:w="70" w:type="dxa"/>
              <w:start w:w="95" w:type="dxa"/>
              <w:bottom w:w="70" w:type="dxa"/>
              <w:end w:w="95" w:type="dxa"/>
            </w:tcMar>
          </w:tcPr>
          <w:p>
            <w:r>
              <w:t>CAL tree</w:t>
            </w:r>
          </w:p>
        </w:tc>
        <w:tc>
          <w:tcPr>
            <w:tcW w:type="dxa" w:w="655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Connected common relative affine gauge; scalarizable but nonredundant</w:t>
            </w:r>
          </w:p>
        </w:tc>
      </w:tr>
      <w:tr>
        <w:trPr>
          <w:cantSplit/>
        </w:trPr>
        <w:tc>
          <w:tcPr>
            <w:tcW w:type="dxa" w:w="2520"/>
            <w:vAlign w:val="center"/>
            <w:tcMar>
              <w:top w:w="70" w:type="dxa"/>
              <w:start w:w="95" w:type="dxa"/>
              <w:bottom w:w="70" w:type="dxa"/>
              <w:end w:w="95" w:type="dxa"/>
            </w:tcMar>
          </w:tcPr>
          <w:p>
            <w:r>
              <w:t>CORR-only chain</w:t>
            </w:r>
          </w:p>
        </w:tc>
        <w:tc>
          <w:tcPr>
            <w:tcW w:type="dxa" w:w="6552"/>
            <w:vAlign w:val="center"/>
            <w:tcMar>
              <w:top w:w="70" w:type="dxa"/>
              <w:start w:w="95" w:type="dxa"/>
              <w:bottom w:w="70" w:type="dxa"/>
              <w:end w:w="95" w:type="dxa"/>
            </w:tcMar>
          </w:tcPr>
          <w:p>
            <w:pPr>
              <w:spacing w:after="30" w:line="240" w:lineRule="auto" w:before="30"/>
              <w:jc w:val="left"/>
            </w:pPr>
            <w:r>
              <w:rPr>
                <w:rFonts w:ascii="Times New Roman" w:hAnsi="Times New Roman" w:eastAsia="Times New Roman"/>
                <w:color w:val="000000"/>
                <w:sz w:val="17"/>
              </w:rPr>
              <w:t>No cross-domain precedence; relative affine gauge unidentified</w:t>
            </w:r>
          </w:p>
        </w:tc>
      </w:tr>
    </w:tbl>
    <w:p>
      <w:pPr>
        <w:widowControl/>
        <w:spacing w:after="20"/>
      </w:pPr>
    </w:p>
    <w:p>
      <w:pPr>
        <w:widowControl/>
        <w:jc w:val="both"/>
      </w:pPr>
      <w:r>
        <w:t>The corrected external attempt satisfied all predeclared criteria. Consistent redundant CAL cycles were scalarizable, an inconsistent redundant CAL link produced a holonomy obstruction, split/non-resurrection and fresh-reglue cases satisfied their checks, and CORR-only null cases remained temporally null. This is an implementation and semantic-specificity validation: because the relation types are defined to obey different closure rules, the test does not discover a new physical law. It instead rejects the concrete confound that the tested classifier or dynamics might effectively be using connectivity alone. The pre-science contract defect of the earlier attempt is retained in Appendix B.</w:t>
      </w:r>
    </w:p>
    <w:p>
      <w:pPr>
        <w:jc w:val="both"/>
      </w:pPr>
      <w:r>
        <w:rPr>
          <w:rFonts w:ascii="Times New Roman" w:hAnsi="Times New Roman" w:eastAsia="Times New Roman"/>
          <w:color w:val="000000"/>
          <w:sz w:val="21"/>
        </w:rPr>
        <w:t>At this point the successor chain has established the ingredients needed for a field-like calibration description: local affine gauges exist where CAL is meaningful, global scalarization is optional, and nontrivial cycle inconsistency is a gauge-invariant obstruction. The next sections therefore study the positive CAL scale sector as a finite cochain field, without introducing spatial geometry.</w:t>
      </w:r>
    </w:p>
    <w:p>
      <w:pPr>
        <w:pStyle w:val="Heading1"/>
        <w:keepNext/>
        <w:keepLines/>
        <w:jc w:val="center"/>
      </w:pPr>
      <w:r>
        <w:t>VIII. CAL SCALE CONNECTION AND LOCAL CLOCK GAUGE</w:t>
      </w:r>
    </w:p>
    <w:p>
      <w:pPr>
        <w:pStyle w:val="Heading2"/>
        <w:keepNext/>
        <w:keepLines/>
        <w:jc w:val="left"/>
      </w:pPr>
      <w:r>
        <w:rPr>
          <w:rFonts w:ascii="Times New Roman" w:hAnsi="Times New Roman" w:eastAsia="Times New Roman"/>
          <w:b/>
          <w:i w:val="0"/>
          <w:color w:val="000000"/>
          <w:sz w:val="21"/>
        </w:rPr>
        <w:t>A. Positive CAL scale sector</w:t>
      </w:r>
    </w:p>
    <w:p>
      <w:pPr>
        <w:widowControl/>
        <w:jc w:val="both"/>
      </w:pPr>
      <w:r>
        <w:rPr>
          <w:rFonts w:ascii="Times New Roman" w:hAnsi="Times New Roman" w:eastAsia="Times New Roman"/>
          <w:i w:val="0"/>
          <w:color w:val="000000"/>
          <w:sz w:val="22"/>
        </w:rPr>
        <w:t>A full CAL map is affine and contains both scale and translation. The field construction isolates the positive scale sector because multiplication becomes additive under the logarithm. Translation holonomy remains part of full affine gluing but is not included in the linear Hodge decomposition developed here. For an oriented CAL edge i→j define</w:t>
      </w:r>
    </w:p>
    <w:p>
      <w:pPr>
        <w:pStyle w:val="Equation"/>
        <w:keepNext w:val="0"/>
        <w:keepLines/>
        <w:widowControl/>
        <w:spacing w:before="100" w:after="100"/>
        <w:jc w:val="center"/>
      </w:pPr>
      <m:oMath>
        <m:sSub>
          <m:e>
            <m:r>
              <m:t>γ</m:t>
            </m:r>
          </m:e>
          <m:sub>
            <m:r>
              <m:t>i</m:t>
            </m:r>
            <m:r>
              <m:t>j</m:t>
            </m:r>
          </m:sub>
        </m:sSub>
        <m:r>
          <m:rPr>
            <m:sty m:val="p"/>
          </m:rPr>
          <m:t>=</m:t>
        </m:r>
        <m:r>
          <m:rPr>
            <m:sty m:val="p"/>
          </m:rPr>
          <m:t>log</m:t>
        </m:r>
        <m:sSub>
          <m:e>
            <m:r>
              <m:t>a</m:t>
            </m:r>
          </m:e>
          <m:sub>
            <m:r>
              <m:t>j</m:t>
            </m:r>
            <m:r>
              <m:rPr>
                <m:sty m:val="p"/>
              </m:rPr>
              <m:t>←</m:t>
            </m:r>
            <m:r>
              <m:t>i</m:t>
            </m:r>
          </m:sub>
        </m:sSub>
        <m:r>
          <m:rPr>
            <m:sty m:val="p"/>
          </m:rPr>
          <m:t>.</m:t>
        </m:r>
      </m:oMath>
      <w:r>
        <w:rPr>
          <w:rFonts w:ascii="Times New Roman" w:hAnsi="Times New Roman" w:eastAsia="Times New Roman"/>
          <w:color w:val="000000"/>
          <w:sz w:val="22"/>
        </w:rPr>
        <w:t xml:space="preserve">    (4)</w:t>
      </w:r>
    </w:p>
    <w:p>
      <w:pPr>
        <w:widowControl/>
        <w:jc w:val="both"/>
      </w:pPr>
      <w:r>
        <w:rPr>
          <w:rFonts w:ascii="Times New Roman" w:hAnsi="Times New Roman" w:eastAsia="Times New Roman"/>
          <w:color w:val="000000"/>
          <w:sz w:val="22"/>
        </w:rPr>
        <w:t xml:space="preserve">Under independent local positive clock rescalings </w:t>
      </w:r>
      <m:oMath>
        <m:sSubSup>
          <m:e>
            <m:r>
              <m:t>τ</m:t>
            </m:r>
          </m:e>
          <m:sub>
            <m:r>
              <m:t>i</m:t>
            </m:r>
          </m:sub>
          <m:sup>
            <m:r>
              <m:rPr>
                <m:sty m:val="p"/>
              </m:rPr>
              <m:t>′</m:t>
            </m:r>
          </m:sup>
        </m:sSubSup>
        <m:r>
          <m:rPr>
            <m:sty m:val="p"/>
          </m:rPr>
          <m:t>=</m:t>
        </m:r>
        <m:sSub>
          <m:e>
            <m:r>
              <m:t>c</m:t>
            </m:r>
          </m:e>
          <m:sub>
            <m:r>
              <m:t>i</m:t>
            </m:r>
          </m:sub>
        </m:sSub>
        <m:sSub>
          <m:e>
            <m:r>
              <m:t>τ</m:t>
            </m:r>
          </m:e>
          <m:sub>
            <m:r>
              <m:t>i</m:t>
            </m:r>
          </m:sub>
        </m:sSub>
      </m:oMath>
      <w:r>
        <w:rPr>
          <w:rFonts w:ascii="Times New Roman" w:hAnsi="Times New Roman" w:eastAsia="Times New Roman"/>
          <w:color w:val="000000"/>
          <w:sz w:val="22"/>
        </w:rPr>
        <w:t xml:space="preserve">, with </w:t>
      </w:r>
      <m:oMath>
        <m:sSub>
          <m:e>
            <m:r>
              <m:t>q</m:t>
            </m:r>
          </m:e>
          <m:sub>
            <m:r>
              <m:t>i</m:t>
            </m:r>
          </m:sub>
        </m:sSub>
        <m:r>
          <m:rPr>
            <m:sty m:val="p"/>
          </m:rPr>
          <m:t>=</m:t>
        </m:r>
        <m:r>
          <m:rPr>
            <m:sty m:val="p"/>
          </m:rPr>
          <m:t>log</m:t>
        </m:r>
        <m:sSub>
          <m:e>
            <m:r>
              <m:t>c</m:t>
            </m:r>
          </m:e>
          <m:sub>
            <m:r>
              <m:t>i</m:t>
            </m:r>
          </m:sub>
        </m:sSub>
      </m:oMath>
      <w:r>
        <w:rPr>
          <w:rFonts w:ascii="Times New Roman" w:hAnsi="Times New Roman" w:eastAsia="Times New Roman"/>
          <w:color w:val="000000"/>
          <w:sz w:val="22"/>
        </w:rPr>
        <w:t xml:space="preserve">, the relative scale transforms by </w:t>
      </w:r>
      <m:oMath>
        <m:sSubSup>
          <m:e>
            <m:r>
              <m:t>a</m:t>
            </m:r>
          </m:e>
          <m:sub>
            <m:r>
              <m:t>j</m:t>
            </m:r>
            <m:r>
              <m:rPr>
                <m:sty m:val="p"/>
              </m:rPr>
              <m:t>←</m:t>
            </m:r>
            <m:r>
              <m:t>i</m:t>
            </m:r>
          </m:sub>
          <m:sup>
            <m:r>
              <m:rPr>
                <m:sty m:val="p"/>
              </m:rPr>
              <m:t>′</m:t>
            </m:r>
          </m:sup>
        </m:sSubSup>
        <m:r>
          <m:rPr>
            <m:sty m:val="p"/>
          </m:rPr>
          <m:t>=</m:t>
        </m:r>
        <m:sSub>
          <m:e>
            <m:r>
              <m:t>c</m:t>
            </m:r>
          </m:e>
          <m:sub>
            <m:r>
              <m:t>j</m:t>
            </m:r>
          </m:sub>
        </m:sSub>
        <m:sSub>
          <m:e>
            <m:r>
              <m:t>a</m:t>
            </m:r>
          </m:e>
          <m:sub>
            <m:r>
              <m:t>j</m:t>
            </m:r>
            <m:r>
              <m:rPr>
                <m:sty m:val="p"/>
              </m:rPr>
              <m:t>←</m:t>
            </m:r>
            <m:r>
              <m:t>i</m:t>
            </m:r>
          </m:sub>
        </m:sSub>
        <m:sSubSup>
          <m:e>
            <m:r>
              <m:t>c</m:t>
            </m:r>
          </m:e>
          <m:sub>
            <m:r>
              <m:t>i</m:t>
            </m:r>
          </m:sub>
          <m:sup>
            <m:r>
              <m:rPr>
                <m:sty m:val="p"/>
              </m:rPr>
              <m:t>−</m:t>
            </m:r>
            <m:r>
              <m:t>1</m:t>
            </m:r>
          </m:sup>
        </m:sSubSup>
      </m:oMath>
      <w:r>
        <w:rPr>
          <w:rFonts w:ascii="Times New Roman" w:hAnsi="Times New Roman" w:eastAsia="Times New Roman"/>
          <w:color w:val="000000"/>
          <w:sz w:val="22"/>
        </w:rPr>
        <w:t>; therefore</w:t>
      </w:r>
    </w:p>
    <w:p>
      <w:pPr>
        <w:pStyle w:val="Equation"/>
        <w:keepNext w:val="0"/>
        <w:keepLines/>
        <w:widowControl/>
        <w:spacing w:before="100" w:after="100"/>
        <w:jc w:val="center"/>
      </w:pPr>
      <m:oMath>
        <m:sSup>
          <m:e>
            <m:r>
              <m:t>γ</m:t>
            </m:r>
          </m:e>
          <m:sup>
            <m:r>
              <m:rPr>
                <m:sty m:val="p"/>
              </m:rPr>
              <m:t>′</m:t>
            </m:r>
          </m:sup>
        </m:sSup>
        <m:r>
          <m:rPr>
            <m:sty m:val="p"/>
          </m:rPr>
          <m:t>=</m:t>
        </m:r>
        <m:r>
          <m:t>γ</m:t>
        </m:r>
        <m:r>
          <m:rPr>
            <m:sty m:val="p"/>
          </m:rPr>
          <m:t>+</m:t>
        </m:r>
        <m:sSub>
          <m:e>
            <m:r>
              <m:t>D</m:t>
            </m:r>
          </m:e>
          <m:sub>
            <m:r>
              <m:t>0</m:t>
            </m:r>
          </m:sub>
        </m:sSub>
        <m:r>
          <m:t>q</m:t>
        </m:r>
        <m:r>
          <m:rPr>
            <m:sty m:val="p"/>
          </m:rPr>
          <m:t>.</m:t>
        </m:r>
      </m:oMath>
      <w:r>
        <w:rPr>
          <w:rFonts w:ascii="Times New Roman" w:hAnsi="Times New Roman" w:eastAsia="Times New Roman"/>
          <w:color w:val="000000"/>
          <w:sz w:val="22"/>
        </w:rPr>
        <w:t xml:space="preserve">    (5)</w:t>
      </w:r>
    </w:p>
    <w:p>
      <w:pPr>
        <w:widowControl/>
        <w:jc w:val="both"/>
      </w:pPr>
      <w:r>
        <w:rPr>
          <w:rFonts w:ascii="Times New Roman" w:hAnsi="Times New Roman" w:eastAsia="Times New Roman"/>
          <w:color w:val="000000"/>
          <w:sz w:val="22"/>
        </w:rPr>
        <w:t>Equation (5) is the local scale-gauge law. Any candidate observable in this sector must either be invariant under addition of D₀q or be explicitly recognized as gauge-dependent.</w:t>
      </w:r>
    </w:p>
    <w:p>
      <w:pPr>
        <w:pStyle w:val="Heading2"/>
        <w:keepNext/>
        <w:keepLines/>
        <w:jc w:val="left"/>
      </w:pPr>
      <w:r>
        <w:rPr>
          <w:rFonts w:ascii="Times New Roman" w:hAnsi="Times New Roman" w:eastAsia="Times New Roman"/>
          <w:b/>
          <w:i w:val="0"/>
          <w:color w:val="000000"/>
          <w:sz w:val="21"/>
        </w:rPr>
        <w:t>B. Registered compositional 2-cells and curl</w:t>
      </w:r>
    </w:p>
    <w:p>
      <w:pPr>
        <w:widowControl/>
        <w:jc w:val="both"/>
      </w:pPr>
      <w:r>
        <w:rPr>
          <w:rFonts w:ascii="Times New Roman" w:hAnsi="Times New Roman" w:eastAsia="Times New Roman"/>
          <w:i w:val="0"/>
          <w:color w:val="000000"/>
          <w:sz w:val="22"/>
        </w:rPr>
        <w:t>A graph alone has no canonical local curl. The atlas must register finite compositional CAL 2-cells whose boundary composition has relational meaning. These are calibration-consistency cells, not spatial faces. Let D₁ be the edge-to-cell coboundary. The boundary-of-boundary identity is</w:t>
      </w:r>
    </w:p>
    <w:p>
      <w:pPr>
        <w:pStyle w:val="Equation"/>
        <w:keepNext w:val="0"/>
        <w:keepLines/>
        <w:widowControl/>
        <w:spacing w:before="100" w:after="100"/>
        <w:jc w:val="center"/>
      </w:pPr>
      <m:oMath>
        <m:sSub>
          <m:e>
            <m:r>
              <m:t>D</m:t>
            </m:r>
          </m:e>
          <m:sub>
            <m:r>
              <m:t>1</m:t>
            </m:r>
          </m:sub>
        </m:sSub>
        <m:sSub>
          <m:e>
            <m:r>
              <m:t>D</m:t>
            </m:r>
          </m:e>
          <m:sub>
            <m:r>
              <m:t>0</m:t>
            </m:r>
          </m:sub>
        </m:sSub>
        <m:r>
          <m:rPr>
            <m:sty m:val="p"/>
          </m:rPr>
          <m:t>=</m:t>
        </m:r>
        <m:r>
          <m:t>0</m:t>
        </m:r>
        <m:r>
          <m:rPr>
            <m:sty m:val="p"/>
          </m:rPr>
          <m:t>.</m:t>
        </m:r>
      </m:oMath>
      <w:r>
        <w:rPr>
          <w:rFonts w:ascii="Times New Roman" w:hAnsi="Times New Roman" w:eastAsia="Times New Roman"/>
          <w:color w:val="000000"/>
          <w:sz w:val="22"/>
        </w:rPr>
        <w:t xml:space="preserve">    (6)</w:t>
      </w:r>
    </w:p>
    <w:p>
      <w:pPr>
        <w:widowControl/>
        <w:jc w:val="both"/>
      </w:pPr>
      <w:r>
        <w:rPr>
          <w:rFonts w:ascii="Times New Roman" w:hAnsi="Times New Roman" w:eastAsia="Times New Roman"/>
          <w:i w:val="0"/>
          <w:color w:val="000000"/>
          <w:sz w:val="22"/>
        </w:rPr>
        <w:t>The registered-cell temporal curl is</w:t>
      </w:r>
    </w:p>
    <w:p>
      <w:pPr>
        <w:keepNext w:val="0"/>
        <w:keepLines/>
        <w:jc w:val="center"/>
      </w:pPr>
      <m:oMath>
        <m:r>
          <m:t>F</m:t>
        </m:r>
        <m:r>
          <m:rPr>
            <m:sty m:val="p"/>
          </m:rPr>
          <m:t>=</m:t>
        </m:r>
        <m:sSub>
          <m:e>
            <m:r>
              <m:rPr>
                <m:sty m:val="p"/>
              </m:rPr>
              <m:t>curl</m:t>
            </m:r>
          </m:e>
          <m:sub>
            <m:r>
              <m:t>T</m:t>
            </m:r>
          </m:sub>
        </m:sSub>
        <m:r>
          <m:t>γ</m:t>
        </m:r>
        <m:box>
          <m:boxPr>
            <m:opEmu m:val="on"/>
          </m:boxPr>
          <m:e>
            <m:r>
              <m:rPr>
                <m:sty m:val="p"/>
              </m:rPr>
              <m:t>:=</m:t>
            </m:r>
          </m:e>
        </m:box>
        <m:sSub>
          <m:e>
            <m:r>
              <m:t>D</m:t>
            </m:r>
          </m:e>
          <m:sub>
            <m:r>
              <m:t>1</m:t>
            </m:r>
          </m:sub>
        </m:sSub>
        <m:r>
          <m:t>γ</m:t>
        </m:r>
        <m:r>
          <m:rPr>
            <m:sty m:val="p"/>
          </m:rPr>
          <m:t>.</m:t>
        </m:r>
      </m:oMath>
      <w:r>
        <w:rPr>
          <w:rFonts w:ascii="Times New Roman" w:hAnsi="Times New Roman" w:eastAsia="Times New Roman"/>
          <w:color w:val="000000"/>
          <w:sz w:val="22"/>
        </w:rPr>
        <w:t xml:space="preserve">    (7)</w:t>
      </w:r>
    </w:p>
    <w:p>
      <w:pPr>
        <w:widowControl/>
        <w:jc w:val="both"/>
      </w:pPr>
      <w:r>
        <w:rPr>
          <w:rFonts w:ascii="Times New Roman" w:hAnsi="Times New Roman" w:eastAsia="Times New Roman"/>
          <w:color w:val="000000"/>
          <w:sz w:val="22"/>
        </w:rPr>
        <w:t>By Eq. (6), F is gauge-invariant. On a bare graph without registered 2-cells one may still discuss integrated cycle periods or affine holonomy, but one may not infer a local face-curl observable merely from graph topology.</w:t>
      </w:r>
    </w:p>
    <w:p>
      <w:pPr>
        <w:pStyle w:val="Heading1"/>
        <w:keepNext/>
        <w:keepLines/>
        <w:jc w:val="center"/>
      </w:pPr>
      <w:r>
        <w:rPr>
          <w:rFonts w:ascii="Times New Roman" w:hAnsi="Times New Roman" w:eastAsia="Times New Roman"/>
          <w:b/>
          <w:i w:val="0"/>
          <w:color w:val="000000"/>
          <w:sz w:val="22"/>
        </w:rPr>
        <w:t>IX. EXACT, CIRCULATORY, AND HARMONIC TEMPORAL SECTORS</w:t>
      </w:r>
    </w:p>
    <w:p>
      <w:r>
        <w:rPr>
          <w:rFonts w:ascii="Times New Roman" w:hAnsi="Times New Roman"/>
          <w:sz w:val="22"/>
        </w:rPr>
        <w:t>On a finite registered relational 2-complex with the unit-weight cochain inner product, γ admits a discrete Hodge decomposition; Refs. 4–7, 10, and 11 provide the relevant finite-complex and Hodge background. The inner product selects orthogonal representatives in cochain space and is not interpreted as a spatial metric. Related connection and synchronization constructions provide a useful mathematical comparison for the CAL sector (Refs. 8 and 9), although the present observables and claims are different.</w:t>
      </w:r>
    </w:p>
    <w:p>
      <w:pPr>
        <w:pStyle w:val="Equation"/>
        <w:keepNext w:val="0"/>
        <w:keepLines/>
        <w:widowControl/>
        <w:spacing w:before="100" w:after="100"/>
        <w:jc w:val="center"/>
      </w:pPr>
      <m:oMath>
        <m:r>
          <m:t>γ</m:t>
        </m:r>
        <m:r>
          <m:rPr>
            <m:sty m:val="p"/>
          </m:rPr>
          <m:t>=</m:t>
        </m:r>
        <m:sSub>
          <m:e>
            <m:r>
              <m:t>D</m:t>
            </m:r>
          </m:e>
          <m:sub>
            <m:r>
              <m:t>0</m:t>
            </m:r>
          </m:sub>
        </m:sSub>
        <m:r>
          <m:t>s</m:t>
        </m:r>
        <m:r>
          <m:rPr>
            <m:sty m:val="p"/>
          </m:rPr>
          <m:t>+</m:t>
        </m:r>
        <m:sSubSup>
          <m:e>
            <m:r>
              <m:t>D</m:t>
            </m:r>
          </m:e>
          <m:sub>
            <m:r>
              <m:t>1</m:t>
            </m:r>
          </m:sub>
          <m:sup>
            <m:r>
              <m:rPr>
                <m:sty m:val="p"/>
                <m:scr m:val="sans-serif"/>
              </m:rPr>
              <m:t>T</m:t>
            </m:r>
          </m:sup>
        </m:sSubSup>
        <m:r>
          <m:t>ψ</m:t>
        </m:r>
        <m:r>
          <m:rPr>
            <m:sty m:val="p"/>
          </m:rPr>
          <m:t>+</m:t>
        </m:r>
        <m:r>
          <m:t>h</m:t>
        </m:r>
        <m:r>
          <m:rPr>
            <m:sty m:val="p"/>
          </m:rPr>
          <m:t>,</m:t>
        </m:r>
      </m:oMath>
      <w:r>
        <w:rPr>
          <w:rFonts w:ascii="Times New Roman" w:hAnsi="Times New Roman" w:eastAsia="Times New Roman"/>
          <w:color w:val="000000"/>
          <w:sz w:val="22"/>
        </w:rPr>
        <w:t xml:space="preserve">    (8)</w:t>
      </w:r>
    </w:p>
    <w:p>
      <w:pPr>
        <w:pStyle w:val="Equation"/>
        <w:keepNext w:val="0"/>
        <w:keepLines/>
        <w:widowControl/>
        <w:spacing w:before="100" w:after="100"/>
        <w:jc w:val="center"/>
      </w:pPr>
      <m:oMath>
        <m:r>
          <m:t>h</m:t>
        </m:r>
        <m:r>
          <m:rPr>
            <m:sty m:val="p"/>
          </m:rPr>
          <m:t>∈</m:t>
        </m:r>
        <m:r>
          <m:rPr>
            <m:sty m:val="p"/>
          </m:rPr>
          <m:t>ker</m:t>
        </m:r>
        <m:d>
          <m:dPr>
            <m:begChr m:val="("/>
            <m:endChr m:val=")"/>
            <m:sepChr m:val=""/>
            <m:grow/>
          </m:dPr>
          <m:e>
            <m:sSubSup>
              <m:e>
                <m:r>
                  <m:t>D</m:t>
                </m:r>
              </m:e>
              <m:sub>
                <m:r>
                  <m:t>0</m:t>
                </m:r>
              </m:sub>
              <m:sup>
                <m:r>
                  <m:rPr>
                    <m:sty m:val="p"/>
                    <m:scr m:val="sans-serif"/>
                  </m:rPr>
                  <m:t>T</m:t>
                </m:r>
              </m:sup>
            </m:sSubSup>
          </m:e>
        </m:d>
        <m:r>
          <m:rPr>
            <m:sty m:val="p"/>
          </m:rPr>
          <m:t>∩</m:t>
        </m:r>
        <m:r>
          <m:rPr>
            <m:sty m:val="p"/>
          </m:rPr>
          <m:t>ker</m:t>
        </m:r>
        <m:d>
          <m:dPr>
            <m:begChr m:val="("/>
            <m:endChr m:val=")"/>
            <m:sepChr m:val=""/>
            <m:grow/>
          </m:dPr>
          <m:e>
            <m:sSub>
              <m:e>
                <m:r>
                  <m:t>D</m:t>
                </m:r>
              </m:e>
              <m:sub>
                <m:r>
                  <m:t>1</m:t>
                </m:r>
              </m:sub>
            </m:sSub>
          </m:e>
        </m:d>
        <m:r>
          <m:rPr>
            <m:sty m:val="p"/>
          </m:rPr>
          <m:t>.</m:t>
        </m:r>
      </m:oMath>
      <w:r>
        <w:rPr>
          <w:rFonts w:ascii="Times New Roman" w:hAnsi="Times New Roman" w:eastAsia="Times New Roman"/>
          <w:color w:val="000000"/>
          <w:sz w:val="22"/>
        </w:rPr>
        <w:t xml:space="preserve">    (9)</w:t>
      </w:r>
    </w:p>
    <w:p>
      <w:pPr>
        <w:widowControl/>
        <w:jc w:val="both"/>
      </w:pPr>
      <w:r>
        <w:rPr>
          <w:rFonts w:ascii="Times New Roman" w:hAnsi="Times New Roman" w:eastAsia="Times New Roman"/>
          <w:i w:val="0"/>
          <w:color w:val="000000"/>
          <w:sz w:val="22"/>
        </w:rPr>
        <w:t>The exact component D₀s is integrable into a scalar potential. The coexact component D₁ᵀψ carries registered local circulation. The harmonic component is closed and coclosed, can be invisible to local curl, and can retain a nonzero global period.</w:t>
      </w:r>
    </w:p>
    <w:p>
      <w:pPr/>
      <w:r>
        <w:t>The exactness obstruction and the underlying cohomology class are independent of the choice of harmonic representative. By contrast, the orthogonal decomposition into particular representatives, and all norms introduced below, depend on the declared cochain inner product. The unit-weight choice is therefore part of the finite model specification, not a derived physical metric.</w:t>
      </w:r>
    </w:p>
    <w:p>
      <w:pPr>
        <w:widowControl/>
        <w:jc w:val="both"/>
      </w:pPr>
      <w:r>
        <w:rPr>
          <w:rFonts w:ascii="Times New Roman" w:hAnsi="Times New Roman" w:eastAsia="Times New Roman"/>
          <w:b/>
          <w:color w:val="000000"/>
          <w:sz w:val="22"/>
        </w:rPr>
        <w:t>Theorem 4 (scale scalarization criterion).</w:t>
      </w:r>
      <w:r>
        <w:rPr>
          <w:rFonts w:ascii="Times New Roman" w:hAnsi="Times New Roman" w:eastAsia="Times New Roman"/>
          <w:color w:val="000000"/>
          <w:sz w:val="22"/>
        </w:rPr>
      </w:r>
    </w:p>
    <w:p>
      <w:pPr>
        <w:widowControl/>
        <w:jc w:val="both"/>
      </w:pPr>
      <w:r>
        <w:rPr>
          <w:rFonts w:ascii="Times New Roman" w:hAnsi="Times New Roman" w:eastAsia="Times New Roman"/>
          <w:color w:val="000000"/>
          <w:sz w:val="22"/>
        </w:rPr>
        <w:t>On a connected fixed CAL complex, a common global log-scale potential exists exactly when γ∈im(D₀). Equivalently, the coexact and harmonic components of Eq. (8) both vanish.</w:t>
      </w:r>
    </w:p>
    <w:p>
      <w:pPr>
        <w:widowControl/>
        <w:jc w:val="both"/>
      </w:pPr>
      <w:r>
        <w:rPr>
          <w:rFonts w:ascii="Times New Roman" w:hAnsi="Times New Roman" w:eastAsia="Times New Roman"/>
          <w:i w:val="0"/>
          <w:color w:val="000000"/>
          <w:sz w:val="22"/>
        </w:rPr>
        <w:t>A key consequence is that curl-free does not imply globally scalarizable. When H¹ is nontrivial, D₁γ=0 can coexist with a nonzero harmonic class and nonzero cycle period. Local integrability and global integrability are therefore distinct.</w:t>
      </w:r>
    </w:p>
    <w:p>
      <w:pPr>
        <w:pStyle w:val="Heading1"/>
        <w:keepNext/>
        <w:keepLines/>
        <w:jc w:val="center"/>
      </w:pPr>
      <w:r>
        <w:rPr>
          <w:rFonts w:ascii="Times New Roman" w:hAnsi="Times New Roman" w:eastAsia="Times New Roman"/>
          <w:b/>
          <w:i w:val="0"/>
          <w:color w:val="000000"/>
          <w:sz w:val="22"/>
        </w:rPr>
        <w:t>X. STATIC DIVERGENCE NO-GO AND GAUGE-INVARIANT FIELD CONTENT</w:t>
      </w:r>
    </w:p>
    <w:p>
      <w:pPr>
        <w:pStyle w:val="Heading2"/>
        <w:keepNext/>
        <w:keepLines/>
        <w:jc w:val="left"/>
      </w:pPr>
      <w:r>
        <w:rPr>
          <w:rFonts w:ascii="Times New Roman" w:hAnsi="Times New Roman" w:eastAsia="Times New Roman"/>
          <w:b/>
          <w:i w:val="0"/>
          <w:color w:val="000000"/>
          <w:sz w:val="21"/>
        </w:rPr>
        <w:t>A. Why the naive divergence fails</w:t>
      </w:r>
    </w:p>
    <w:p>
      <w:pPr>
        <w:widowControl/>
        <w:jc w:val="both"/>
      </w:pPr>
      <w:r>
        <w:rPr>
          <w:rFonts w:ascii="Times New Roman" w:hAnsi="Times New Roman" w:eastAsia="Times New Roman"/>
          <w:i w:val="0"/>
          <w:color w:val="000000"/>
          <w:sz w:val="22"/>
        </w:rPr>
        <w:t>The most tempting source observable is −D₀ᵀγ. It fails the gauge test. More generally, for a positive diagonal edge-weight matrix W and A=−D₀ᵀW,</w:t>
      </w:r>
    </w:p>
    <w:p>
      <w:pPr>
        <w:pStyle w:val="Equation"/>
        <w:keepNext w:val="0"/>
        <w:keepLines/>
        <w:widowControl/>
        <w:spacing w:before="100" w:after="100"/>
        <w:jc w:val="center"/>
      </w:pPr>
      <m:oMath>
        <m:r>
          <m:t>A</m:t>
        </m:r>
        <m:d>
          <m:dPr>
            <m:begChr m:val="("/>
            <m:endChr m:val=")"/>
            <m:sepChr m:val=""/>
            <m:grow/>
          </m:dPr>
          <m:e>
            <m:r>
              <m:t>γ</m:t>
            </m:r>
            <m:r>
              <m:rPr>
                <m:sty m:val="p"/>
              </m:rPr>
              <m:t>+</m:t>
            </m:r>
            <m:sSub>
              <m:e>
                <m:r>
                  <m:t>D</m:t>
                </m:r>
              </m:e>
              <m:sub>
                <m:r>
                  <m:t>0</m:t>
                </m:r>
              </m:sub>
            </m:sSub>
            <m:r>
              <m:t>q</m:t>
            </m:r>
          </m:e>
        </m:d>
        <m:r>
          <m:rPr>
            <m:sty m:val="p"/>
          </m:rPr>
          <m:t>=</m:t>
        </m:r>
        <m:r>
          <m:t>A</m:t>
        </m:r>
        <m:r>
          <m:t>γ</m:t>
        </m:r>
        <m:r>
          <m:rPr>
            <m:sty m:val="p"/>
          </m:rPr>
          <m:t>−</m:t>
        </m:r>
        <m:sSubSup>
          <m:e>
            <m:r>
              <m:t>D</m:t>
            </m:r>
          </m:e>
          <m:sub>
            <m:r>
              <m:t>0</m:t>
            </m:r>
          </m:sub>
          <m:sup>
            <m:r>
              <m:rPr>
                <m:sty m:val="p"/>
                <m:scr m:val="sans-serif"/>
              </m:rPr>
              <m:t>T</m:t>
            </m:r>
          </m:sup>
        </m:sSubSup>
        <m:r>
          <m:t>W</m:t>
        </m:r>
        <m:sSub>
          <m:e>
            <m:r>
              <m:t>D</m:t>
            </m:r>
          </m:e>
          <m:sub>
            <m:r>
              <m:t>0</m:t>
            </m:r>
          </m:sub>
        </m:sSub>
        <m:r>
          <m:t>q</m:t>
        </m:r>
        <m:r>
          <m:rPr>
            <m:sty m:val="p"/>
          </m:rPr>
          <m:t>.</m:t>
        </m:r>
      </m:oMath>
      <w:r>
        <w:rPr>
          <w:rFonts w:ascii="Times New Roman" w:hAnsi="Times New Roman" w:eastAsia="Times New Roman"/>
          <w:color w:val="000000"/>
          <w:sz w:val="22"/>
        </w:rPr>
        <w:t xml:space="preserve">    (10)</w:t>
      </w:r>
    </w:p>
    <w:p>
      <w:pPr>
        <w:widowControl/>
        <w:jc w:val="both"/>
      </w:pPr>
      <w:r>
        <w:rPr>
          <w:rFonts w:ascii="Times New Roman" w:hAnsi="Times New Roman" w:eastAsia="Times New Roman"/>
          <w:b/>
          <w:color w:val="000000"/>
          <w:sz w:val="22"/>
        </w:rPr>
        <w:t>Theorem 5 (static divergence no-go).</w:t>
      </w:r>
      <w:r>
        <w:rPr>
          <w:rFonts w:ascii="Times New Roman" w:hAnsi="Times New Roman" w:eastAsia="Times New Roman"/>
          <w:color w:val="000000"/>
          <w:sz w:val="22"/>
        </w:rPr>
      </w:r>
    </w:p>
    <w:p>
      <w:pPr>
        <w:widowControl/>
        <w:jc w:val="both"/>
      </w:pPr>
      <w:r>
        <w:rPr>
          <w:rFonts w:ascii="Times New Roman" w:hAnsi="Times New Roman" w:eastAsia="Times New Roman"/>
          <w:i w:val="0"/>
          <w:color w:val="000000"/>
          <w:sz w:val="22"/>
        </w:rPr>
        <w:t>On a connected nontrivial CAL graph with positive edge weights, no nonzero weighted incidence divergence −D₀ᵀWγ is gauge-invariant under independent local scale gauges. Gauge invariance would require D₀ᵀWD₀q=0 for every q, but the positive weighted graph Laplacian is strictly positive on nonconstant gauge modes.</w:t>
      </w:r>
    </w:p>
    <w:p>
      <w:pPr>
        <w:widowControl/>
        <w:jc w:val="both"/>
      </w:pPr>
      <w:r>
        <w:rPr>
          <w:rFonts w:ascii="Times New Roman" w:hAnsi="Times New Roman" w:eastAsia="Times New Roman"/>
          <w:color w:val="000000"/>
          <w:sz w:val="22"/>
        </w:rPr>
        <w:t xml:space="preserve">Registered curl does not rescue a nonzero static vertex source: </w:t>
      </w:r>
      <m:oMath>
        <m:sSub>
          <m:e>
            <m:r>
              <m:t>J</m:t>
            </m:r>
          </m:e>
          <m:sub>
            <m:r>
              <m:rPr>
                <m:sty m:val="p"/>
              </m:rPr>
              <m:t>c</m:t>
            </m:r>
            <m:r>
              <m:rPr>
                <m:sty m:val="p"/>
              </m:rPr>
              <m:t>i</m:t>
            </m:r>
            <m:r>
              <m:rPr>
                <m:sty m:val="p"/>
              </m:rPr>
              <m:t>r</m:t>
            </m:r>
            <m:r>
              <m:rPr>
                <m:sty m:val="p"/>
              </m:rPr>
              <m:t>c</m:t>
            </m:r>
          </m:sub>
        </m:sSub>
        <m:r>
          <m:rPr>
            <m:sty m:val="p"/>
          </m:rPr>
          <m:t>=</m:t>
        </m:r>
        <m:sSubSup>
          <m:e>
            <m:r>
              <m:t>D</m:t>
            </m:r>
          </m:e>
          <m:sub>
            <m:r>
              <m:t>1</m:t>
            </m:r>
          </m:sub>
          <m:sup>
            <m:r>
              <m:rPr>
                <m:sty m:val="p"/>
                <m:scr m:val="sans-serif"/>
              </m:rPr>
              <m:t>T</m:t>
            </m:r>
          </m:sup>
        </m:sSubSup>
        <m:r>
          <m:t>F</m:t>
        </m:r>
      </m:oMath>
      <w:r>
        <w:rPr>
          <w:rFonts w:ascii="Times New Roman" w:hAnsi="Times New Roman" w:eastAsia="Times New Roman"/>
          <w:color w:val="000000"/>
          <w:sz w:val="22"/>
        </w:rPr>
        <w:t xml:space="preserve"> is gauge-invariant but </w:t>
      </w:r>
      <m:oMath>
        <m:sSubSup>
          <m:e>
            <m:r>
              <m:t>D</m:t>
            </m:r>
          </m:e>
          <m:sub>
            <m:r>
              <m:t>0</m:t>
            </m:r>
          </m:sub>
          <m:sup>
            <m:r>
              <m:rPr>
                <m:sty m:val="p"/>
                <m:scr m:val="sans-serif"/>
              </m:rPr>
              <m:t>T</m:t>
            </m:r>
          </m:sup>
        </m:sSubSup>
        <m:sSub>
          <m:e>
            <m:r>
              <m:t>J</m:t>
            </m:r>
          </m:e>
          <m:sub>
            <m:r>
              <m:rPr>
                <m:sty m:val="p"/>
              </m:rPr>
              <m:t>c</m:t>
            </m:r>
            <m:r>
              <m:rPr>
                <m:sty m:val="p"/>
              </m:rPr>
              <m:t>i</m:t>
            </m:r>
            <m:r>
              <m:rPr>
                <m:sty m:val="p"/>
              </m:rPr>
              <m:t>r</m:t>
            </m:r>
            <m:r>
              <m:rPr>
                <m:sty m:val="p"/>
              </m:rPr>
              <m:t>c</m:t>
            </m:r>
          </m:sub>
        </m:sSub>
        <m:r>
          <m:rPr>
            <m:sty m:val="p"/>
          </m:rPr>
          <m:t>=</m:t>
        </m:r>
        <m:sSup>
          <m:e>
            <m:d>
              <m:dPr>
                <m:begChr m:val="("/>
                <m:endChr m:val=")"/>
                <m:sepChr m:val=""/>
                <m:grow/>
              </m:dPr>
              <m:e>
                <m:sSub>
                  <m:e>
                    <m:r>
                      <m:t>D</m:t>
                    </m:r>
                  </m:e>
                  <m:sub>
                    <m:r>
                      <m:t>1</m:t>
                    </m:r>
                  </m:sub>
                </m:sSub>
                <m:sSub>
                  <m:e>
                    <m:r>
                      <m:t>D</m:t>
                    </m:r>
                  </m:e>
                  <m:sub>
                    <m:r>
                      <m:t>0</m:t>
                    </m:r>
                  </m:sub>
                </m:sSub>
              </m:e>
            </m:d>
          </m:e>
          <m:sup>
            <m:r>
              <m:rPr>
                <m:sty m:val="p"/>
                <m:scr m:val="sans-serif"/>
              </m:rPr>
              <m:t>T</m:t>
            </m:r>
          </m:sup>
        </m:sSup>
        <m:r>
          <m:t>F</m:t>
        </m:r>
        <m:r>
          <m:rPr>
            <m:sty m:val="p"/>
          </m:rPr>
          <m:t>=</m:t>
        </m:r>
        <m:r>
          <m:t>0</m:t>
        </m:r>
      </m:oMath>
      <w:r>
        <w:rPr>
          <w:rFonts w:ascii="Times New Roman" w:hAnsi="Times New Roman" w:eastAsia="Times New Roman"/>
          <w:color w:val="000000"/>
          <w:sz w:val="22"/>
        </w:rPr>
        <w:t>. Static CAL circulation therefore cannot by itself furnish a nonzero vertex source density.</w:t>
      </w:r>
    </w:p>
    <w:p>
      <w:pPr>
        <w:pStyle w:val="Heading2"/>
        <w:keepNext/>
        <w:keepLines/>
        <w:jc w:val="left"/>
      </w:pPr>
      <w:r>
        <w:rPr>
          <w:rFonts w:ascii="Times New Roman" w:hAnsi="Times New Roman" w:eastAsia="Times New Roman"/>
          <w:b/>
          <w:i w:val="0"/>
          <w:color w:val="000000"/>
          <w:sz w:val="21"/>
        </w:rPr>
        <w:t>B. Transverse/nonintegrable content</w:t>
      </w:r>
    </w:p>
    <w:p>
      <w:pPr>
        <w:widowControl/>
        <w:jc w:val="both"/>
      </w:pPr>
      <w:r>
        <w:rPr>
          <w:rFonts w:ascii="Times New Roman" w:hAnsi="Times New Roman" w:eastAsia="Times New Roman"/>
          <w:color w:val="000000"/>
          <w:sz w:val="22"/>
        </w:rPr>
        <w:t xml:space="preserve">Let </w:t>
      </w:r>
      <m:oMath>
        <m:sSub>
          <m:e>
            <m:r>
              <m:t>P</m:t>
            </m:r>
          </m:e>
          <m:sub>
            <m:r>
              <m:rPr>
                <m:sty m:val="p"/>
              </m:rPr>
              <m:t>⊥</m:t>
            </m:r>
          </m:sub>
        </m:sSub>
      </m:oMath>
      <w:r>
        <w:rPr>
          <w:rFonts w:ascii="Times New Roman" w:hAnsi="Times New Roman" w:eastAsia="Times New Roman"/>
          <w:color w:val="000000"/>
          <w:sz w:val="22"/>
        </w:rPr>
        <w:t xml:space="preserve"> be the orthogonal projector onto the complement of </w:t>
      </w:r>
      <m:oMath>
        <m:r>
          <m:rPr>
            <m:sty m:val="p"/>
          </m:rPr>
          <m:t>i</m:t>
        </m:r>
        <m:r>
          <m:rPr>
            <m:sty m:val="p"/>
          </m:rPr>
          <m:t>m</m:t>
        </m:r>
        <m:d>
          <m:dPr>
            <m:begChr m:val="("/>
            <m:endChr m:val=")"/>
            <m:sepChr m:val=""/>
            <m:grow/>
          </m:dPr>
          <m:e>
            <m:sSub>
              <m:e>
                <m:r>
                  <m:t>D</m:t>
                </m:r>
              </m:e>
              <m:sub>
                <m:r>
                  <m:t>0</m:t>
                </m:r>
              </m:sub>
            </m:sSub>
          </m:e>
        </m:d>
      </m:oMath>
      <w:r>
        <w:rPr>
          <w:rFonts w:ascii="Times New Roman" w:hAnsi="Times New Roman" w:eastAsia="Times New Roman"/>
          <w:color w:val="000000"/>
          <w:sz w:val="22"/>
        </w:rPr>
        <w:t>, and define</w:t>
      </w:r>
    </w:p>
    <w:p>
      <w:pPr>
        <w:keepNext w:val="0"/>
        <w:keepLines/>
        <w:jc w:val="center"/>
      </w:pPr>
      <m:oMath>
        <m:r>
          <m:t>η</m:t>
        </m:r>
        <m:r>
          <m:rPr>
            <m:sty m:val="p"/>
          </m:rPr>
          <m:t>=</m:t>
        </m:r>
        <m:sSub>
          <m:e>
            <m:r>
              <m:t>P</m:t>
            </m:r>
          </m:e>
          <m:sub>
            <m:r>
              <m:rPr>
                <m:sty m:val="p"/>
              </m:rPr>
              <m:t>⊥</m:t>
            </m:r>
          </m:sub>
        </m:sSub>
        <m:r>
          <m:t>γ</m:t>
        </m:r>
        <m:r>
          <m:rPr>
            <m:sty m:val="p"/>
          </m:rPr>
          <m:t>,</m:t>
        </m:r>
        <m:r>
          <m:t>  </m:t>
        </m:r>
        <m:sSub>
          <m:e>
            <m:r>
              <m:t>P</m:t>
            </m:r>
          </m:e>
          <m:sub>
            <m:r>
              <m:rPr>
                <m:sty m:val="p"/>
              </m:rPr>
              <m:t>⊥</m:t>
            </m:r>
          </m:sub>
        </m:sSub>
        <m:sSub>
          <m:e>
            <m:r>
              <m:t>D</m:t>
            </m:r>
          </m:e>
          <m:sub>
            <m:r>
              <m:t>0</m:t>
            </m:r>
          </m:sub>
        </m:sSub>
        <m:r>
          <m:rPr>
            <m:sty m:val="p"/>
          </m:rPr>
          <m:t>=</m:t>
        </m:r>
        <m:r>
          <m:t>0</m:t>
        </m:r>
        <m:r>
          <m:rPr>
            <m:sty m:val="p"/>
          </m:rPr>
          <m:t>.</m:t>
        </m:r>
      </m:oMath>
      <w:r>
        <w:rPr>
          <w:rFonts w:ascii="Times New Roman" w:hAnsi="Times New Roman" w:eastAsia="Times New Roman"/>
          <w:color w:val="000000"/>
          <w:sz w:val="22"/>
        </w:rPr>
        <w:t xml:space="preserve">    (11)</w:t>
      </w:r>
    </w:p>
    <w:p>
      <w:pPr>
        <w:widowControl/>
        <w:jc w:val="both"/>
      </w:pPr>
      <w:r>
        <w:t>Then η is invariant under Eq. (5) and vanishes exactly when the scale connection is globally scalarizable on the connected fixed complex. This statement is made for the declared cochain inner product: changing that auxiliary inner product can change the orthogonal representative and its norm, although vanishing of the projection continues to characterize membership in im(D₀). We use η as an analyst-level diagnostic; the microdynamics is not assumed to compute a global projector.</w:t>
      </w:r>
    </w:p>
    <w:p>
      <w:pPr>
        <w:keepNext w:val="0"/>
        <w:keepLines/>
        <w:jc w:val="center"/>
      </w:pPr>
      <m:oMath>
        <m:sSub>
          <m:e>
            <m:r>
              <m:t>E</m:t>
            </m:r>
          </m:e>
          <m:sub>
            <m:r>
              <m:rPr>
                <m:sty m:val="p"/>
              </m:rPr>
              <m:t>i</m:t>
            </m:r>
            <m:r>
              <m:rPr>
                <m:sty m:val="p"/>
              </m:rPr>
              <m:t>n</m:t>
            </m:r>
            <m:r>
              <m:rPr>
                <m:sty m:val="p"/>
              </m:rPr>
              <m:t>v</m:t>
            </m:r>
          </m:sub>
        </m:sSub>
        <m:r>
          <m:rPr>
            <m:sty m:val="p"/>
          </m:rPr>
          <m:t>=</m:t>
        </m:r>
        <m:r>
          <m:rPr>
            <m:sty m:val="p"/>
          </m:rPr>
          <m:t>∥</m:t>
        </m:r>
        <m:r>
          <m:t>η</m:t>
        </m:r>
        <m:sSup>
          <m:e>
            <m:r>
              <m:rPr>
                <m:sty m:val="p"/>
              </m:rPr>
              <m:t>∥</m:t>
            </m:r>
          </m:e>
          <m:sup>
            <m:r>
              <m:t>2</m:t>
            </m:r>
          </m:sup>
        </m:sSup>
        <m:r>
          <m:rPr>
            <m:sty m:val="p"/>
          </m:rPr>
          <m:t>,</m:t>
        </m:r>
        <m:r>
          <m:t>  </m:t>
        </m:r>
        <m:sSub>
          <m:e>
            <m:r>
              <m:t>ρ</m:t>
            </m:r>
          </m:e>
          <m:sub>
            <m:r>
              <m:t>i</m:t>
            </m:r>
          </m:sub>
        </m:sSub>
        <m:r>
          <m:rPr>
            <m:sty m:val="p"/>
          </m:rPr>
          <m:t>=</m:t>
        </m:r>
        <m:f>
          <m:fPr>
            <m:type m:val="bar"/>
          </m:fPr>
          <m:num>
            <m:r>
              <m:t>1</m:t>
            </m:r>
          </m:num>
          <m:den>
            <m:r>
              <m:t>2</m:t>
            </m:r>
          </m:den>
        </m:f>
        <m:nary>
          <m:naryPr>
            <m:chr m:val="∑"/>
            <m:limLoc m:val="undOvr"/>
            <m:subHide m:val="off"/>
            <m:supHide m:val="on"/>
          </m:naryPr>
          <m:sub>
            <m:r>
              <m:t>e</m:t>
            </m:r>
            <m:r>
              <m:rPr>
                <m:sty m:val="p"/>
              </m:rPr>
              <m:t>∋</m:t>
            </m:r>
            <m:r>
              <m:t>i</m:t>
            </m:r>
          </m:sub>
          <m:sup>
            <m:r>
              <m:t>​</m:t>
            </m:r>
          </m:sup>
          <m:e>
            <m:sSubSup>
              <m:e>
                <m:r>
                  <m:t>η</m:t>
                </m:r>
              </m:e>
              <m:sub>
                <m:r>
                  <m:t>e</m:t>
                </m:r>
              </m:sub>
              <m:sup>
                <m:r>
                  <m:t>2</m:t>
                </m:r>
              </m:sup>
            </m:sSubSup>
          </m:e>
        </m:nary>
        <m:r>
          <m:rPr>
            <m:sty m:val="p"/>
          </m:rPr>
          <m:t>.</m:t>
        </m:r>
      </m:oMath>
      <w:r>
        <w:rPr>
          <w:rFonts w:ascii="Times New Roman" w:hAnsi="Times New Roman" w:eastAsia="Times New Roman"/>
          <w:color w:val="000000"/>
          <w:sz w:val="22"/>
        </w:rPr>
        <w:t xml:space="preserve">    (12)</w:t>
      </w:r>
    </w:p>
    <w:p>
      <w:pPr>
        <w:widowControl/>
        <w:jc w:val="both"/>
      </w:pPr>
      <w:r>
        <w:rPr>
          <w:rFonts w:ascii="Times New Roman" w:hAnsi="Times New Roman" w:eastAsia="Times New Roman"/>
          <w:color w:val="000000"/>
          <w:sz w:val="22"/>
        </w:rPr>
        <w:t xml:space="preserve">The local shares </w:t>
      </w:r>
      <m:oMath>
        <m:sSub>
          <m:e>
            <m:r>
              <m:t>ρ</m:t>
            </m:r>
          </m:e>
          <m:sub>
            <m:r>
              <m:t>i</m:t>
            </m:r>
          </m:sub>
        </m:sSub>
      </m:oMath>
      <w:r>
        <w:rPr>
          <w:rFonts w:ascii="Times New Roman" w:hAnsi="Times New Roman" w:eastAsia="Times New Roman"/>
          <w:color w:val="000000"/>
          <w:sz w:val="22"/>
        </w:rPr>
        <w:t xml:space="preserve"> are gauge-invariant and sum to </w:t>
      </w:r>
      <m:oMath>
        <m:sSub>
          <m:e>
            <m:r>
              <m:t>E</m:t>
            </m:r>
          </m:e>
          <m:sub>
            <m:r>
              <m:rPr>
                <m:sty m:val="p"/>
              </m:rPr>
              <m:t>i</m:t>
            </m:r>
            <m:r>
              <m:rPr>
                <m:sty m:val="p"/>
              </m:rPr>
              <m:t>n</m:t>
            </m:r>
            <m:r>
              <m:rPr>
                <m:sty m:val="p"/>
              </m:rPr>
              <m:t>v</m:t>
            </m:r>
          </m:sub>
        </m:sSub>
      </m:oMath>
      <w:r>
        <w:rPr>
          <w:rFonts w:ascii="Times New Roman" w:hAnsi="Times New Roman" w:eastAsia="Times New Roman"/>
          <w:color w:val="000000"/>
          <w:sz w:val="22"/>
        </w:rPr>
        <w:t xml:space="preserve">. On a fixed complex the invariant content decomposes further into coexact and harmonic contributions. Across an update, σᵢ = ρᵢ⁺ - ρᵢ⁻ and </w:t>
      </w:r>
      <m:oMath>
        <m:r>
          <m:t>Δ</m:t>
        </m:r>
        <m:sSub>
          <m:e>
            <m:r>
              <m:t>E</m:t>
            </m:r>
          </m:e>
          <m:sub>
            <m:r>
              <m:rPr>
                <m:sty m:val="p"/>
              </m:rPr>
              <m:t>i</m:t>
            </m:r>
            <m:r>
              <m:rPr>
                <m:sty m:val="p"/>
              </m:rPr>
              <m:t>n</m:t>
            </m:r>
            <m:r>
              <m:rPr>
                <m:sty m:val="p"/>
              </m:rPr>
              <m:t>v</m:t>
            </m:r>
          </m:sub>
        </m:sSub>
        <m:r>
          <m:rPr>
            <m:sty m:val="p"/>
          </m:rPr>
          <m:t>=</m:t>
        </m:r>
        <m:nary>
          <m:naryPr>
            <m:chr m:val="∑"/>
            <m:limLoc m:val="undOvr"/>
            <m:subHide m:val="off"/>
            <m:supHide m:val="on"/>
          </m:naryPr>
          <m:sub>
            <m:r>
              <m:t>i</m:t>
            </m:r>
          </m:sub>
          <m:sup>
            <m:r>
              <m:t>​</m:t>
            </m:r>
          </m:sup>
          <m:e>
            <m:sSub>
              <m:e>
                <m:r>
                  <m:t>σ</m:t>
                </m:r>
              </m:e>
              <m:sub>
                <m:r>
                  <m:t>i</m:t>
                </m:r>
              </m:sub>
            </m:sSub>
          </m:e>
        </m:nary>
      </m:oMath>
      <w:r>
        <w:rPr>
          <w:rFonts w:ascii="Times New Roman" w:hAnsi="Times New Roman" w:eastAsia="Times New Roman"/>
          <w:color w:val="000000"/>
          <w:sz w:val="22"/>
        </w:rPr>
        <w:t xml:space="preserve"> remain gauge-invariant even when the endpoint clock gauges are chosen independently.</w:t>
      </w:r>
    </w:p>
    <w:p>
      <w:pPr/>
      <w:r>
        <w:t>The half-incidence assignment used for ρ is a symmetric bookkeeping convention rather than a unique local observable. Other gauge-invariant partitions of the same edge content are possible. Accordingly, local transport statements below are conditional on both the declared cochain inner product and the declared density partition; the total quadratic content is the less convention-dependent quantity once the inner product is fixed.</w:t>
      </w:r>
    </w:p>
    <w:p>
      <w:pPr>
        <w:pStyle w:val="Heading1"/>
        <w:keepNext/>
        <w:keepLines/>
        <w:jc w:val="center"/>
      </w:pPr>
      <w:r>
        <w:t>XI. PROVENANCE-INDUCED CURRENT AND CONDITIONAL BALANCE</w:t>
      </w:r>
    </w:p>
    <w:p>
      <w:pPr>
        <w:pStyle w:val="Heading2"/>
        <w:keepNext/>
        <w:keepLines/>
        <w:jc w:val="left"/>
      </w:pPr>
      <w:r>
        <w:t>A. From density change to a current assignment</w:t>
      </w:r>
    </w:p>
    <w:p>
      <w:pPr>
        <w:widowControl/>
        <w:jc w:val="both"/>
      </w:pPr>
      <w:r>
        <w:t>Gauge-invariant density change alone does not distinguish production from redistribution. A continuity equation admits nonunique currents on a cyclic graph because divergence-free cycle currents may be added. To define one particular current assignment, we therefore condition on the micro-event provenance supplied by the declared model. This is a routing convention anchored in provenance, not a new clock gauge and not an independently derived microscopic transport law.</w:t>
      </w:r>
    </w:p>
    <w:p>
      <w:pPr>
        <w:widowControl/>
        <w:jc w:val="both"/>
      </w:pPr>
      <w:r>
        <w:rPr>
          <w:rFonts w:ascii="Times New Roman" w:hAnsi="Times New Roman" w:eastAsia="Times New Roman"/>
          <w:color w:val="000000"/>
          <w:sz w:val="22"/>
        </w:rPr>
        <w:t xml:space="preserve">For one micro-event e, let </w:t>
      </w:r>
      <m:oMath>
        <m:sSub>
          <m:e>
            <m:r>
              <m:t>T</m:t>
            </m:r>
          </m:e>
          <m:sub>
            <m:r>
              <m:t>e</m:t>
            </m:r>
          </m:sub>
        </m:sSub>
      </m:oMath>
      <w:r>
        <w:rPr>
          <w:rFonts w:ascii="Times New Roman" w:hAnsi="Times New Roman" w:eastAsia="Times New Roman"/>
          <w:color w:val="000000"/>
          <w:sz w:val="22"/>
        </w:rPr>
        <w:t xml:space="preserve"> be a finite rooted provenance tree with write-anchor/root </w:t>
      </w:r>
      <m:oMath>
        <m:sSub>
          <m:e>
            <m:r>
              <m:t>r</m:t>
            </m:r>
          </m:e>
          <m:sub>
            <m:r>
              <m:t>e</m:t>
            </m:r>
          </m:sub>
        </m:sSub>
      </m:oMath>
      <w:r>
        <w:rPr>
          <w:rFonts w:ascii="Times New Roman" w:hAnsi="Times New Roman" w:eastAsia="Times New Roman"/>
          <w:color w:val="000000"/>
          <w:sz w:val="22"/>
        </w:rPr>
        <w:t>. For each oriented provenance edge p→c define</w:t>
      </w:r>
    </w:p>
    <w:p>
      <w:pPr>
        <w:pStyle w:val="Equation"/>
        <w:keepNext w:val="0"/>
        <w:keepLines/>
        <w:widowControl/>
        <w:spacing w:before="100" w:after="100"/>
        <w:jc w:val="center"/>
      </w:pPr>
      <m:oMath>
        <m:sSub>
          <m:e>
            <m:r>
              <m:t>J</m:t>
            </m:r>
          </m:e>
          <m:sub>
            <m:r>
              <m:t>e</m:t>
            </m:r>
          </m:sub>
        </m:sSub>
        <m:d>
          <m:dPr>
            <m:begChr m:val="("/>
            <m:endChr m:val=")"/>
            <m:sepChr m:val=""/>
            <m:grow/>
          </m:dPr>
          <m:e>
            <m:r>
              <m:t>p</m:t>
            </m:r>
            <m:r>
              <m:rPr>
                <m:sty m:val="p"/>
              </m:rPr>
              <m:t>→</m:t>
            </m:r>
            <m:r>
              <m:t>c</m:t>
            </m:r>
          </m:e>
        </m:d>
        <m:r>
          <m:rPr>
            <m:sty m:val="p"/>
          </m:rPr>
          <m:t>=</m:t>
        </m:r>
        <m:nary>
          <m:naryPr>
            <m:chr m:val="∑"/>
            <m:limLoc m:val="undOvr"/>
            <m:subHide m:val="off"/>
            <m:supHide m:val="on"/>
          </m:naryPr>
          <m:sub>
            <m:r>
              <m:t>v</m:t>
            </m:r>
            <m:r>
              <m:rPr>
                <m:sty m:val="p"/>
              </m:rPr>
              <m:t>∈</m:t>
            </m:r>
            <m:r>
              <m:rPr>
                <m:sty m:val="p"/>
              </m:rPr>
              <m:t>subtree</m:t>
            </m:r>
            <m:d>
              <m:dPr>
                <m:begChr m:val="("/>
                <m:endChr m:val=")"/>
                <m:sepChr m:val=""/>
                <m:grow/>
              </m:dPr>
              <m:e>
                <m:r>
                  <m:t>c</m:t>
                </m:r>
              </m:e>
            </m:d>
          </m:sub>
          <m:sup>
            <m:r>
              <m:t>​</m:t>
            </m:r>
          </m:sup>
          <m:e>
            <m:r>
              <m:t>Δ</m:t>
            </m:r>
          </m:e>
        </m:nary>
        <m:sSub>
          <m:e>
            <m:r>
              <m:t>ρ</m:t>
            </m:r>
          </m:e>
          <m:sub>
            <m:r>
              <m:t>v</m:t>
            </m:r>
          </m:sub>
        </m:sSub>
        <m:r>
          <m:rPr>
            <m:sty m:val="p"/>
          </m:rPr>
          <m:t>.</m:t>
        </m:r>
      </m:oMath>
      <w:r>
        <w:rPr>
          <w:rFonts w:ascii="Times New Roman" w:hAnsi="Times New Roman" w:eastAsia="Times New Roman"/>
          <w:color w:val="000000"/>
          <w:sz w:val="22"/>
        </w:rPr>
        <w:t xml:space="preserve">    (13)</w:t>
      </w:r>
    </w:p>
    <w:p>
      <w:pPr>
        <w:widowControl/>
        <w:jc w:val="both"/>
      </w:pPr>
      <w:r>
        <w:rPr>
          <w:rFonts w:ascii="Times New Roman" w:hAnsi="Times New Roman" w:eastAsia="Times New Roman"/>
          <w:i w:val="0"/>
          <w:color w:val="000000"/>
          <w:sz w:val="22"/>
        </w:rPr>
        <w:t>With signed tree divergence (outgoing minus incoming),</w:t>
      </w:r>
    </w:p>
    <w:p>
      <w:pPr>
        <w:keepNext w:val="0"/>
        <w:keepLines/>
        <w:jc w:val="center"/>
      </w:pPr>
      <m:oMath>
        <m:r>
          <m:t>Δ</m:t>
        </m:r>
        <m:r>
          <m:t>ρ</m:t>
        </m:r>
        <m:r>
          <m:rPr>
            <m:sty m:val="p"/>
          </m:rPr>
          <m:t>+</m:t>
        </m:r>
        <m:sSub>
          <m:e>
            <m:r>
              <m:rPr>
                <m:sty m:val="p"/>
              </m:rPr>
              <m:t>d</m:t>
            </m:r>
            <m:r>
              <m:rPr>
                <m:sty m:val="p"/>
              </m:rPr>
              <m:t>i</m:t>
            </m:r>
            <m:r>
              <m:rPr>
                <m:sty m:val="p"/>
              </m:rPr>
              <m:t>v</m:t>
            </m:r>
          </m:e>
          <m:sub>
            <m:r>
              <m:t>T</m:t>
            </m:r>
          </m:sub>
        </m:sSub>
        <m:r>
          <m:t>J</m:t>
        </m:r>
        <m:r>
          <m:rPr>
            <m:sty m:val="p"/>
          </m:rPr>
          <m:t>=</m:t>
        </m:r>
        <m:r>
          <m:t>S</m:t>
        </m:r>
        <m:r>
          <m:rPr>
            <m:sty m:val="p"/>
          </m:rPr>
          <m:t>.</m:t>
        </m:r>
      </m:oMath>
      <w:r>
        <w:rPr>
          <w:rFonts w:ascii="Times New Roman" w:hAnsi="Times New Roman" w:eastAsia="Times New Roman"/>
          <w:color w:val="000000"/>
          <w:sz w:val="22"/>
        </w:rPr>
        <w:t xml:space="preserve">    (14)</w:t>
      </w:r>
    </w:p>
    <w:p>
      <w:pPr>
        <w:widowControl/>
        <w:jc w:val="both"/>
      </w:pPr>
      <w:r>
        <w:rPr>
          <w:rFonts w:ascii="Times New Roman" w:hAnsi="Times New Roman" w:eastAsia="Times New Roman"/>
          <w:b/>
          <w:color w:val="000000"/>
          <w:sz w:val="22"/>
        </w:rPr>
        <w:t>Theorem 6 (provenance-tree balance theorem).</w:t>
      </w:r>
      <w:r>
        <w:rPr>
          <w:rFonts w:ascii="Times New Roman" w:hAnsi="Times New Roman" w:eastAsia="Times New Roman"/>
          <w:color w:val="000000"/>
          <w:sz w:val="22"/>
        </w:rPr>
      </w:r>
    </w:p>
    <w:p>
      <w:pPr>
        <w:widowControl/>
        <w:jc w:val="both"/>
      </w:pPr>
      <w:r>
        <w:rPr>
          <w:rFonts w:ascii="Times New Roman" w:hAnsi="Times New Roman" w:eastAsia="Times New Roman"/>
          <w:color w:val="000000"/>
          <w:sz w:val="22"/>
        </w:rPr>
        <w:t xml:space="preserve">Conditional on a finite rooted event-provenance tree and write-anchor supplied by the micro-event law, Eq. (13) yields the unique current satisfying Eq. (14) under the root-source convention. Every nonroot vertex has </w:t>
      </w:r>
      <m:oMath>
        <m:sSub>
          <m:e>
            <m:r>
              <m:t>S</m:t>
            </m:r>
          </m:e>
          <m:sub>
            <m:r>
              <m:t>v</m:t>
            </m:r>
          </m:sub>
        </m:sSub>
        <m:r>
          <m:rPr>
            <m:sty m:val="p"/>
          </m:rPr>
          <m:t>=</m:t>
        </m:r>
        <m:r>
          <m:t>0</m:t>
        </m:r>
      </m:oMath>
      <w:r>
        <w:rPr>
          <w:rFonts w:ascii="Times New Roman" w:hAnsi="Times New Roman" w:eastAsia="Times New Roman"/>
          <w:color w:val="000000"/>
          <w:sz w:val="22"/>
        </w:rPr>
        <w:t xml:space="preserve">, while the root carries </w:t>
      </w:r>
      <m:oMath>
        <m:sSub>
          <m:e>
            <m:r>
              <m:t>S</m:t>
            </m:r>
          </m:e>
          <m:sub>
            <m:r>
              <m:t>r</m:t>
            </m:r>
          </m:sub>
        </m:sSub>
        <m:r>
          <m:rPr>
            <m:sty m:val="p"/>
          </m:rPr>
          <m:t>=</m:t>
        </m:r>
        <m:nary>
          <m:naryPr>
            <m:chr m:val="∑"/>
            <m:limLoc m:val="undOvr"/>
            <m:subHide m:val="off"/>
            <m:supHide m:val="on"/>
          </m:naryPr>
          <m:sub>
            <m:r>
              <m:t>v</m:t>
            </m:r>
          </m:sub>
          <m:sup>
            <m:r>
              <m:t>​</m:t>
            </m:r>
          </m:sup>
          <m:e>
            <m:r>
              <m:t>Δ</m:t>
            </m:r>
          </m:e>
        </m:nary>
        <m:sSub>
          <m:e>
            <m:r>
              <m:t>ρ</m:t>
            </m:r>
          </m:e>
          <m:sub>
            <m:r>
              <m:t>v</m:t>
            </m:r>
          </m:sub>
        </m:sSub>
      </m:oMath>
      <w:r>
        <w:rPr>
          <w:rFonts w:ascii="Times New Roman" w:hAnsi="Times New Roman" w:eastAsia="Times New Roman"/>
          <w:color w:val="000000"/>
          <w:sz w:val="22"/>
        </w:rPr>
        <w:t>. On a cyclic provenance graph, uniqueness fails up to divergence-free cycle currents.</w:t>
      </w:r>
    </w:p>
    <w:p>
      <w:pPr>
        <w:widowControl/>
        <w:jc w:val="both"/>
      </w:pPr>
      <w:r>
        <w:t>The resulting current assignment is gauge-invariant because it is reconstructed from gauge-invariant Δρ and supplied provenance. It is relabel covariant and spectator independent under the declared routing rule. Changing the provenance/root can change localization of the assigned current but not the total residual. The microdynamics is not assumed to compute this observer-level reconstruction.</w:t>
      </w:r>
    </w:p>
    <w:p>
      <w:pPr>
        <w:pStyle w:val="Heading2"/>
        <w:keepNext/>
        <w:keepLines/>
        <w:jc w:val="left"/>
      </w:pPr>
      <w:r>
        <w:rPr>
          <w:rFonts w:ascii="Times New Roman" w:hAnsi="Times New Roman" w:eastAsia="Times New Roman"/>
          <w:b/>
          <w:i w:val="0"/>
          <w:color w:val="000000"/>
          <w:sz w:val="21"/>
        </w:rPr>
        <w:t>B. Integrated balance and the open Noether question</w:t>
      </w:r>
    </w:p>
    <w:p>
      <w:pPr>
        <w:widowControl/>
        <w:jc w:val="both"/>
      </w:pPr>
      <w:r>
        <w:rPr>
          <w:rFonts w:ascii="Times New Roman" w:hAnsi="Times New Roman" w:eastAsia="Times New Roman"/>
          <w:i w:val="0"/>
          <w:color w:val="000000"/>
          <w:sz w:val="22"/>
        </w:rPr>
        <w:t>Define the total invariant content</w:t>
      </w:r>
    </w:p>
    <w:p>
      <w:pPr>
        <w:keepNext w:val="0"/>
        <w:keepLines/>
        <w:jc w:val="center"/>
      </w:pPr>
      <m:oMath>
        <m:sSub>
          <m:e>
            <m:r>
              <m:t>Q</m:t>
            </m:r>
          </m:e>
          <m:sub>
            <m:r>
              <m:t>T</m:t>
            </m:r>
          </m:sub>
        </m:sSub>
        <m:box>
          <m:boxPr>
            <m:opEmu m:val="on"/>
          </m:boxPr>
          <m:e>
            <m:r>
              <m:rPr>
                <m:sty m:val="p"/>
              </m:rPr>
              <m:t>:=</m:t>
            </m:r>
          </m:e>
        </m:box>
        <m:nary>
          <m:naryPr>
            <m:chr m:val="∑"/>
            <m:limLoc m:val="undOvr"/>
            <m:subHide m:val="off"/>
            <m:supHide m:val="on"/>
          </m:naryPr>
          <m:sub>
            <m:r>
              <m:t>i</m:t>
            </m:r>
          </m:sub>
          <m:sup>
            <m:r>
              <m:t>​</m:t>
            </m:r>
          </m:sup>
          <m:e>
            <m:sSub>
              <m:e>
                <m:r>
                  <m:t>ρ</m:t>
                </m:r>
              </m:e>
              <m:sub>
                <m:r>
                  <m:t>i</m:t>
                </m:r>
              </m:sub>
            </m:sSub>
          </m:e>
        </m:nary>
        <m:r>
          <m:rPr>
            <m:sty m:val="p"/>
          </m:rPr>
          <m:t>=</m:t>
        </m:r>
        <m:sSub>
          <m:e>
            <m:r>
              <m:t>E</m:t>
            </m:r>
          </m:e>
          <m:sub>
            <m:r>
              <m:rPr>
                <m:sty m:val="p"/>
              </m:rPr>
              <m:t>i</m:t>
            </m:r>
            <m:r>
              <m:rPr>
                <m:sty m:val="p"/>
              </m:rPr>
              <m:t>n</m:t>
            </m:r>
            <m:r>
              <m:rPr>
                <m:sty m:val="p"/>
              </m:rPr>
              <m:t>v</m:t>
            </m:r>
          </m:sub>
        </m:sSub>
        <m:r>
          <m:rPr>
            <m:sty m:val="p"/>
          </m:rPr>
          <m:t>=</m:t>
        </m:r>
        <m:r>
          <m:rPr>
            <m:sty m:val="p"/>
          </m:rPr>
          <m:t>∥</m:t>
        </m:r>
        <m:r>
          <m:t>η</m:t>
        </m:r>
        <m:sSup>
          <m:e>
            <m:r>
              <m:rPr>
                <m:sty m:val="p"/>
              </m:rPr>
              <m:t>∥</m:t>
            </m:r>
          </m:e>
          <m:sup>
            <m:r>
              <m:t>2</m:t>
            </m:r>
          </m:sup>
        </m:sSup>
        <m:r>
          <m:rPr>
            <m:sty m:val="p"/>
          </m:rPr>
          <m:t>.</m:t>
        </m:r>
      </m:oMath>
      <w:r>
        <w:rPr>
          <w:rFonts w:ascii="Times New Roman" w:hAnsi="Times New Roman" w:eastAsia="Times New Roman"/>
          <w:color w:val="000000"/>
          <w:sz w:val="22"/>
        </w:rPr>
        <w:t xml:space="preserve">    (15)</w:t>
      </w:r>
    </w:p>
    <w:p>
      <w:pPr>
        <w:widowControl/>
        <w:jc w:val="both"/>
      </w:pPr>
      <w:r>
        <w:rPr>
          <w:rFonts w:ascii="Times New Roman" w:hAnsi="Times New Roman" w:eastAsia="Times New Roman"/>
          <w:color w:val="000000"/>
          <w:sz w:val="22"/>
        </w:rPr>
        <w:t>Summing Eq. (14) over a closed provenance patch cancels all internal currents and gives</w:t>
      </w:r>
    </w:p>
    <w:p>
      <w:pPr>
        <w:keepNext w:val="0"/>
        <w:keepLines/>
        <w:jc w:val="center"/>
      </w:pPr>
      <m:oMath>
        <m:r>
          <m:t>Δ</m:t>
        </m:r>
        <m:sSub>
          <m:e>
            <m:r>
              <m:t>Q</m:t>
            </m:r>
          </m:e>
          <m:sub>
            <m:r>
              <m:t>T</m:t>
            </m:r>
          </m:sub>
        </m:sSub>
        <m:r>
          <m:rPr>
            <m:sty m:val="p"/>
          </m:rPr>
          <m:t>=</m:t>
        </m:r>
        <m:nary>
          <m:naryPr>
            <m:chr m:val="∑"/>
            <m:limLoc m:val="undOvr"/>
            <m:subHide m:val="off"/>
            <m:supHide m:val="on"/>
          </m:naryPr>
          <m:sub>
            <m:r>
              <m:t>i</m:t>
            </m:r>
          </m:sub>
          <m:sup>
            <m:r>
              <m:t>​</m:t>
            </m:r>
          </m:sup>
          <m:e>
            <m:sSub>
              <m:e>
                <m:r>
                  <m:t>S</m:t>
                </m:r>
              </m:e>
              <m:sub>
                <m:r>
                  <m:t>i</m:t>
                </m:r>
              </m:sub>
            </m:sSub>
          </m:e>
        </m:nary>
        <m:r>
          <m:rPr>
            <m:sty m:val="p"/>
          </m:rPr>
          <m:t>.</m:t>
        </m:r>
      </m:oMath>
      <w:r>
        <w:rPr>
          <w:rFonts w:ascii="Times New Roman" w:hAnsi="Times New Roman" w:eastAsia="Times New Roman"/>
          <w:color w:val="000000"/>
          <w:sz w:val="22"/>
        </w:rPr>
        <w:t xml:space="preserve">    (16)</w:t>
      </w:r>
    </w:p>
    <w:p>
      <w:pPr>
        <w:widowControl/>
        <w:jc w:val="both"/>
      </w:pPr>
      <w:r>
        <w:t>Corollary 7 (source-free algebraic balance).</w:t>
      </w:r>
    </w:p>
    <w:p>
      <w:pPr>
        <w:widowControl/>
        <w:jc w:val="both"/>
      </w:pPr>
      <w:r>
        <w:rPr>
          <w:rFonts w:ascii="Times New Roman" w:hAnsi="Times New Roman" w:eastAsia="Times New Roman"/>
          <w:color w:val="000000"/>
          <w:sz w:val="22"/>
        </w:rPr>
        <w:t xml:space="preserve">If the closed patch is source-free, </w:t>
      </w:r>
      <m:oMath>
        <m:nary>
          <m:naryPr>
            <m:chr m:val="∑"/>
            <m:limLoc m:val="undOvr"/>
            <m:subHide m:val="off"/>
            <m:supHide m:val="on"/>
          </m:naryPr>
          <m:sub>
            <m:r>
              <m:t>i</m:t>
            </m:r>
          </m:sub>
          <m:sup>
            <m:r>
              <m:t>​</m:t>
            </m:r>
          </m:sup>
          <m:e>
            <m:sSub>
              <m:e>
                <m:r>
                  <m:t>S</m:t>
                </m:r>
              </m:e>
              <m:sub>
                <m:r>
                  <m:t>i</m:t>
                </m:r>
              </m:sub>
            </m:sSub>
          </m:e>
        </m:nary>
        <m:r>
          <m:rPr>
            <m:sty m:val="p"/>
          </m:rPr>
          <m:t>=</m:t>
        </m:r>
        <m:r>
          <m:t>0</m:t>
        </m:r>
      </m:oMath>
      <w:r>
        <w:rPr>
          <w:rFonts w:ascii="Times New Roman" w:hAnsi="Times New Roman" w:eastAsia="Times New Roman"/>
          <w:color w:val="000000"/>
          <w:sz w:val="22"/>
        </w:rPr>
        <w:t xml:space="preserve">, then </w:t>
      </w:r>
      <m:oMath>
        <m:r>
          <m:t>Δ</m:t>
        </m:r>
        <m:sSub>
          <m:e>
            <m:r>
              <m:t>Q</m:t>
            </m:r>
          </m:e>
          <m:sub>
            <m:r>
              <m:t>T</m:t>
            </m:r>
          </m:sub>
        </m:sSub>
        <m:r>
          <m:rPr>
            <m:sty m:val="p"/>
          </m:rPr>
          <m:t>=</m:t>
        </m:r>
        <m:r>
          <m:t>0</m:t>
        </m:r>
      </m:oMath>
      <w:r>
        <w:rPr>
          <w:rFonts w:ascii="Times New Roman" w:hAnsi="Times New Roman" w:eastAsia="Times New Roman"/>
          <w:color w:val="000000"/>
          <w:sz w:val="22"/>
        </w:rPr>
        <w:t xml:space="preserve"> exactly. This is an algebraic consequence of the finite continuity construction. No action principle has been assumed, so </w:t>
      </w:r>
      <m:oMath>
        <m:sSub>
          <m:e>
            <m:r>
              <m:t>Q</m:t>
            </m:r>
          </m:e>
          <m:sub>
            <m:r>
              <m:t>T</m:t>
            </m:r>
          </m:sub>
        </m:sSub>
      </m:oMath>
      <w:r>
        <w:rPr>
          <w:rFonts w:ascii="Times New Roman" w:hAnsi="Times New Roman" w:eastAsia="Times New Roman"/>
          <w:color w:val="000000"/>
          <w:sz w:val="22"/>
        </w:rPr>
        <w:t xml:space="preserve"> is not identified as a Noether charge. A variational extension would require separate analysis of local gauge identities (Noether II) and of any genuine continuous global symmetry capable of producing a Noether-I charge (Ref. 12).</w:t>
      </w:r>
    </w:p>
    <w:p>
      <w:pPr>
        <w:pStyle w:val="Heading1"/>
        <w:keepNext/>
        <w:keepLines/>
        <w:jc w:val="center"/>
      </w:pPr>
      <w:r>
        <w:t>XII. VALIDATION SCOPE AND REPRODUCIBILITY</w:t>
      </w:r>
    </w:p>
    <w:p>
      <w:pPr>
        <w:keepNext/>
        <w:widowControl/>
        <w:jc w:val="both"/>
      </w:pPr>
      <w:r>
        <w:t>The mathematical statements and computational studies in this article have different evidential status. Analytic distinctions delimit what a claim means; propositions and theorems are exact within stated finite assumptions; constructive validation tests declared mechanisms; predeclared synthetic holdouts test implementation robustness over declared ensembles; and reproducibility records preserve nonretroactivity. None of these layers is treated as experimental evidence that nature realizes the model.</w:t>
      </w:r>
    </w:p>
    <w:p>
      <w:pPr/>
      <w:r>
        <w:t>Table IV gives the public claim-to-evidence map at manuscript level. Detailed versioned artifact identifiers, hash manifests, record-level outputs, independent reconstruction records, and negative-path history are retained in the reproducibility archive. Their function is traceability and reproducibility, not a cumulative “proof score.”</w:t>
      </w:r>
    </w:p>
    <w:p>
      <w:pPr>
        <w:keepNext/>
      </w:pPr>
      <w:r>
        <w:t>TABLE IV. Manuscript-level claim-to-evidence map. Counts describe finite declared validation domains; they do not convert the corresponding claim into a universal or experimental statement.</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376"/>
            <w:tcMar>
              <w:top w:w="70" w:type="dxa"/>
              <w:start w:w="90" w:type="dxa"/>
              <w:bottom w:w="70" w:type="dxa"/>
              <w:end w:w="90" w:type="dxa"/>
            </w:tcMar>
            <w:vAlign w:val="center"/>
            <w:shd w:fill="E6E6E6"/>
          </w:tcPr>
          <w:p>
            <w:pPr>
              <w:spacing w:after="0"/>
              <w:jc w:val="left"/>
            </w:pPr>
            <w:r>
              <w:rPr>
                <w:b/>
                <w:sz w:val="17"/>
              </w:rPr>
              <w:t>Scientific layer</w:t>
            </w:r>
          </w:p>
        </w:tc>
        <w:tc>
          <w:tcPr>
            <w:tcW w:type="dxa" w:w="2232"/>
            <w:tcMar>
              <w:top w:w="70" w:type="dxa"/>
              <w:start w:w="90" w:type="dxa"/>
              <w:bottom w:w="70" w:type="dxa"/>
              <w:end w:w="90" w:type="dxa"/>
            </w:tcMar>
            <w:vAlign w:val="center"/>
            <w:shd w:fill="E6E6E6"/>
          </w:tcPr>
          <w:p>
            <w:pPr>
              <w:spacing w:after="0"/>
              <w:jc w:val="center"/>
            </w:pPr>
            <w:r>
              <w:rPr>
                <w:b/>
                <w:sz w:val="17"/>
              </w:rPr>
              <w:t>Evidence type</w:t>
            </w:r>
          </w:p>
        </w:tc>
        <w:tc>
          <w:tcPr>
            <w:tcW w:type="dxa" w:w="4824"/>
            <w:tcMar>
              <w:top w:w="70" w:type="dxa"/>
              <w:start w:w="90" w:type="dxa"/>
              <w:bottom w:w="70" w:type="dxa"/>
              <w:end w:w="90" w:type="dxa"/>
            </w:tcMar>
            <w:vAlign w:val="center"/>
            <w:shd w:fill="E6E6E6"/>
          </w:tcPr>
          <w:p>
            <w:pPr>
              <w:spacing w:after="0"/>
              <w:jc w:val="left"/>
            </w:pPr>
            <w:r>
              <w:rPr>
                <w:b/>
                <w:sz w:val="17"/>
              </w:rPr>
              <w:t>Finite support and claim boundary</w:t>
            </w:r>
          </w:p>
        </w:tc>
      </w:tr>
      <w:tr>
        <w:tc>
          <w:tcPr>
            <w:tcW w:type="dxa" w:w="2376"/>
            <w:tcMar>
              <w:top w:w="70" w:type="dxa"/>
              <w:start w:w="90" w:type="dxa"/>
              <w:bottom w:w="70" w:type="dxa"/>
              <w:end w:w="90" w:type="dxa"/>
            </w:tcMar>
            <w:vAlign w:val="center"/>
          </w:tcPr>
          <w:p>
            <w:pPr>
              <w:spacing w:after="0"/>
              <w:jc w:val="left"/>
            </w:pPr>
            <w:r>
              <w:rPr>
                <w:b w:val="0"/>
                <w:sz w:val="16"/>
              </w:rPr>
              <w:t>Regional informational locality</w:t>
            </w:r>
          </w:p>
        </w:tc>
        <w:tc>
          <w:tcPr>
            <w:tcW w:type="dxa" w:w="2232"/>
            <w:tcMar>
              <w:top w:w="70" w:type="dxa"/>
              <w:start w:w="90" w:type="dxa"/>
              <w:bottom w:w="70" w:type="dxa"/>
              <w:end w:w="90" w:type="dxa"/>
            </w:tcMar>
            <w:vAlign w:val="center"/>
          </w:tcPr>
          <w:p>
            <w:pPr>
              <w:spacing w:after="0"/>
              <w:jc w:val="center"/>
            </w:pPr>
            <w:r>
              <w:rPr>
                <w:b w:val="0"/>
                <w:sz w:val="16"/>
              </w:rPr>
              <w:t>Analytic distinction</w:t>
            </w:r>
          </w:p>
        </w:tc>
        <w:tc>
          <w:tcPr>
            <w:tcW w:type="dxa" w:w="4824"/>
            <w:tcMar>
              <w:top w:w="70" w:type="dxa"/>
              <w:start w:w="90" w:type="dxa"/>
              <w:bottom w:w="70" w:type="dxa"/>
              <w:end w:w="90" w:type="dxa"/>
            </w:tcMar>
            <w:vAlign w:val="center"/>
          </w:tcPr>
          <w:p>
            <w:pPr>
              <w:spacing w:after="0"/>
              <w:jc w:val="left"/>
            </w:pPr>
            <w:r>
              <w:rPr>
                <w:b w:val="0"/>
                <w:sz w:val="16"/>
              </w:rPr>
              <w:t>Separates support, regional sufficiency, arbitration access, and trajectory-dependent causal domain; no common-origin reachability claim.</w:t>
            </w:r>
          </w:p>
        </w:tc>
      </w:tr>
      <w:tr>
        <w:tc>
          <w:tcPr>
            <w:tcW w:type="dxa" w:w="2376"/>
            <w:tcMar>
              <w:top w:w="70" w:type="dxa"/>
              <w:start w:w="90" w:type="dxa"/>
              <w:bottom w:w="70" w:type="dxa"/>
              <w:end w:w="90" w:type="dxa"/>
            </w:tcMar>
            <w:vAlign w:val="center"/>
          </w:tcPr>
          <w:p>
            <w:pPr>
              <w:spacing w:after="0"/>
              <w:jc w:val="left"/>
            </w:pPr>
            <w:r>
              <w:rPr>
                <w:b w:val="0"/>
                <w:sz w:val="16"/>
              </w:rPr>
              <w:t>Conditional global-coordinate redundancy</w:t>
            </w:r>
          </w:p>
        </w:tc>
        <w:tc>
          <w:tcPr>
            <w:tcW w:type="dxa" w:w="2232"/>
            <w:tcMar>
              <w:top w:w="70" w:type="dxa"/>
              <w:start w:w="90" w:type="dxa"/>
              <w:bottom w:w="70" w:type="dxa"/>
              <w:end w:w="90" w:type="dxa"/>
            </w:tcMar>
            <w:vAlign w:val="center"/>
          </w:tcPr>
          <w:p>
            <w:pPr>
              <w:spacing w:after="0"/>
              <w:jc w:val="center"/>
            </w:pPr>
            <w:r>
              <w:rPr>
                <w:b w:val="0"/>
                <w:sz w:val="16"/>
              </w:rPr>
              <w:t>Finite validation</w:t>
            </w:r>
          </w:p>
        </w:tc>
        <w:tc>
          <w:tcPr>
            <w:tcW w:type="dxa" w:w="4824"/>
            <w:tcMar>
              <w:top w:w="70" w:type="dxa"/>
              <w:start w:w="90" w:type="dxa"/>
              <w:bottom w:w="70" w:type="dxa"/>
              <w:end w:w="90" w:type="dxa"/>
            </w:tcMar>
            <w:vAlign w:val="center"/>
          </w:tcPr>
          <w:p>
            <w:pPr>
              <w:spacing w:after="0"/>
              <w:jc w:val="left"/>
            </w:pPr>
            <w:r>
              <w:rPr>
                <w:b w:val="0"/>
                <w:sz w:val="16"/>
              </w:rPr>
              <w:t>32/32 cases (16 training + 16 holdout); 16/16 criteria; replay. Collective temporal structure is supplied, not derived.</w:t>
            </w:r>
          </w:p>
        </w:tc>
      </w:tr>
      <w:tr>
        <w:tc>
          <w:tcPr>
            <w:tcW w:type="dxa" w:w="2376"/>
            <w:tcMar>
              <w:top w:w="70" w:type="dxa"/>
              <w:start w:w="90" w:type="dxa"/>
              <w:bottom w:w="70" w:type="dxa"/>
              <w:end w:w="90" w:type="dxa"/>
            </w:tcMar>
            <w:vAlign w:val="center"/>
          </w:tcPr>
          <w:p>
            <w:pPr>
              <w:spacing w:after="0"/>
              <w:jc w:val="left"/>
            </w:pPr>
            <w:r>
              <w:rPr>
                <w:b w:val="0"/>
                <w:sz w:val="16"/>
              </w:rPr>
              <w:t>Local-clock/calibration reconstruction</w:t>
            </w:r>
          </w:p>
        </w:tc>
        <w:tc>
          <w:tcPr>
            <w:tcW w:type="dxa" w:w="2232"/>
            <w:tcMar>
              <w:top w:w="70" w:type="dxa"/>
              <w:start w:w="90" w:type="dxa"/>
              <w:bottom w:w="70" w:type="dxa"/>
              <w:end w:w="90" w:type="dxa"/>
            </w:tcMar>
            <w:vAlign w:val="center"/>
          </w:tcPr>
          <w:p>
            <w:pPr>
              <w:spacing w:after="0"/>
              <w:jc w:val="center"/>
            </w:pPr>
            <w:r>
              <w:rPr>
                <w:b w:val="0"/>
                <w:sz w:val="16"/>
              </w:rPr>
              <w:t>Constructive validation</w:t>
            </w:r>
          </w:p>
        </w:tc>
        <w:tc>
          <w:tcPr>
            <w:tcW w:type="dxa" w:w="4824"/>
            <w:tcMar>
              <w:top w:w="70" w:type="dxa"/>
              <w:start w:w="90" w:type="dxa"/>
              <w:bottom w:w="70" w:type="dxa"/>
              <w:end w:w="90" w:type="dxa"/>
            </w:tcMar>
            <w:vAlign w:val="center"/>
          </w:tcPr>
          <w:p>
            <w:pPr>
              <w:spacing w:after="0"/>
              <w:jc w:val="left"/>
            </w:pPr>
            <w:r>
              <w:rPr>
                <w:b w:val="0"/>
                <w:sz w:val="16"/>
              </w:rPr>
              <w:t>Validated suites include 60/60 exact factorized, 80/80 dynamic-interface, 112/112 correlated-domain, and 240/240 approximate-closure cases. Mixed-record/rollback layers remain finite and interface-dependent.</w:t>
            </w:r>
          </w:p>
        </w:tc>
      </w:tr>
      <w:tr>
        <w:tc>
          <w:tcPr>
            <w:tcW w:type="dxa" w:w="2376"/>
            <w:tcMar>
              <w:top w:w="70" w:type="dxa"/>
              <w:start w:w="90" w:type="dxa"/>
              <w:bottom w:w="70" w:type="dxa"/>
              <w:end w:w="90" w:type="dxa"/>
            </w:tcMar>
            <w:vAlign w:val="center"/>
          </w:tcPr>
          <w:p>
            <w:pPr>
              <w:spacing w:after="0"/>
              <w:jc w:val="left"/>
            </w:pPr>
            <w:r>
              <w:rPr>
                <w:b w:val="0"/>
                <w:sz w:val="16"/>
              </w:rPr>
              <w:t>Cross-interface composition</w:t>
            </w:r>
          </w:p>
        </w:tc>
        <w:tc>
          <w:tcPr>
            <w:tcW w:type="dxa" w:w="2232"/>
            <w:tcMar>
              <w:top w:w="70" w:type="dxa"/>
              <w:start w:w="90" w:type="dxa"/>
              <w:bottom w:w="70" w:type="dxa"/>
              <w:end w:w="90" w:type="dxa"/>
            </w:tcMar>
            <w:vAlign w:val="center"/>
          </w:tcPr>
          <w:p>
            <w:pPr>
              <w:spacing w:after="0"/>
              <w:jc w:val="center"/>
            </w:pPr>
            <w:r>
              <w:rPr>
                <w:b w:val="0"/>
                <w:sz w:val="16"/>
              </w:rPr>
              <w:t>Finite validation</w:t>
            </w:r>
          </w:p>
        </w:tc>
        <w:tc>
          <w:tcPr>
            <w:tcW w:type="dxa" w:w="4824"/>
            <w:tcMar>
              <w:top w:w="70" w:type="dxa"/>
              <w:start w:w="90" w:type="dxa"/>
              <w:bottom w:w="70" w:type="dxa"/>
              <w:end w:w="90" w:type="dxa"/>
            </w:tcMar>
            <w:vAlign w:val="center"/>
          </w:tcPr>
          <w:p>
            <w:pPr>
              <w:spacing w:after="0"/>
              <w:jc w:val="left"/>
            </w:pPr>
            <w:r>
              <w:rPr>
                <w:b w:val="0"/>
                <w:sz w:val="16"/>
              </w:rPr>
              <w:t>156/156 cases; 156/156 agreement between evaluation paths; 48/48 multipath concordance checks. Implementation consistency only.</w:t>
            </w:r>
          </w:p>
        </w:tc>
      </w:tr>
      <w:tr>
        <w:tc>
          <w:tcPr>
            <w:tcW w:type="dxa" w:w="2376"/>
            <w:tcMar>
              <w:top w:w="70" w:type="dxa"/>
              <w:start w:w="90" w:type="dxa"/>
              <w:bottom w:w="70" w:type="dxa"/>
              <w:end w:w="90" w:type="dxa"/>
            </w:tcMar>
            <w:vAlign w:val="center"/>
          </w:tcPr>
          <w:p>
            <w:pPr>
              <w:spacing w:after="0"/>
              <w:jc w:val="left"/>
            </w:pPr>
            <w:r>
              <w:rPr>
                <w:b w:val="0"/>
                <w:sz w:val="16"/>
              </w:rPr>
              <w:t>Collaborative reconstructibility</w:t>
            </w:r>
          </w:p>
        </w:tc>
        <w:tc>
          <w:tcPr>
            <w:tcW w:type="dxa" w:w="2232"/>
            <w:tcMar>
              <w:top w:w="70" w:type="dxa"/>
              <w:start w:w="90" w:type="dxa"/>
              <w:bottom w:w="70" w:type="dxa"/>
              <w:end w:w="90" w:type="dxa"/>
            </w:tcMar>
            <w:vAlign w:val="center"/>
          </w:tcPr>
          <w:p>
            <w:pPr>
              <w:spacing w:after="0"/>
              <w:jc w:val="center"/>
            </w:pPr>
            <w:r>
              <w:rPr>
                <w:b w:val="0"/>
                <w:sz w:val="16"/>
              </w:rPr>
              <w:t>Exact proposition + external holdout</w:t>
            </w:r>
          </w:p>
        </w:tc>
        <w:tc>
          <w:tcPr>
            <w:tcW w:type="dxa" w:w="4824"/>
            <w:tcMar>
              <w:top w:w="70" w:type="dxa"/>
              <w:start w:w="90" w:type="dxa"/>
              <w:bottom w:w="70" w:type="dxa"/>
              <w:end w:w="90" w:type="dxa"/>
            </w:tcMar>
            <w:vAlign w:val="center"/>
          </w:tcPr>
          <w:p>
            <w:pPr>
              <w:spacing w:after="0"/>
              <w:jc w:val="left"/>
            </w:pPr>
            <w:r>
              <w:rPr>
                <w:b w:val="0"/>
                <w:sz w:val="16"/>
              </w:rPr>
              <w:t>Exact product-state DAG result plus 288-case synthetic holdout with positive and negative controls; finite robustness, not causal responsibility.</w:t>
            </w:r>
          </w:p>
        </w:tc>
      </w:tr>
      <w:tr>
        <w:tc>
          <w:tcPr>
            <w:tcW w:type="dxa" w:w="2376"/>
            <w:tcMar>
              <w:top w:w="70" w:type="dxa"/>
              <w:start w:w="90" w:type="dxa"/>
              <w:bottom w:w="70" w:type="dxa"/>
              <w:end w:w="90" w:type="dxa"/>
            </w:tcMar>
            <w:vAlign w:val="center"/>
          </w:tcPr>
          <w:p>
            <w:pPr>
              <w:spacing w:after="0"/>
              <w:jc w:val="left"/>
            </w:pPr>
            <w:r>
              <w:rPr>
                <w:b w:val="0"/>
                <w:sz w:val="16"/>
              </w:rPr>
              <w:t>Active lifecycle</w:t>
            </w:r>
          </w:p>
        </w:tc>
        <w:tc>
          <w:tcPr>
            <w:tcW w:type="dxa" w:w="2232"/>
            <w:tcMar>
              <w:top w:w="70" w:type="dxa"/>
              <w:start w:w="90" w:type="dxa"/>
              <w:bottom w:w="70" w:type="dxa"/>
              <w:end w:w="90" w:type="dxa"/>
            </w:tcMar>
            <w:vAlign w:val="center"/>
          </w:tcPr>
          <w:p>
            <w:pPr>
              <w:spacing w:after="0"/>
              <w:jc w:val="center"/>
            </w:pPr>
            <w:r>
              <w:rPr>
                <w:b w:val="0"/>
                <w:sz w:val="16"/>
              </w:rPr>
              <w:t>Structural rules + external holdout</w:t>
            </w:r>
          </w:p>
        </w:tc>
        <w:tc>
          <w:tcPr>
            <w:tcW w:type="dxa" w:w="4824"/>
            <w:tcMar>
              <w:top w:w="70" w:type="dxa"/>
              <w:start w:w="90" w:type="dxa"/>
              <w:bottom w:w="70" w:type="dxa"/>
              <w:end w:w="90" w:type="dxa"/>
            </w:tcMar>
            <w:vAlign w:val="center"/>
          </w:tcPr>
          <w:p>
            <w:pPr>
              <w:spacing w:after="0"/>
              <w:jc w:val="left"/>
            </w:pPr>
            <w:r>
              <w:rPr>
                <w:b w:val="0"/>
                <w:sz w:val="16"/>
              </w:rPr>
              <w:t>320 unseen cases; historical integrity 280/280 noncontrol cases and 3688/3688 qualifying isolation checks; finite implementation semantics.</w:t>
            </w:r>
          </w:p>
        </w:tc>
      </w:tr>
      <w:tr>
        <w:tc>
          <w:tcPr>
            <w:tcW w:type="dxa" w:w="2376"/>
            <w:tcMar>
              <w:top w:w="70" w:type="dxa"/>
              <w:start w:w="90" w:type="dxa"/>
              <w:bottom w:w="70" w:type="dxa"/>
              <w:end w:w="90" w:type="dxa"/>
            </w:tcMar>
            <w:vAlign w:val="center"/>
          </w:tcPr>
          <w:p>
            <w:pPr>
              <w:spacing w:after="0"/>
              <w:jc w:val="left"/>
            </w:pPr>
            <w:r>
              <w:rPr>
                <w:b w:val="0"/>
                <w:sz w:val="16"/>
              </w:rPr>
              <w:t>Atlas, scalar conditioning, and typed interaction</w:t>
            </w:r>
          </w:p>
        </w:tc>
        <w:tc>
          <w:tcPr>
            <w:tcW w:type="dxa" w:w="2232"/>
            <w:tcMar>
              <w:top w:w="70" w:type="dxa"/>
              <w:start w:w="90" w:type="dxa"/>
              <w:bottom w:w="70" w:type="dxa"/>
              <w:end w:w="90" w:type="dxa"/>
            </w:tcMar>
            <w:vAlign w:val="center"/>
          </w:tcPr>
          <w:p>
            <w:pPr>
              <w:spacing w:after="0"/>
              <w:jc w:val="center"/>
            </w:pPr>
            <w:r>
              <w:rPr>
                <w:b w:val="0"/>
                <w:sz w:val="16"/>
              </w:rPr>
              <w:t>Exact propositions + finite validation</w:t>
            </w:r>
          </w:p>
        </w:tc>
        <w:tc>
          <w:tcPr>
            <w:tcW w:type="dxa" w:w="4824"/>
            <w:tcMar>
              <w:top w:w="70" w:type="dxa"/>
              <w:start w:w="90" w:type="dxa"/>
              <w:bottom w:w="70" w:type="dxa"/>
              <w:end w:w="90" w:type="dxa"/>
            </w:tcMar>
            <w:vAlign w:val="center"/>
          </w:tcPr>
          <w:p>
            <w:pPr>
              <w:spacing w:after="0"/>
              <w:jc w:val="left"/>
            </w:pPr>
            <w:r>
              <w:rPr>
                <w:b w:val="0"/>
                <w:sz w:val="16"/>
              </w:rPr>
              <w:t>Fresh prospective dynamic/noisy validation; 48 unseen local-mismatch cases in the deconditioning test; 200 matched-connectivity cases for ORD/CAL/CORR specificity.</w:t>
            </w:r>
          </w:p>
        </w:tc>
      </w:tr>
      <w:tr>
        <w:tc>
          <w:tcPr>
            <w:tcW w:type="dxa" w:w="2376"/>
            <w:tcMar>
              <w:top w:w="70" w:type="dxa"/>
              <w:start w:w="90" w:type="dxa"/>
              <w:bottom w:w="70" w:type="dxa"/>
              <w:end w:w="90" w:type="dxa"/>
            </w:tcMar>
            <w:vAlign w:val="center"/>
          </w:tcPr>
          <w:p>
            <w:pPr>
              <w:spacing w:after="0"/>
              <w:jc w:val="left"/>
            </w:pPr>
            <w:r>
              <w:rPr>
                <w:b w:val="0"/>
                <w:sz w:val="16"/>
              </w:rPr>
              <w:t>CAL gauge/Hodge and provenance balance</w:t>
            </w:r>
          </w:p>
        </w:tc>
        <w:tc>
          <w:tcPr>
            <w:tcW w:type="dxa" w:w="2232"/>
            <w:tcMar>
              <w:top w:w="70" w:type="dxa"/>
              <w:start w:w="90" w:type="dxa"/>
              <w:bottom w:w="70" w:type="dxa"/>
              <w:end w:w="90" w:type="dxa"/>
            </w:tcMar>
            <w:vAlign w:val="center"/>
          </w:tcPr>
          <w:p>
            <w:pPr>
              <w:spacing w:after="0"/>
              <w:jc w:val="center"/>
            </w:pPr>
            <w:r>
              <w:rPr>
                <w:b w:val="0"/>
                <w:sz w:val="16"/>
              </w:rPr>
              <w:t>Exact finite algebra</w:t>
            </w:r>
          </w:p>
        </w:tc>
        <w:tc>
          <w:tcPr>
            <w:tcW w:type="dxa" w:w="4824"/>
            <w:tcMar>
              <w:top w:w="70" w:type="dxa"/>
              <w:start w:w="90" w:type="dxa"/>
              <w:bottom w:w="70" w:type="dxa"/>
              <w:end w:w="90" w:type="dxa"/>
            </w:tcMar>
            <w:vAlign w:val="center"/>
          </w:tcPr>
          <w:p>
            <w:pPr>
              <w:spacing w:after="0"/>
              <w:jc w:val="left"/>
            </w:pPr>
            <w:r>
              <w:rPr>
                <w:b w:val="0"/>
                <w:sz w:val="16"/>
              </w:rPr>
              <w:t>Gauge law, Hodge decomposition, divergence no-go, and provenance-tree balance. Depends on declared inner product/density/provenance conventions; no Noether claim.</w:t>
            </w:r>
          </w:p>
        </w:tc>
      </w:tr>
    </w:tbl>
    <w:p>
      <w:pPr>
        <w:pStyle w:val="Heading1"/>
        <w:keepNext/>
        <w:keepLines/>
        <w:jc w:val="center"/>
      </w:pPr>
      <w:r>
        <w:rPr>
          <w:rFonts w:ascii="Times New Roman" w:hAnsi="Times New Roman" w:eastAsia="Times New Roman"/>
          <w:b/>
          <w:i w:val="0"/>
          <w:color w:val="000000"/>
          <w:sz w:val="22"/>
        </w:rPr>
        <w:t>XIII. INTERPRETATION, SCOPE, AND FALSIFIABLE EXTENSIONS</w:t>
      </w:r>
    </w:p>
    <w:p>
      <w:pPr>
        <w:widowControl/>
        <w:jc w:val="both"/>
      </w:pPr>
      <w:r>
        <w:t>The finite results support a layered view of temporal organization. Local ORD supplies precedence. Overlapping dependencies can make target temporal information collaboratively reconstructible. Active coordination reorganizes without erasing history, yet history alone does not force future interaction. Compatible CAL can integrate to a common affine representation, but that scalarization is a reduction rather than a primitive. Nontrivial holonomy or harmonic periods can obstruct the CAL reduction while leaving other temporal relations coherent. Gauge-invariant nonintegrable calibration content can then be assigned a declared local density and, conditional on provenance, a current assignment.</w:t>
      </w:r>
    </w:p>
    <w:p>
      <w:pPr>
        <w:widowControl/>
        <w:jc w:val="both"/>
      </w:pPr>
      <w:r>
        <w:t>Several boundaries are essential. First, all results are finite; no continuum or N→∞ limit is established. Second, regional informational sufficiency is not a trajectory-dependent causal-domain theorem, and the regional witness construction does not establish common-origin dynamical reachability. Third, conditional redundancy of a global scalar coordinate assumes collective ordering/calibration structure; the staged local-clock program addresses reconstruction of that structure only within its declared finite interfaces. Fourth, the relational complexes carry no primitive spatial geometry: no coordinates, distances, dimension, embedding, volume, Lorentzian metric, causal cone, curvature tensor, stress-energy tensor, or Einstein equation is derived. Registered CAL 2-cells are compositional consistency cells, not spatial faces. Although finite ORD partial orders are mathematically adjacent to causal-set constructions (Ref. 14), no causal-set dynamics, manifold approximation, or spacetime interpretation is claimed.</w:t>
      </w:r>
    </w:p>
    <w:p>
      <w:pPr>
        <w:widowControl/>
        <w:jc w:val="both"/>
      </w:pPr>
      <w:r>
        <w:t>Reconstructibility is not causal influence. The collaborative complexity κ quantifies how many declared views are jointly necessary to reconstruct Q over the stated history family; it does not say that each participant dynamically caused Q. Active coordination domains are analyst-defined patches, not ontological “islands of time.” Affine CAL holonomy is a calibration obstruction and is not identified with gravitational or spatial curvature. The transverse representative, its quadratic norm, and the vertex density depend on declared finite conventions (cochain inner product and density partition) in addition to being gauge-invariant. Finally, the provenance-induced current is a conditional reconstruction; its source residual is not creation or destruction of physical time.</w:t>
      </w:r>
    </w:p>
    <w:p>
      <w:pPr>
        <w:widowControl/>
        <w:jc w:val="both"/>
      </w:pPr>
      <w:r>
        <w:rPr>
          <w:rFonts w:ascii="Times New Roman" w:hAnsi="Times New Roman" w:eastAsia="Times New Roman"/>
          <w:color w:val="000000"/>
          <w:sz w:val="22"/>
        </w:rPr>
        <w:t xml:space="preserve">The most immediate falsifiable extensions are therefore not broader metaphysical claims but sharper structural tests: topology-changing transport across changing complexes; noisy or incomplete registration of CAL cells; provenance selection on cyclic DAGs; and a variational/symmetry analysis that can either derive or rule out a Noether interpretation of </w:t>
      </w:r>
      <m:oMath>
        <m:sSub>
          <m:e>
            <m:r>
              <m:t>Q</m:t>
            </m:r>
          </m:e>
          <m:sub>
            <m:r>
              <m:t>T</m:t>
            </m:r>
          </m:sub>
        </m:sSub>
      </m:oMath>
      <w:r>
        <w:rPr>
          <w:rFonts w:ascii="Times New Roman" w:hAnsi="Times New Roman" w:eastAsia="Times New Roman"/>
          <w:color w:val="000000"/>
          <w:sz w:val="22"/>
        </w:rPr>
        <w:t>. A no-go result on any of these fronts would delimit the framework without retroactively invalidating the exact finite statements proved here.</w:t>
      </w:r>
    </w:p>
    <w:p>
      <w:pPr/>
      <w:r>
        <w:t>A particularly important next test is convention robustness: repeat the transverse-content and continuity analysis under a predeclared family of positive edge inner products and admissible gauge-invariant density partitions. Persistence of qualitative conclusions would strengthen the field-like interpretation; strong dependence would instead identify the present unit-weight/half-incidence construction as a useful but nonunique coordinate on invariant content.</w:t>
      </w:r>
    </w:p>
    <w:p>
      <w:pPr>
        <w:pStyle w:val="Heading1"/>
        <w:keepNext/>
        <w:keepLines/>
        <w:jc w:val="center"/>
      </w:pPr>
      <w:r>
        <w:rPr>
          <w:rFonts w:ascii="Times New Roman" w:hAnsi="Times New Roman" w:eastAsia="Times New Roman"/>
          <w:b/>
          <w:i w:val="0"/>
          <w:color w:val="000000"/>
          <w:sz w:val="22"/>
        </w:rPr>
        <w:t>XIV. CONCLUSION</w:t>
      </w:r>
    </w:p>
    <w:p>
      <w:pPr>
        <w:widowControl/>
        <w:jc w:val="both"/>
      </w:pPr>
      <w:r>
        <w:t>The successor program establishes a coherent finite chain rather than a single emergence claim. Regional analysis first separates informational sufficiency from trajectory-dependent causal domain. Conditional on supplied collective temporal relations, a global scalar coordinate and total serialization are representationally redundant in the declared finite validation. A staged local-clock/calibration program then reconstructs collective chronology across exact, dynamic, correlated-domain, mixed-record, and approximate-closure layers. Only after that reconstruction problem is separated do bounded local dependencies generate examples of genuinely joint target information, quantified by collaborative complexity and tested by a predeclared 288-case external synthetic holdout.</w:t>
      </w:r>
    </w:p>
    <w:p>
      <w:pPr>
        <w:widowControl/>
        <w:jc w:val="both"/>
      </w:pPr>
      <w:r>
        <w:t>Dynamic coordination then supplies lifecycle semantics; temporal atlases determine when local structures glue; finite-scale tests separate local relational coherence from conditioning of a chosen affine scalar reduction; and matched-connectivity controls verify that the implementation respects declared relation type rather than bare connectivity. These are finite structural and implementation results, not evidence that nature is obliged to instantiate the ORD/CAL/CORR catalogue.</w:t>
      </w:r>
    </w:p>
    <w:p>
      <w:pPr>
        <w:widowControl/>
        <w:jc w:val="both"/>
      </w:pPr>
      <w:r>
        <w:rPr>
          <w:rFonts w:ascii="Times New Roman" w:hAnsi="Times New Roman" w:eastAsia="Times New Roman"/>
          <w:color w:val="000000"/>
          <w:sz w:val="22"/>
        </w:rPr>
        <w:t xml:space="preserve">The CAL scale sector subsequently admits a gauge-covariant cochain γ, registered-cell curl, and exact/coexact/harmonic decomposition. The static divergence no-go prevents gauge-dependent clock choices from being misread as temporal sources. Projection onto the transverse sector yields gauge-invariant nonintegrable content η and density ρ, while supplied provenance defines an observer-level current assignment J satisfying </w:t>
      </w:r>
      <m:oMath>
        <m:r>
          <m:t>Δ</m:t>
        </m:r>
        <m:r>
          <m:t>ρ</m:t>
        </m:r>
        <m:r>
          <m:rPr>
            <m:sty m:val="p"/>
          </m:rPr>
          <m:t>+</m:t>
        </m:r>
        <m:sSub>
          <m:e>
            <m:r>
              <m:rPr>
                <m:sty m:val="p"/>
              </m:rPr>
              <m:t>d</m:t>
            </m:r>
            <m:r>
              <m:rPr>
                <m:sty m:val="p"/>
              </m:rPr>
              <m:t>i</m:t>
            </m:r>
            <m:r>
              <m:rPr>
                <m:sty m:val="p"/>
              </m:rPr>
              <m:t>v</m:t>
            </m:r>
          </m:e>
          <m:sub>
            <m:r>
              <m:t>T</m:t>
            </m:r>
          </m:sub>
        </m:sSub>
        <m:r>
          <m:t>J</m:t>
        </m:r>
        <m:r>
          <m:rPr>
            <m:sty m:val="p"/>
          </m:rPr>
          <m:t>=</m:t>
        </m:r>
        <m:r>
          <m:t>S</m:t>
        </m:r>
      </m:oMath>
      <w:r>
        <w:rPr>
          <w:rFonts w:ascii="Times New Roman" w:hAnsi="Times New Roman" w:eastAsia="Times New Roman"/>
          <w:color w:val="000000"/>
          <w:sz w:val="22"/>
        </w:rPr>
        <w:t xml:space="preserve">. The integrated source-free balance conserves </w:t>
      </w:r>
      <m:oMath>
        <m:sSub>
          <m:e>
            <m:r>
              <m:t>Q</m:t>
            </m:r>
          </m:e>
          <m:sub>
            <m:r>
              <m:t>T</m:t>
            </m:r>
          </m:sub>
        </m:sSub>
      </m:oMath>
      <w:r>
        <w:rPr>
          <w:rFonts w:ascii="Times New Roman" w:hAnsi="Times New Roman" w:eastAsia="Times New Roman"/>
          <w:color w:val="000000"/>
          <w:sz w:val="22"/>
        </w:rPr>
        <w:t xml:space="preserve"> algebraically, with the Noether question left open.</w:t>
      </w:r>
    </w:p>
    <w:p>
      <w:pPr/>
      <w:r>
        <w:t>The current and density used in this final layer remain conditional on the declared inner product, local density partition, and provenance convention. Their value is therefore as a controlled gauge-invariant finite construction, not yet as a unique physical field theory.</w:t>
      </w:r>
    </w:p>
    <w:p>
      <w:pPr>
        <w:widowControl/>
        <w:jc w:val="both"/>
      </w:pPr>
      <w:r>
        <w:t>Within the declared finite framework, the operative structure is therefore not a universal scalar time value but a typed web of local event relations and dependencies from which collective temporal organization can be reconstructed, generated, reorganized, and, in the CAL sector, sometimes reduced to a common affine representation. An ORD partial order may still admit arbitrary order-preserving serializations; a compatible global affine CAL clock exists only when the calibration structure satisfies the corresponding integrability conditions.</w:t>
      </w:r>
    </w:p>
    <w:p>
      <w:pPr>
        <w:pStyle w:val="Heading1"/>
        <w:keepNext/>
        <w:keepLines/>
        <w:jc w:val="center"/>
      </w:pPr>
      <w:r>
        <w:rPr>
          <w:rFonts w:ascii="Times New Roman" w:hAnsi="Times New Roman" w:eastAsia="Times New Roman"/>
          <w:b/>
          <w:i w:val="0"/>
          <w:color w:val="000000"/>
          <w:sz w:val="22"/>
        </w:rPr>
        <w:t>AUTHOR DECLARATIONS</w:t>
      </w:r>
    </w:p>
    <w:p>
      <w:pPr>
        <w:pStyle w:val="Heading2"/>
        <w:keepNext/>
        <w:jc w:val="left"/>
      </w:pPr>
      <w:r>
        <w:rPr>
          <w:rFonts w:ascii="Times New Roman" w:hAnsi="Times New Roman" w:eastAsia="Times New Roman"/>
          <w:b/>
          <w:i w:val="0"/>
          <w:color w:val="000000"/>
          <w:sz w:val="21"/>
        </w:rPr>
        <w:t>Conflict of Interest</w:t>
      </w:r>
    </w:p>
    <w:p>
      <w:pPr>
        <w:jc w:val="both"/>
      </w:pPr>
      <w:r>
        <w:rPr>
          <w:rFonts w:ascii="Times New Roman" w:hAnsi="Times New Roman" w:eastAsia="Times New Roman"/>
          <w:color w:val="000000"/>
          <w:sz w:val="22"/>
        </w:rPr>
        <w:t>The author has no conflicts to disclose.</w:t>
      </w:r>
    </w:p>
    <w:p>
      <w:pPr>
        <w:pStyle w:val="Heading2"/>
        <w:keepNext/>
        <w:jc w:val="left"/>
      </w:pPr>
      <w:r>
        <w:rPr>
          <w:rFonts w:ascii="Times New Roman" w:hAnsi="Times New Roman" w:eastAsia="Times New Roman"/>
          <w:b/>
          <w:i w:val="0"/>
          <w:color w:val="000000"/>
          <w:sz w:val="21"/>
        </w:rPr>
        <w:t>Ethics Approval</w:t>
      </w:r>
    </w:p>
    <w:p>
      <w:pPr>
        <w:jc w:val="both"/>
      </w:pPr>
      <w:r>
        <w:rPr>
          <w:rFonts w:ascii="Times New Roman" w:hAnsi="Times New Roman" w:eastAsia="Times New Roman"/>
          <w:color w:val="000000"/>
          <w:sz w:val="22"/>
        </w:rPr>
        <w:t>Not applicable; this study involves no human participants, animals, or identifiable personal data.</w:t>
      </w:r>
    </w:p>
    <w:p>
      <w:pPr>
        <w:pStyle w:val="Heading2"/>
        <w:keepNext/>
        <w:jc w:val="left"/>
      </w:pPr>
      <w:r>
        <w:rPr>
          <w:rFonts w:ascii="Times New Roman" w:hAnsi="Times New Roman" w:eastAsia="Times New Roman"/>
          <w:b/>
          <w:i w:val="0"/>
          <w:color w:val="000000"/>
          <w:sz w:val="21"/>
        </w:rPr>
        <w:t>Author Contributions</w:t>
      </w:r>
    </w:p>
    <w:p>
      <w:pPr>
        <w:jc w:val="both"/>
      </w:pPr>
      <w:r>
        <w:rPr>
          <w:rFonts w:ascii="Times New Roman" w:hAnsi="Times New Roman" w:eastAsia="Times New Roman"/>
          <w:b w:val="0"/>
          <w:i w:val="0"/>
          <w:color w:val="000000"/>
          <w:sz w:val="22"/>
        </w:rPr>
        <w:t>Mariano Boj Viudes: Conceptualization (lead); Formal analysis (lead); Investigation (lead); Methodology (lead); Software (lead); Validation (lead); Visualization (lead); Writing – original draft (lead); Writing – review &amp; editing (lead).</w:t>
      </w:r>
    </w:p>
    <w:p>
      <w:pPr>
        <w:pStyle w:val="Heading1"/>
        <w:keepNext/>
        <w:keepLines/>
        <w:jc w:val="center"/>
      </w:pPr>
      <w:r>
        <w:rPr>
          <w:rFonts w:ascii="Times New Roman" w:hAnsi="Times New Roman" w:eastAsia="Times New Roman"/>
          <w:b/>
          <w:i w:val="0"/>
          <w:color w:val="000000"/>
          <w:sz w:val="22"/>
        </w:rPr>
        <w:t>DATA AVAILABILITY</w:t>
      </w:r>
    </w:p>
    <w:p>
      <w:pPr>
        <w:spacing w:line="252" w:lineRule="auto"/>
        <w:jc w:val="left"/>
      </w:pPr>
      <w:r>
        <w:t>The reproducibility materials corresponding to this manuscript are archived on Zenodo under version DOI https://doi.org/10.5281/zenodo.21938420, within concept record https://doi.org/10.5281/zenodo.21931499. Earlier versioned records are https://doi.org/10.5281/zenodo.21931500 and https://doi.org/10.5281/zenodo.21932410. The v2.0.0 archive includes machine-readable SHA-256 manifests, recovered primary successor evidence, checkpoint-bound historical records, validation outputs, and claim-evidence/provenance documentation. Historical records remain frozen and are not retroactively modified.</w:t>
      </w:r>
    </w:p>
    <w:p>
      <w:pPr>
        <w:pStyle w:val="Heading1"/>
        <w:keepNext/>
        <w:keepLines/>
        <w:jc w:val="center"/>
      </w:pPr>
      <w:r>
        <w:t>APPENDIX A: PROOF DETAILS FOR GAUGE AND BALANCE IDENTITIES</w:t>
      </w:r>
    </w:p>
    <w:p>
      <w:pPr>
        <w:pStyle w:val="Heading2"/>
        <w:keepNext/>
        <w:jc w:val="left"/>
      </w:pPr>
      <w:r>
        <w:rPr>
          <w:rFonts w:ascii="Times New Roman" w:hAnsi="Times New Roman" w:eastAsia="Times New Roman"/>
          <w:b/>
          <w:i w:val="0"/>
          <w:color w:val="000000"/>
          <w:sz w:val="21"/>
        </w:rPr>
        <w:t>1. Gauge law for the scale sector</w:t>
      </w:r>
    </w:p>
    <w:p>
      <w:pPr>
        <w:jc w:val="both"/>
      </w:pPr>
      <w:r>
        <w:rPr>
          <w:rFonts w:ascii="Times New Roman" w:hAnsi="Times New Roman" w:eastAsia="Times New Roman"/>
          <w:color w:val="000000"/>
          <w:sz w:val="22"/>
        </w:rPr>
        <w:t xml:space="preserve">Let </w:t>
      </w:r>
      <m:oMath>
        <m:sSubSup>
          <m:e>
            <m:r>
              <m:t>τ</m:t>
            </m:r>
          </m:e>
          <m:sub>
            <m:r>
              <m:t>i</m:t>
            </m:r>
          </m:sub>
          <m:sup>
            <m:r>
              <m:rPr>
                <m:sty m:val="p"/>
              </m:rPr>
              <m:t>′</m:t>
            </m:r>
          </m:sup>
        </m:sSubSup>
        <m:r>
          <m:rPr>
            <m:sty m:val="p"/>
          </m:rPr>
          <m:t>=</m:t>
        </m:r>
        <m:sSub>
          <m:e>
            <m:r>
              <m:t>c</m:t>
            </m:r>
          </m:e>
          <m:sub>
            <m:r>
              <m:t>i</m:t>
            </m:r>
          </m:sub>
        </m:sSub>
        <m:sSub>
          <m:e>
            <m:r>
              <m:t>τ</m:t>
            </m:r>
          </m:e>
          <m:sub>
            <m:r>
              <m:t>i</m:t>
            </m:r>
          </m:sub>
        </m:sSub>
        <m:r>
          <m:t> </m:t>
        </m:r>
        <m:d>
          <m:dPr>
            <m:begChr m:val="("/>
            <m:endChr m:val=")"/>
            <m:sepChr m:val=""/>
            <m:grow/>
          </m:dPr>
          <m:e>
            <m:sSub>
              <m:e>
                <m:r>
                  <m:t>c</m:t>
                </m:r>
              </m:e>
              <m:sub>
                <m:r>
                  <m:t>i</m:t>
                </m:r>
              </m:sub>
            </m:sSub>
            <m:r>
              <m:rPr>
                <m:sty m:val="p"/>
              </m:rPr>
              <m:t>&gt;</m:t>
            </m:r>
            <m:r>
              <m:t>0</m:t>
            </m:r>
          </m:e>
        </m:d>
      </m:oMath>
      <w:r>
        <w:rPr>
          <w:rFonts w:ascii="Times New Roman" w:hAnsi="Times New Roman" w:eastAsia="Times New Roman"/>
          <w:color w:val="000000"/>
          <w:sz w:val="22"/>
        </w:rPr>
        <w:t xml:space="preserve">. If </w:t>
      </w:r>
      <m:oMath>
        <m:sSub>
          <m:e>
            <m:r>
              <m:t>τ</m:t>
            </m:r>
          </m:e>
          <m:sub>
            <m:r>
              <m:t>j</m:t>
            </m:r>
          </m:sub>
        </m:sSub>
        <m:r>
          <m:rPr>
            <m:sty m:val="p"/>
          </m:rPr>
          <m:t>=</m:t>
        </m:r>
        <m:sSub>
          <m:e>
            <m:r>
              <m:t>a</m:t>
            </m:r>
          </m:e>
          <m:sub>
            <m:r>
              <m:t>j</m:t>
            </m:r>
            <m:r>
              <m:rPr>
                <m:sty m:val="p"/>
              </m:rPr>
              <m:t>←</m:t>
            </m:r>
            <m:r>
              <m:t>i</m:t>
            </m:r>
          </m:sub>
        </m:sSub>
        <m:sSub>
          <m:e>
            <m:r>
              <m:t>τ</m:t>
            </m:r>
          </m:e>
          <m:sub>
            <m:r>
              <m:t>i</m:t>
            </m:r>
          </m:sub>
        </m:sSub>
        <m:r>
          <m:rPr>
            <m:sty m:val="p"/>
          </m:rPr>
          <m:t>+</m:t>
        </m:r>
        <m:sSub>
          <m:e>
            <m:r>
              <m:t>b</m:t>
            </m:r>
          </m:e>
          <m:sub>
            <m:r>
              <m:t>j</m:t>
            </m:r>
            <m:r>
              <m:rPr>
                <m:sty m:val="p"/>
              </m:rPr>
              <m:t>←</m:t>
            </m:r>
            <m:r>
              <m:t>i</m:t>
            </m:r>
          </m:sub>
        </m:sSub>
      </m:oMath>
      <w:r>
        <w:rPr>
          <w:rFonts w:ascii="Times New Roman" w:hAnsi="Times New Roman" w:eastAsia="Times New Roman"/>
          <w:color w:val="000000"/>
          <w:sz w:val="22"/>
        </w:rPr>
        <w:t xml:space="preserve">, then </w:t>
      </w:r>
      <m:oMath>
        <m:sSubSup>
          <m:e>
            <m:r>
              <m:t>a</m:t>
            </m:r>
          </m:e>
          <m:sub>
            <m:r>
              <m:t>j</m:t>
            </m:r>
            <m:r>
              <m:rPr>
                <m:sty m:val="p"/>
              </m:rPr>
              <m:t>←</m:t>
            </m:r>
            <m:r>
              <m:t>i</m:t>
            </m:r>
          </m:sub>
          <m:sup>
            <m:r>
              <m:rPr>
                <m:sty m:val="p"/>
              </m:rPr>
              <m:t>′</m:t>
            </m:r>
          </m:sup>
        </m:sSubSup>
        <m:r>
          <m:rPr>
            <m:sty m:val="p"/>
          </m:rPr>
          <m:t>=</m:t>
        </m:r>
        <m:sSub>
          <m:e>
            <m:r>
              <m:t>c</m:t>
            </m:r>
          </m:e>
          <m:sub>
            <m:r>
              <m:t>j</m:t>
            </m:r>
          </m:sub>
        </m:sSub>
        <m:sSub>
          <m:e>
            <m:r>
              <m:t>a</m:t>
            </m:r>
          </m:e>
          <m:sub>
            <m:r>
              <m:t>j</m:t>
            </m:r>
            <m:r>
              <m:rPr>
                <m:sty m:val="p"/>
              </m:rPr>
              <m:t>←</m:t>
            </m:r>
            <m:r>
              <m:t>i</m:t>
            </m:r>
          </m:sub>
        </m:sSub>
        <m:sSubSup>
          <m:e>
            <m:r>
              <m:t>c</m:t>
            </m:r>
          </m:e>
          <m:sub>
            <m:r>
              <m:t>i</m:t>
            </m:r>
          </m:sub>
          <m:sup>
            <m:r>
              <m:rPr>
                <m:sty m:val="p"/>
              </m:rPr>
              <m:t>−</m:t>
            </m:r>
            <m:r>
              <m:t>1</m:t>
            </m:r>
          </m:sup>
        </m:sSubSup>
      </m:oMath>
      <w:r>
        <w:rPr>
          <w:rFonts w:ascii="Times New Roman" w:hAnsi="Times New Roman" w:eastAsia="Times New Roman"/>
          <w:color w:val="000000"/>
          <w:sz w:val="22"/>
        </w:rPr>
        <w:t xml:space="preserve">. With </w:t>
      </w:r>
      <m:oMath>
        <m:sSub>
          <m:e>
            <m:r>
              <m:t>q</m:t>
            </m:r>
          </m:e>
          <m:sub>
            <m:r>
              <m:t>i</m:t>
            </m:r>
          </m:sub>
        </m:sSub>
        <m:r>
          <m:rPr>
            <m:sty m:val="p"/>
          </m:rPr>
          <m:t>=</m:t>
        </m:r>
        <m:r>
          <m:rPr>
            <m:sty m:val="p"/>
          </m:rPr>
          <m:t>log</m:t>
        </m:r>
        <m:sSub>
          <m:e>
            <m:r>
              <m:t>c</m:t>
            </m:r>
          </m:e>
          <m:sub>
            <m:r>
              <m:t>i</m:t>
            </m:r>
          </m:sub>
        </m:sSub>
      </m:oMath>
      <w:r>
        <w:rPr>
          <w:rFonts w:ascii="Times New Roman" w:hAnsi="Times New Roman" w:eastAsia="Times New Roman"/>
          <w:color w:val="000000"/>
          <w:sz w:val="22"/>
        </w:rPr>
        <w:t xml:space="preserve"> and </w:t>
      </w:r>
      <m:oMath>
        <m:sSub>
          <m:e>
            <m:r>
              <m:t>γ</m:t>
            </m:r>
          </m:e>
          <m:sub>
            <m:r>
              <m:t>i</m:t>
            </m:r>
            <m:r>
              <m:t>j</m:t>
            </m:r>
          </m:sub>
        </m:sSub>
        <m:r>
          <m:rPr>
            <m:sty m:val="p"/>
          </m:rPr>
          <m:t>=</m:t>
        </m:r>
        <m:r>
          <m:rPr>
            <m:sty m:val="p"/>
          </m:rPr>
          <m:t>log</m:t>
        </m:r>
        <m:sSub>
          <m:e>
            <m:r>
              <m:t>a</m:t>
            </m:r>
          </m:e>
          <m:sub>
            <m:r>
              <m:t>j</m:t>
            </m:r>
            <m:r>
              <m:rPr>
                <m:sty m:val="p"/>
              </m:rPr>
              <m:t>←</m:t>
            </m:r>
            <m:r>
              <m:t>i</m:t>
            </m:r>
          </m:sub>
        </m:sSub>
      </m:oMath>
      <w:r>
        <w:rPr>
          <w:rFonts w:ascii="Times New Roman" w:hAnsi="Times New Roman" w:eastAsia="Times New Roman"/>
          <w:color w:val="000000"/>
          <w:sz w:val="22"/>
        </w:rPr>
        <w:t xml:space="preserve">, taking logarithms gives </w:t>
      </w:r>
      <m:oMath>
        <m:sSup>
          <m:e>
            <m:r>
              <m:t>γ</m:t>
            </m:r>
          </m:e>
          <m:sup>
            <m:r>
              <m:rPr>
                <m:sty m:val="p"/>
              </m:rPr>
              <m:t>′</m:t>
            </m:r>
          </m:sup>
        </m:sSup>
        <m:r>
          <m:rPr>
            <m:sty m:val="p"/>
          </m:rPr>
          <m:t>=</m:t>
        </m:r>
        <m:r>
          <m:t>γ</m:t>
        </m:r>
        <m:r>
          <m:rPr>
            <m:sty m:val="p"/>
          </m:rPr>
          <m:t>+</m:t>
        </m:r>
        <m:sSub>
          <m:e>
            <m:r>
              <m:t>D</m:t>
            </m:r>
          </m:e>
          <m:sub>
            <m:r>
              <m:t>0</m:t>
            </m:r>
          </m:sub>
        </m:sSub>
        <m:r>
          <m:t>q</m:t>
        </m:r>
      </m:oMath>
      <w:r>
        <w:rPr>
          <w:rFonts w:ascii="Times New Roman" w:hAnsi="Times New Roman" w:eastAsia="Times New Roman"/>
          <w:color w:val="000000"/>
          <w:sz w:val="22"/>
        </w:rPr>
        <w:t>.</w:t>
      </w:r>
    </w:p>
    <w:p>
      <w:pPr>
        <w:pStyle w:val="Heading2"/>
        <w:keepNext/>
        <w:jc w:val="left"/>
      </w:pPr>
      <w:r>
        <w:rPr>
          <w:rFonts w:ascii="Times New Roman" w:hAnsi="Times New Roman" w:eastAsia="Times New Roman"/>
          <w:b/>
          <w:i w:val="0"/>
          <w:color w:val="000000"/>
          <w:sz w:val="21"/>
        </w:rPr>
        <w:t>2. Hodge decomposition and harmonic obstruction</w:t>
      </w:r>
    </w:p>
    <w:p>
      <w:pPr>
        <w:widowControl/>
        <w:jc w:val="both"/>
      </w:pPr>
      <w:r>
        <w:rPr>
          <w:rFonts w:ascii="Times New Roman" w:hAnsi="Times New Roman" w:eastAsia="Times New Roman"/>
          <w:color w:val="000000"/>
          <w:sz w:val="22"/>
        </w:rPr>
        <w:t xml:space="preserve">For a finite cochain complex </w:t>
      </w:r>
      <m:oMath>
        <m:sSup>
          <m:e>
            <m:r>
              <m:t>C</m:t>
            </m:r>
          </m:e>
          <m:sup>
            <m:r>
              <m:t>0</m:t>
            </m:r>
          </m:sup>
        </m:sSup>
        <m:limUpp>
          <m:e>
            <m:r>
              <m:rPr>
                <m:sty m:val="p"/>
              </m:rPr>
              <m:t>→</m:t>
            </m:r>
          </m:e>
          <m:lim>
            <m:sSub>
              <m:e>
                <m:r>
                  <m:t>D</m:t>
                </m:r>
              </m:e>
              <m:sub>
                <m:r>
                  <m:t>0</m:t>
                </m:r>
              </m:sub>
            </m:sSub>
          </m:lim>
        </m:limUpp>
        <m:sSup>
          <m:e>
            <m:r>
              <m:t>C</m:t>
            </m:r>
          </m:e>
          <m:sup>
            <m:r>
              <m:t>1</m:t>
            </m:r>
          </m:sup>
        </m:sSup>
        <m:limUpp>
          <m:e>
            <m:r>
              <m:rPr>
                <m:sty m:val="p"/>
              </m:rPr>
              <m:t>→</m:t>
            </m:r>
          </m:e>
          <m:lim>
            <m:sSub>
              <m:e>
                <m:r>
                  <m:t>D</m:t>
                </m:r>
              </m:e>
              <m:sub>
                <m:r>
                  <m:t>1</m:t>
                </m:r>
              </m:sub>
            </m:sSub>
          </m:lim>
        </m:limUpp>
        <m:sSup>
          <m:e>
            <m:r>
              <m:t>C</m:t>
            </m:r>
          </m:e>
          <m:sup>
            <m:r>
              <m:t>2</m:t>
            </m:r>
          </m:sup>
        </m:sSup>
      </m:oMath>
      <w:r>
        <w:rPr>
          <w:rFonts w:ascii="Times New Roman" w:hAnsi="Times New Roman" w:eastAsia="Times New Roman"/>
          <w:color w:val="000000"/>
          <w:sz w:val="22"/>
        </w:rPr>
        <w:t xml:space="preserve"> with </w:t>
      </w:r>
      <m:oMath>
        <m:sSub>
          <m:e>
            <m:r>
              <m:t>D</m:t>
            </m:r>
          </m:e>
          <m:sub>
            <m:r>
              <m:t>1</m:t>
            </m:r>
          </m:sub>
        </m:sSub>
        <m:sSub>
          <m:e>
            <m:r>
              <m:t>D</m:t>
            </m:r>
          </m:e>
          <m:sub>
            <m:r>
              <m:t>0</m:t>
            </m:r>
          </m:sub>
        </m:sSub>
        <m:r>
          <m:rPr>
            <m:sty m:val="p"/>
          </m:rPr>
          <m:t>=</m:t>
        </m:r>
        <m:r>
          <m:t>0</m:t>
        </m:r>
      </m:oMath>
      <w:r>
        <w:rPr>
          <w:rFonts w:ascii="Times New Roman" w:hAnsi="Times New Roman" w:eastAsia="Times New Roman"/>
          <w:color w:val="000000"/>
          <w:sz w:val="22"/>
        </w:rPr>
        <w:t xml:space="preserve"> and the unit-weight cochain inner product, </w:t>
      </w:r>
      <m:oMath>
        <m:sSup>
          <m:e>
            <m:r>
              <m:t>C</m:t>
            </m:r>
          </m:e>
          <m:sup>
            <m:r>
              <m:t>1</m:t>
            </m:r>
          </m:sup>
        </m:sSup>
        <m:r>
          <m:rPr>
            <m:sty m:val="p"/>
          </m:rPr>
          <m:t>=</m:t>
        </m:r>
        <m:r>
          <m:rPr>
            <m:sty m:val="p"/>
          </m:rPr>
          <m:t>i</m:t>
        </m:r>
        <m:r>
          <m:rPr>
            <m:sty m:val="p"/>
          </m:rPr>
          <m:t>m</m:t>
        </m:r>
        <m:d>
          <m:dPr>
            <m:begChr m:val="("/>
            <m:endChr m:val=")"/>
            <m:sepChr m:val=""/>
            <m:grow/>
          </m:dPr>
          <m:e>
            <m:sSub>
              <m:e>
                <m:r>
                  <m:t>D</m:t>
                </m:r>
              </m:e>
              <m:sub>
                <m:r>
                  <m:t>0</m:t>
                </m:r>
              </m:sub>
            </m:sSub>
          </m:e>
        </m:d>
        <m:r>
          <m:rPr>
            <m:sty m:val="p"/>
          </m:rPr>
          <m:t>⊕</m:t>
        </m:r>
        <m:r>
          <m:rPr>
            <m:sty m:val="p"/>
          </m:rPr>
          <m:t>i</m:t>
        </m:r>
        <m:r>
          <m:rPr>
            <m:sty m:val="p"/>
          </m:rPr>
          <m:t>m</m:t>
        </m:r>
        <m:d>
          <m:dPr>
            <m:begChr m:val="("/>
            <m:endChr m:val=")"/>
            <m:sepChr m:val=""/>
            <m:grow/>
          </m:dPr>
          <m:e>
            <m:sSubSup>
              <m:e>
                <m:r>
                  <m:t>D</m:t>
                </m:r>
              </m:e>
              <m:sub>
                <m:r>
                  <m:t>1</m:t>
                </m:r>
              </m:sub>
              <m:sup>
                <m:r>
                  <m:rPr>
                    <m:sty m:val="p"/>
                    <m:scr m:val="sans-serif"/>
                  </m:rPr>
                  <m:t>T</m:t>
                </m:r>
              </m:sup>
            </m:sSubSup>
          </m:e>
        </m:d>
        <m:r>
          <m:rPr>
            <m:sty m:val="p"/>
          </m:rPr>
          <m:t>⊕</m:t>
        </m:r>
        <m:d>
          <m:dPr>
            <m:begChr m:val="["/>
            <m:endChr m:val="]"/>
            <m:sepChr m:val=""/>
            <m:grow/>
          </m:dPr>
          <m:e>
            <m:r>
              <m:rPr>
                <m:sty m:val="p"/>
              </m:rPr>
              <m:t>k</m:t>
            </m:r>
            <m:r>
              <m:rPr>
                <m:sty m:val="p"/>
              </m:rPr>
              <m:t>e</m:t>
            </m:r>
            <m:r>
              <m:rPr>
                <m:sty m:val="p"/>
              </m:rPr>
              <m:t>r</m:t>
            </m:r>
            <m:d>
              <m:dPr>
                <m:begChr m:val="("/>
                <m:endChr m:val=")"/>
                <m:sepChr m:val=""/>
                <m:grow/>
              </m:dPr>
              <m:e>
                <m:sSubSup>
                  <m:e>
                    <m:r>
                      <m:t>D</m:t>
                    </m:r>
                  </m:e>
                  <m:sub>
                    <m:r>
                      <m:t>0</m:t>
                    </m:r>
                  </m:sub>
                  <m:sup>
                    <m:r>
                      <m:rPr>
                        <m:sty m:val="p"/>
                        <m:scr m:val="sans-serif"/>
                      </m:rPr>
                      <m:t>T</m:t>
                    </m:r>
                  </m:sup>
                </m:sSubSup>
              </m:e>
            </m:d>
            <m:r>
              <m:rPr>
                <m:sty m:val="p"/>
              </m:rPr>
              <m:t>∩</m:t>
            </m:r>
            <m:r>
              <m:rPr>
                <m:sty m:val="p"/>
              </m:rPr>
              <m:t>k</m:t>
            </m:r>
            <m:r>
              <m:rPr>
                <m:sty m:val="p"/>
              </m:rPr>
              <m:t>e</m:t>
            </m:r>
            <m:r>
              <m:rPr>
                <m:sty m:val="p"/>
              </m:rPr>
              <m:t>r</m:t>
            </m:r>
            <m:d>
              <m:dPr>
                <m:begChr m:val="("/>
                <m:endChr m:val=")"/>
                <m:sepChr m:val=""/>
                <m:grow/>
              </m:dPr>
              <m:e>
                <m:sSub>
                  <m:e>
                    <m:r>
                      <m:t>D</m:t>
                    </m:r>
                  </m:e>
                  <m:sub>
                    <m:r>
                      <m:t>1</m:t>
                    </m:r>
                  </m:sub>
                </m:sSub>
              </m:e>
            </m:d>
          </m:e>
        </m:d>
      </m:oMath>
      <w:r>
        <w:rPr>
          <w:rFonts w:ascii="Times New Roman" w:hAnsi="Times New Roman" w:eastAsia="Times New Roman"/>
          <w:color w:val="000000"/>
          <w:sz w:val="22"/>
        </w:rPr>
        <w:t xml:space="preserve">. The last factor represents </w:t>
      </w:r>
      <m:oMath>
        <m:sSup>
          <m:e>
            <m:r>
              <m:t>H</m:t>
            </m:r>
          </m:e>
          <m:sup>
            <m:r>
              <m:t>1</m:t>
            </m:r>
          </m:sup>
        </m:sSup>
      </m:oMath>
      <w:r>
        <w:rPr>
          <w:rFonts w:ascii="Times New Roman" w:hAnsi="Times New Roman" w:eastAsia="Times New Roman"/>
          <w:color w:val="000000"/>
          <w:sz w:val="22"/>
        </w:rPr>
        <w:t xml:space="preserve"> by its harmonic representative; hence a closed field can fail to be exact precisely when its harmonic class is nonzero.</w:t>
      </w:r>
    </w:p>
    <w:p>
      <w:pPr>
        <w:pStyle w:val="Heading2"/>
        <w:keepNext/>
        <w:jc w:val="left"/>
      </w:pPr>
      <w:r>
        <w:rPr>
          <w:rFonts w:ascii="Times New Roman" w:hAnsi="Times New Roman" w:eastAsia="Times New Roman"/>
          <w:b/>
          <w:i w:val="0"/>
          <w:color w:val="000000"/>
          <w:sz w:val="21"/>
        </w:rPr>
        <w:t>3. Positive-weight divergence no-go</w:t>
      </w:r>
    </w:p>
    <w:p>
      <w:pPr>
        <w:widowControl/>
        <w:jc w:val="both"/>
      </w:pPr>
      <w:r>
        <w:rPr>
          <w:rFonts w:ascii="Times New Roman" w:hAnsi="Times New Roman" w:eastAsia="Times New Roman"/>
          <w:color w:val="000000"/>
          <w:sz w:val="22"/>
        </w:rPr>
        <w:t xml:space="preserve">For </w:t>
      </w:r>
      <m:oMath>
        <m:r>
          <m:t>A</m:t>
        </m:r>
        <m:r>
          <m:rPr>
            <m:sty m:val="p"/>
          </m:rPr>
          <m:t>=</m:t>
        </m:r>
        <m:r>
          <m:rPr>
            <m:sty m:val="p"/>
          </m:rPr>
          <m:t>−</m:t>
        </m:r>
        <m:sSubSup>
          <m:e>
            <m:r>
              <m:t>D</m:t>
            </m:r>
          </m:e>
          <m:sub>
            <m:r>
              <m:t>0</m:t>
            </m:r>
          </m:sub>
          <m:sup>
            <m:r>
              <m:rPr>
                <m:sty m:val="p"/>
                <m:scr m:val="sans-serif"/>
              </m:rPr>
              <m:t>T</m:t>
            </m:r>
          </m:sup>
        </m:sSubSup>
        <m:r>
          <m:t>W</m:t>
        </m:r>
      </m:oMath>
      <w:r>
        <w:rPr>
          <w:rFonts w:ascii="Times New Roman" w:hAnsi="Times New Roman" w:eastAsia="Times New Roman"/>
          <w:color w:val="000000"/>
          <w:sz w:val="22"/>
        </w:rPr>
        <w:t xml:space="preserve"> with W positive diagonal, gauge invariance would require </w:t>
      </w:r>
      <m:oMath>
        <m:r>
          <m:t>A</m:t>
        </m:r>
        <m:sSub>
          <m:e>
            <m:r>
              <m:t>D</m:t>
            </m:r>
          </m:e>
          <m:sub>
            <m:r>
              <m:t>0</m:t>
            </m:r>
          </m:sub>
        </m:sSub>
        <m:r>
          <m:rPr>
            <m:sty m:val="p"/>
          </m:rPr>
          <m:t>=</m:t>
        </m:r>
        <m:r>
          <m:t>0</m:t>
        </m:r>
      </m:oMath>
      <w:r>
        <w:rPr>
          <w:rFonts w:ascii="Times New Roman" w:hAnsi="Times New Roman" w:eastAsia="Times New Roman"/>
          <w:color w:val="000000"/>
          <w:sz w:val="22"/>
        </w:rPr>
        <w:t xml:space="preserve">. But for any nonconstant q on a connected graph, </w:t>
      </w:r>
      <m:oMath>
        <m:sSup>
          <m:e>
            <m:r>
              <m:t>q</m:t>
            </m:r>
          </m:e>
          <m:sup>
            <m:r>
              <m:rPr>
                <m:sty m:val="p"/>
                <m:scr m:val="sans-serif"/>
              </m:rPr>
              <m:t>T</m:t>
            </m:r>
          </m:sup>
        </m:sSup>
        <m:sSubSup>
          <m:e>
            <m:r>
              <m:t>D</m:t>
            </m:r>
          </m:e>
          <m:sub>
            <m:r>
              <m:t>0</m:t>
            </m:r>
          </m:sub>
          <m:sup>
            <m:r>
              <m:rPr>
                <m:sty m:val="p"/>
                <m:scr m:val="sans-serif"/>
              </m:rPr>
              <m:t>T</m:t>
            </m:r>
          </m:sup>
        </m:sSubSup>
        <m:r>
          <m:t>W</m:t>
        </m:r>
        <m:sSub>
          <m:e>
            <m:r>
              <m:t>D</m:t>
            </m:r>
          </m:e>
          <m:sub>
            <m:r>
              <m:t>0</m:t>
            </m:r>
          </m:sub>
        </m:sSub>
        <m:r>
          <m:t>q</m:t>
        </m:r>
        <m:r>
          <m:rPr>
            <m:sty m:val="p"/>
          </m:rPr>
          <m:t>=</m:t>
        </m:r>
        <m:r>
          <m:rPr>
            <m:sty m:val="p"/>
          </m:rPr>
          <m:t>∥</m:t>
        </m:r>
        <m:sSup>
          <m:e>
            <m:r>
              <m:t>W</m:t>
            </m:r>
          </m:e>
          <m:sup>
            <m:r>
              <m:t>1</m:t>
            </m:r>
            <m:r>
              <m:rPr>
                <m:sty m:val="p"/>
              </m:rPr>
              <m:t>/</m:t>
            </m:r>
            <m:r>
              <m:t>2</m:t>
            </m:r>
          </m:sup>
        </m:sSup>
        <m:sSub>
          <m:e>
            <m:r>
              <m:t>D</m:t>
            </m:r>
          </m:e>
          <m:sub>
            <m:r>
              <m:t>0</m:t>
            </m:r>
          </m:sub>
        </m:sSub>
        <m:r>
          <m:t>q</m:t>
        </m:r>
        <m:sSup>
          <m:e>
            <m:r>
              <m:rPr>
                <m:sty m:val="p"/>
              </m:rPr>
              <m:t>∥</m:t>
            </m:r>
          </m:e>
          <m:sup>
            <m:r>
              <m:t>2</m:t>
            </m:r>
          </m:sup>
        </m:sSup>
        <m:r>
          <m:rPr>
            <m:sty m:val="p"/>
          </m:rPr>
          <m:t>&gt;</m:t>
        </m:r>
        <m:r>
          <m:t>0</m:t>
        </m:r>
      </m:oMath>
      <w:r>
        <w:rPr>
          <w:rFonts w:ascii="Times New Roman" w:hAnsi="Times New Roman" w:eastAsia="Times New Roman"/>
          <w:color w:val="000000"/>
          <w:sz w:val="22"/>
        </w:rPr>
        <w:t>. Therefore AD₀ cannot vanish on all gauge modes.</w:t>
      </w:r>
    </w:p>
    <w:p>
      <w:pPr>
        <w:pStyle w:val="Heading2"/>
        <w:keepNext/>
        <w:jc w:val="left"/>
      </w:pPr>
      <w:r>
        <w:rPr>
          <w:rFonts w:ascii="Times New Roman" w:hAnsi="Times New Roman" w:eastAsia="Times New Roman"/>
          <w:b/>
          <w:i w:val="0"/>
          <w:color w:val="000000"/>
          <w:sz w:val="21"/>
        </w:rPr>
        <w:t>4. Provenance-tree continuity</w:t>
      </w:r>
    </w:p>
    <w:p>
      <w:pPr>
        <w:jc w:val="both"/>
      </w:pPr>
      <w:r>
        <w:rPr>
          <w:rFonts w:ascii="Times New Roman" w:hAnsi="Times New Roman" w:eastAsia="Times New Roman"/>
          <w:color w:val="000000"/>
          <w:sz w:val="22"/>
        </w:rPr>
        <w:t xml:space="preserve">For each nonroot vertex v with parent p(v), define </w:t>
      </w:r>
      <m:oMath>
        <m:sSub>
          <m:e>
            <m:r>
              <m:t>J</m:t>
            </m:r>
          </m:e>
          <m:sub>
            <m:r>
              <m:t>p</m:t>
            </m:r>
            <m:d>
              <m:dPr>
                <m:begChr m:val="("/>
                <m:endChr m:val=")"/>
                <m:sepChr m:val=""/>
                <m:grow/>
              </m:dPr>
              <m:e>
                <m:r>
                  <m:t>v</m:t>
                </m:r>
              </m:e>
            </m:d>
            <m:r>
              <m:rPr>
                <m:sty m:val="p"/>
              </m:rPr>
              <m:t>→</m:t>
            </m:r>
            <m:r>
              <m:t>v</m:t>
            </m:r>
          </m:sub>
        </m:sSub>
        <m:r>
          <m:rPr>
            <m:sty m:val="p"/>
          </m:rPr>
          <m:t>=</m:t>
        </m:r>
        <m:nary>
          <m:naryPr>
            <m:chr m:val="∑"/>
            <m:limLoc m:val="undOvr"/>
            <m:subHide m:val="off"/>
            <m:supHide m:val="on"/>
          </m:naryPr>
          <m:sub>
            <m:r>
              <m:t>u</m:t>
            </m:r>
            <m:r>
              <m:rPr>
                <m:sty m:val="p"/>
              </m:rPr>
              <m:t>∈</m:t>
            </m:r>
            <m:r>
              <m:rPr>
                <m:sty m:val="p"/>
              </m:rPr>
              <m:t>s</m:t>
            </m:r>
            <m:r>
              <m:rPr>
                <m:sty m:val="p"/>
              </m:rPr>
              <m:t>u</m:t>
            </m:r>
            <m:r>
              <m:rPr>
                <m:sty m:val="p"/>
              </m:rPr>
              <m:t>b</m:t>
            </m:r>
            <m:r>
              <m:rPr>
                <m:sty m:val="p"/>
              </m:rPr>
              <m:t>t</m:t>
            </m:r>
            <m:r>
              <m:rPr>
                <m:sty m:val="p"/>
              </m:rPr>
              <m:t>r</m:t>
            </m:r>
            <m:r>
              <m:rPr>
                <m:sty m:val="p"/>
              </m:rPr>
              <m:t>e</m:t>
            </m:r>
            <m:r>
              <m:rPr>
                <m:sty m:val="p"/>
              </m:rPr>
              <m:t>e</m:t>
            </m:r>
            <m:d>
              <m:dPr>
                <m:begChr m:val="("/>
                <m:endChr m:val=")"/>
                <m:sepChr m:val=""/>
                <m:grow/>
              </m:dPr>
              <m:e>
                <m:r>
                  <m:t>v</m:t>
                </m:r>
              </m:e>
            </m:d>
          </m:sub>
          <m:sup>
            <m:r>
              <m:t>​</m:t>
            </m:r>
          </m:sup>
          <m:e>
            <m:r>
              <m:t>Δ</m:t>
            </m:r>
          </m:e>
        </m:nary>
        <m:sSub>
          <m:e>
            <m:r>
              <m:t>ρ</m:t>
            </m:r>
          </m:e>
          <m:sub>
            <m:r>
              <m:t>u</m:t>
            </m:r>
          </m:sub>
        </m:sSub>
      </m:oMath>
      <w:r>
        <w:rPr>
          <w:rFonts w:ascii="Times New Roman" w:hAnsi="Times New Roman" w:eastAsia="Times New Roman"/>
          <w:color w:val="000000"/>
          <w:sz w:val="22"/>
        </w:rPr>
        <w:t xml:space="preserve">. The incoming current at v is the subtree sum and the outgoing currents are the child-subtree sums. Since subtree(v) is the disjoint union of {v} and its child subtrees, outgoing minus incoming equals −Δρᵥ, so </w:t>
      </w:r>
      <m:oMath>
        <m:sSub>
          <m:e>
            <m:r>
              <m:t>S</m:t>
            </m:r>
          </m:e>
          <m:sub>
            <m:r>
              <m:t>v</m:t>
            </m:r>
          </m:sub>
        </m:sSub>
        <m:r>
          <m:rPr>
            <m:sty m:val="p"/>
          </m:rPr>
          <m:t>=</m:t>
        </m:r>
        <m:r>
          <m:t>Δ</m:t>
        </m:r>
        <m:sSub>
          <m:e>
            <m:r>
              <m:t>ρ</m:t>
            </m:r>
          </m:e>
          <m:sub>
            <m:r>
              <m:t>v</m:t>
            </m:r>
          </m:sub>
        </m:sSub>
        <m:r>
          <m:rPr>
            <m:sty m:val="p"/>
          </m:rPr>
          <m:t>+</m:t>
        </m:r>
        <m:sSub>
          <m:e>
            <m:r>
              <m:rPr>
                <m:sty m:val="p"/>
              </m:rPr>
              <m:t>d</m:t>
            </m:r>
            <m:r>
              <m:rPr>
                <m:sty m:val="p"/>
              </m:rPr>
              <m:t>i</m:t>
            </m:r>
            <m:r>
              <m:rPr>
                <m:sty m:val="p"/>
              </m:rPr>
              <m:t>v</m:t>
            </m:r>
          </m:e>
          <m:sub>
            <m:r>
              <m:t>T</m:t>
            </m:r>
          </m:sub>
        </m:sSub>
        <m:sSub>
          <m:e>
            <m:r>
              <m:t>J</m:t>
            </m:r>
          </m:e>
          <m:sub>
            <m:r>
              <m:t>v</m:t>
            </m:r>
          </m:sub>
        </m:sSub>
        <m:r>
          <m:rPr>
            <m:sty m:val="p"/>
          </m:rPr>
          <m:t>=</m:t>
        </m:r>
        <m:r>
          <m:t>0</m:t>
        </m:r>
      </m:oMath>
      <w:r>
        <w:rPr>
          <w:rFonts w:ascii="Times New Roman" w:hAnsi="Times New Roman" w:eastAsia="Times New Roman"/>
          <w:color w:val="000000"/>
          <w:sz w:val="22"/>
        </w:rPr>
        <w:t xml:space="preserve">. At the root the residual is </w:t>
      </w:r>
      <m:oMath>
        <m:nary>
          <m:naryPr>
            <m:chr m:val="∑"/>
            <m:limLoc m:val="undOvr"/>
            <m:subHide m:val="off"/>
            <m:supHide m:val="on"/>
          </m:naryPr>
          <m:sub>
            <m:r>
              <m:t>v</m:t>
            </m:r>
          </m:sub>
          <m:sup>
            <m:r>
              <m:t>​</m:t>
            </m:r>
          </m:sup>
          <m:e>
            <m:r>
              <m:t>Δ</m:t>
            </m:r>
          </m:e>
        </m:nary>
        <m:sSub>
          <m:e>
            <m:r>
              <m:t>ρ</m:t>
            </m:r>
          </m:e>
          <m:sub>
            <m:r>
              <m:t>v</m:t>
            </m:r>
          </m:sub>
        </m:sSub>
      </m:oMath>
      <w:r>
        <w:rPr>
          <w:rFonts w:ascii="Times New Roman" w:hAnsi="Times New Roman" w:eastAsia="Times New Roman"/>
          <w:color w:val="000000"/>
          <w:sz w:val="22"/>
        </w:rPr>
        <w:t>. The reduced incidence matrix of a tree has full rank, giving uniqueness under the root-source convention.</w:t>
      </w:r>
    </w:p>
    <w:p>
      <w:pPr>
        <w:pStyle w:val="Heading2"/>
        <w:keepNext/>
        <w:jc w:val="left"/>
      </w:pPr>
      <w:r>
        <w:rPr>
          <w:rFonts w:ascii="Times New Roman" w:hAnsi="Times New Roman" w:eastAsia="Times New Roman"/>
          <w:b/>
          <w:i w:val="0"/>
          <w:color w:val="000000"/>
          <w:sz w:val="21"/>
        </w:rPr>
        <w:t>5. Integrated balance and the open Noether question</w:t>
      </w:r>
    </w:p>
    <w:p>
      <w:pPr>
        <w:jc w:val="both"/>
      </w:pPr>
      <w:r>
        <w:rPr>
          <w:rFonts w:ascii="Times New Roman" w:hAnsi="Times New Roman" w:eastAsia="Times New Roman"/>
          <w:color w:val="000000"/>
          <w:sz w:val="22"/>
        </w:rPr>
        <w:t xml:space="preserve">Summing </w:t>
      </w:r>
      <m:oMath>
        <m:r>
          <m:t>Δ</m:t>
        </m:r>
        <m:r>
          <m:t>ρ</m:t>
        </m:r>
        <m:r>
          <m:rPr>
            <m:sty m:val="p"/>
          </m:rPr>
          <m:t>+</m:t>
        </m:r>
        <m:sSub>
          <m:e>
            <m:r>
              <m:rPr>
                <m:sty m:val="p"/>
              </m:rPr>
              <m:t>d</m:t>
            </m:r>
            <m:r>
              <m:rPr>
                <m:sty m:val="p"/>
              </m:rPr>
              <m:t>i</m:t>
            </m:r>
            <m:r>
              <m:rPr>
                <m:sty m:val="p"/>
              </m:rPr>
              <m:t>v</m:t>
            </m:r>
          </m:e>
          <m:sub>
            <m:r>
              <m:t>T</m:t>
            </m:r>
          </m:sub>
        </m:sSub>
        <m:r>
          <m:t>J</m:t>
        </m:r>
        <m:r>
          <m:rPr>
            <m:sty m:val="p"/>
          </m:rPr>
          <m:t>=</m:t>
        </m:r>
        <m:r>
          <m:t>S</m:t>
        </m:r>
      </m:oMath>
      <w:r>
        <w:rPr>
          <w:rFonts w:ascii="Times New Roman" w:hAnsi="Times New Roman" w:eastAsia="Times New Roman"/>
          <w:color w:val="000000"/>
          <w:sz w:val="22"/>
        </w:rPr>
        <w:t xml:space="preserve"> over all vertices of a closed provenance patch cancels every internal current once with each sign. Hence </w:t>
      </w:r>
      <m:oMath>
        <m:r>
          <m:t>Δ</m:t>
        </m:r>
        <m:sSub>
          <m:e>
            <m:r>
              <m:t>Q</m:t>
            </m:r>
          </m:e>
          <m:sub>
            <m:r>
              <m:t>T</m:t>
            </m:r>
          </m:sub>
        </m:sSub>
        <m:r>
          <m:rPr>
            <m:sty m:val="p"/>
          </m:rPr>
          <m:t>=</m:t>
        </m:r>
        <m:nary>
          <m:naryPr>
            <m:chr m:val="∑"/>
            <m:limLoc m:val="undOvr"/>
            <m:subHide m:val="off"/>
            <m:supHide m:val="on"/>
          </m:naryPr>
          <m:sub>
            <m:r>
              <m:t>i</m:t>
            </m:r>
          </m:sub>
          <m:sup>
            <m:r>
              <m:t>​</m:t>
            </m:r>
          </m:sup>
          <m:e>
            <m:sSub>
              <m:e>
                <m:r>
                  <m:t>S</m:t>
                </m:r>
              </m:e>
              <m:sub>
                <m:r>
                  <m:t>i</m:t>
                </m:r>
              </m:sub>
            </m:sSub>
          </m:e>
        </m:nary>
      </m:oMath>
      <w:r>
        <w:rPr>
          <w:rFonts w:ascii="Times New Roman" w:hAnsi="Times New Roman" w:eastAsia="Times New Roman"/>
          <w:color w:val="000000"/>
          <w:sz w:val="22"/>
        </w:rPr>
        <w:t xml:space="preserve"> with </w:t>
      </w:r>
      <m:oMath>
        <m:sSub>
          <m:e>
            <m:r>
              <m:t>Q</m:t>
            </m:r>
          </m:e>
          <m:sub>
            <m:r>
              <m:t>T</m:t>
            </m:r>
          </m:sub>
        </m:sSub>
        <m:r>
          <m:rPr>
            <m:sty m:val="p"/>
          </m:rPr>
          <m:t>=</m:t>
        </m:r>
        <m:nary>
          <m:naryPr>
            <m:chr m:val="∑"/>
            <m:limLoc m:val="undOvr"/>
            <m:subHide m:val="off"/>
            <m:supHide m:val="on"/>
          </m:naryPr>
          <m:sub>
            <m:r>
              <m:t>i</m:t>
            </m:r>
          </m:sub>
          <m:sup>
            <m:r>
              <m:t>​</m:t>
            </m:r>
          </m:sup>
          <m:e>
            <m:sSub>
              <m:e>
                <m:r>
                  <m:t>ρ</m:t>
                </m:r>
              </m:e>
              <m:sub>
                <m:r>
                  <m:t>i</m:t>
                </m:r>
              </m:sub>
            </m:sSub>
          </m:e>
        </m:nary>
        <m:r>
          <m:rPr>
            <m:sty m:val="p"/>
          </m:rPr>
          <m:t>=</m:t>
        </m:r>
        <m:r>
          <m:rPr>
            <m:sty m:val="p"/>
          </m:rPr>
          <m:t>∥</m:t>
        </m:r>
        <m:r>
          <m:t>η</m:t>
        </m:r>
        <m:sSup>
          <m:e>
            <m:r>
              <m:rPr>
                <m:sty m:val="p"/>
              </m:rPr>
              <m:t>∥</m:t>
            </m:r>
          </m:e>
          <m:sup>
            <m:r>
              <m:t>2</m:t>
            </m:r>
          </m:sup>
        </m:sSup>
      </m:oMath>
      <w:r>
        <w:rPr>
          <w:rFonts w:ascii="Times New Roman" w:hAnsi="Times New Roman" w:eastAsia="Times New Roman"/>
          <w:color w:val="000000"/>
          <w:sz w:val="22"/>
        </w:rPr>
        <w:t xml:space="preserve">. If </w:t>
      </w:r>
      <m:oMath>
        <m:nary>
          <m:naryPr>
            <m:chr m:val="∑"/>
            <m:limLoc m:val="undOvr"/>
            <m:subHide m:val="off"/>
            <m:supHide m:val="on"/>
          </m:naryPr>
          <m:sub>
            <m:r>
              <m:t>i</m:t>
            </m:r>
          </m:sub>
          <m:sup>
            <m:r>
              <m:t>​</m:t>
            </m:r>
          </m:sup>
          <m:e>
            <m:sSub>
              <m:e>
                <m:r>
                  <m:t>S</m:t>
                </m:r>
              </m:e>
              <m:sub>
                <m:r>
                  <m:t>i</m:t>
                </m:r>
              </m:sub>
            </m:sSub>
          </m:e>
        </m:nary>
        <m:r>
          <m:rPr>
            <m:sty m:val="p"/>
          </m:rPr>
          <m:t>=</m:t>
        </m:r>
        <m:r>
          <m:t>0</m:t>
        </m:r>
      </m:oMath>
      <w:r>
        <w:rPr>
          <w:rFonts w:ascii="Times New Roman" w:hAnsi="Times New Roman" w:eastAsia="Times New Roman"/>
          <w:color w:val="000000"/>
          <w:sz w:val="22"/>
        </w:rPr>
        <w:t xml:space="preserve"> then </w:t>
      </w:r>
      <m:oMath>
        <m:sSub>
          <m:e>
            <m:r>
              <m:t>Q</m:t>
            </m:r>
          </m:e>
          <m:sub>
            <m:r>
              <m:t>T</m:t>
            </m:r>
          </m:sub>
        </m:sSub>
      </m:oMath>
      <w:r>
        <w:rPr>
          <w:rFonts w:ascii="Times New Roman" w:hAnsi="Times New Roman" w:eastAsia="Times New Roman"/>
          <w:color w:val="000000"/>
          <w:sz w:val="22"/>
        </w:rPr>
        <w:t xml:space="preserve"> is conserved exactly. This is an algebraic corollary of the provenance continuity law and not a Noether derivation.</w:t>
      </w:r>
    </w:p>
    <w:p>
      <w:pPr>
        <w:pStyle w:val="Heading1"/>
        <w:keepNext/>
        <w:keepLines/>
        <w:jc w:val="center"/>
      </w:pPr>
      <w:r>
        <w:t>APPENDIX B: REPRODUCIBILITY AND NEGATIVE-PATH RECORD</w:t>
      </w:r>
    </w:p>
    <w:p>
      <w:pPr>
        <w:pStyle w:val="BodyText"/>
      </w:pPr>
      <w:r>
        <w:t>As in the predecessor article, machine-oriented provenance is kept outside the scientific narrative. The reproducibility materials for this manuscript record versioned source packages, predeclared case sets and criteria, record-level outputs, independent reconstructions, replay results where applicable, SHA-256 manifests, and the negative-path history used to delimit the accepted evidence.</w:t>
      </w:r>
    </w:p>
    <w:p>
      <w:pPr>
        <w:pStyle w:val="BodyText"/>
        <w:keepNext/>
        <w:keepLines/>
        <w:spacing w:before="80" w:after="60"/>
        <w:jc w:val="left"/>
      </w:pPr>
      <w:r>
        <w:t>Several negative paths are retained without retrospective repair. An initial interface-composition attempt was invalidated before it could support a scientific claim because generator/runtime-oracle, tolerance, holdout, multiplicity, metric, and oracle-conflict defects were found. A first lifecycle holdout genuinely failed before the prospectively corrected study. A first noisy-atlas holdout likewise failed before a new repaired prospective design was executed. A first matched-connectivity attempt was abandoned before scientific execution after a preflight contract defect was found.</w:t>
      </w:r>
    </w:p>
    <w:p>
      <w:pPr>
        <w:pStyle w:val="BodyText"/>
        <w:widowControl/>
        <w:jc w:val="both"/>
      </w:pPr>
      <w:r>
        <w:t>No failed or invalidated attempt is reinterpreted as supporting evidence. Detailed internal identifiers and cryptographic hashes are therefore omitted from the manuscript text and maintained instead in machine-readable archive metadata, where they serve provenance and exact-replay functions rather than scientific notation.</w:t>
      </w:r>
    </w:p>
    <w:p>
      <w:pPr>
        <w:pStyle w:val="Heading1"/>
        <w:keepNext/>
        <w:keepLines/>
        <w:jc w:val="center"/>
      </w:pPr>
      <w:r>
        <w:rPr>
          <w:rFonts w:ascii="Times New Roman" w:hAnsi="Times New Roman" w:eastAsia="Times New Roman"/>
          <w:b/>
          <w:i w:val="0"/>
          <w:color w:val="000000"/>
          <w:sz w:val="22"/>
        </w:rPr>
        <w:t>REFERENCES</w:t>
      </w:r>
    </w:p>
    <w:p>
      <w:pPr>
        <w:spacing w:after="60"/>
        <w:ind w:left="317" w:hanging="317"/>
        <w:jc w:val="left"/>
      </w:pPr>
      <w:r>
        <w:rPr>
          <w:rFonts w:ascii="Times New Roman" w:hAnsi="Times New Roman" w:eastAsia="Times New Roman"/>
          <w:b w:val="0"/>
          <w:i w:val="0"/>
          <w:color w:val="000000"/>
          <w:sz w:val="19"/>
        </w:rPr>
        <w:t>1. L. Lamport, “Time, clocks, and the ordering of events in a distributed system,” Commun. ACM 21, 558–565 (1978).</w:t>
      </w:r>
    </w:p>
    <w:p>
      <w:pPr>
        <w:spacing w:after="60"/>
        <w:ind w:left="317" w:hanging="317"/>
        <w:jc w:val="left"/>
      </w:pPr>
      <w:r>
        <w:rPr>
          <w:rFonts w:ascii="Times New Roman" w:hAnsi="Times New Roman" w:eastAsia="Times New Roman"/>
          <w:b w:val="0"/>
          <w:i w:val="0"/>
          <w:color w:val="000000"/>
          <w:sz w:val="19"/>
        </w:rPr>
        <w:t>2. D. N. Page and W. K. Wootters, “Evolution without evolution: Dynamics described by stationary observables,” Phys. Rev. D 27, 2885–2892 (1983).</w:t>
      </w:r>
    </w:p>
    <w:p>
      <w:pPr>
        <w:spacing w:after="60"/>
        <w:ind w:left="317" w:hanging="317"/>
        <w:jc w:val="left"/>
      </w:pPr>
      <w:r>
        <w:rPr>
          <w:rFonts w:ascii="Times New Roman" w:hAnsi="Times New Roman" w:eastAsia="Times New Roman"/>
          <w:b w:val="0"/>
          <w:i w:val="0"/>
          <w:color w:val="000000"/>
          <w:sz w:val="19"/>
        </w:rPr>
        <w:t>3. C. Rovelli, “Time in quantum gravity: An hypothesis,” Phys. Rev. D 43, 442–456 (1991).</w:t>
      </w:r>
    </w:p>
    <w:p>
      <w:pPr>
        <w:spacing w:after="60"/>
        <w:ind w:left="317" w:hanging="317"/>
        <w:jc w:val="left"/>
      </w:pPr>
      <w:r>
        <w:rPr>
          <w:rFonts w:ascii="Times New Roman" w:hAnsi="Times New Roman" w:eastAsia="Times New Roman"/>
          <w:b w:val="0"/>
          <w:i w:val="0"/>
          <w:color w:val="000000"/>
          <w:sz w:val="19"/>
        </w:rPr>
        <w:t>4. H. Whitney, Geometric Integration Theory (Princeton University Press, Princeton, NJ, 1957).</w:t>
      </w:r>
    </w:p>
    <w:p>
      <w:pPr>
        <w:spacing w:after="60"/>
        <w:ind w:left="317" w:hanging="317"/>
        <w:jc w:val="left"/>
      </w:pPr>
      <w:r>
        <w:rPr>
          <w:rFonts w:ascii="Times New Roman" w:hAnsi="Times New Roman" w:eastAsia="Times New Roman"/>
          <w:b w:val="0"/>
          <w:i w:val="0"/>
          <w:color w:val="000000"/>
          <w:sz w:val="19"/>
        </w:rPr>
        <w:t>5. M. Desbrun, A. N. Hirani, M. Leok, and J. E. Marsden, “Discrete exterior calculus,” arXiv:math/0508341 (2005).</w:t>
      </w:r>
    </w:p>
    <w:p>
      <w:pPr>
        <w:spacing w:after="60"/>
        <w:ind w:left="317" w:hanging="317"/>
        <w:jc w:val="left"/>
      </w:pPr>
      <w:r>
        <w:rPr>
          <w:rFonts w:ascii="Times New Roman" w:hAnsi="Times New Roman" w:eastAsia="Times New Roman"/>
          <w:b w:val="0"/>
          <w:i w:val="0"/>
          <w:color w:val="000000"/>
          <w:sz w:val="19"/>
        </w:rPr>
        <w:t>6. X. Jiang, L.-H. Lim, Y. Yao, and Y. Ye, “Statistical ranking and combinatorial Hodge theory,” Math. Program. 127, 203–244 (2011).</w:t>
      </w:r>
    </w:p>
    <w:p>
      <w:pPr>
        <w:spacing w:after="60"/>
        <w:ind w:left="317" w:hanging="317"/>
        <w:jc w:val="left"/>
      </w:pPr>
      <w:r>
        <w:rPr>
          <w:rFonts w:ascii="Times New Roman" w:hAnsi="Times New Roman" w:eastAsia="Times New Roman"/>
          <w:b w:val="0"/>
          <w:i w:val="0"/>
          <w:color w:val="000000"/>
          <w:sz w:val="19"/>
        </w:rPr>
        <w:t>7. L.-H. Lim, “Hodge Laplacians on graphs,” SIAM Rev. 62, 685–715 (2020).</w:t>
      </w:r>
    </w:p>
    <w:p>
      <w:pPr>
        <w:spacing w:after="60"/>
        <w:ind w:left="317" w:hanging="317"/>
        <w:jc w:val="left"/>
      </w:pPr>
      <w:r>
        <w:rPr>
          <w:rFonts w:ascii="Times New Roman" w:hAnsi="Times New Roman" w:eastAsia="Times New Roman"/>
          <w:b w:val="0"/>
          <w:i w:val="0"/>
          <w:color w:val="000000"/>
          <w:sz w:val="19"/>
        </w:rPr>
        <w:t>8. A. Singer, “Angular synchronization by eigenvectors and semidefinite programming,” Appl. Comput. Harmon. Anal. 30, 20–36 (2011).</w:t>
      </w:r>
    </w:p>
    <w:p>
      <w:pPr>
        <w:spacing w:after="60"/>
        <w:ind w:left="317" w:hanging="317"/>
        <w:jc w:val="left"/>
      </w:pPr>
      <w:r>
        <w:rPr>
          <w:rFonts w:ascii="Times New Roman" w:hAnsi="Times New Roman" w:eastAsia="Times New Roman"/>
          <w:b w:val="0"/>
          <w:i w:val="0"/>
          <w:color w:val="000000"/>
          <w:sz w:val="19"/>
        </w:rPr>
        <w:t>9. A. S. Bandeira, A. Singer, and D. A. Spielman, “A Cheeger inequality for the graph connection Laplacian,” SIAM J. Matrix Anal. Appl. 34, 1611–1630 (2013).</w:t>
      </w:r>
    </w:p>
    <w:p>
      <w:pPr>
        <w:spacing w:after="60"/>
        <w:ind w:left="317" w:hanging="317"/>
        <w:jc w:val="left"/>
      </w:pPr>
      <w:r>
        <w:rPr>
          <w:rFonts w:ascii="Times New Roman" w:hAnsi="Times New Roman" w:eastAsia="Times New Roman"/>
          <w:b w:val="0"/>
          <w:i w:val="0"/>
          <w:color w:val="000000"/>
          <w:sz w:val="19"/>
        </w:rPr>
        <w:t>10. B. Eckmann, “Harmonische Funktionen und Randwertaufgaben in einem Komplex,” Comment. Math. Helv. 17, 240–255 (1944).</w:t>
      </w:r>
    </w:p>
    <w:p>
      <w:pPr>
        <w:spacing w:after="60"/>
        <w:ind w:left="317" w:hanging="317"/>
        <w:jc w:val="left"/>
      </w:pPr>
      <w:r>
        <w:rPr>
          <w:rFonts w:ascii="Times New Roman" w:hAnsi="Times New Roman" w:eastAsia="Times New Roman"/>
          <w:b w:val="0"/>
          <w:i w:val="0"/>
          <w:color w:val="000000"/>
          <w:sz w:val="19"/>
        </w:rPr>
        <w:t>11. W. V. D. Hodge, The Theory and Applications of Harmonic Integrals (Cambridge University Press, Cambridge, 1941).</w:t>
      </w:r>
    </w:p>
    <w:p>
      <w:pPr>
        <w:spacing w:after="60"/>
        <w:ind w:left="317" w:hanging="317"/>
        <w:jc w:val="left"/>
      </w:pPr>
      <w:r>
        <w:rPr>
          <w:rFonts w:ascii="Times New Roman" w:hAnsi="Times New Roman" w:eastAsia="Times New Roman"/>
          <w:b w:val="0"/>
          <w:i w:val="0"/>
          <w:color w:val="000000"/>
          <w:sz w:val="19"/>
        </w:rPr>
        <w:t>12. E. Noether, “Invariante Variationsprobleme,” Nachr. Ges. Wiss. Göttingen Math.-Phys. Kl., 235–257 (1918).</w:t>
      </w:r>
    </w:p>
    <w:p>
      <w:pPr>
        <w:spacing w:after="60"/>
        <w:ind w:left="317" w:hanging="317"/>
        <w:jc w:val="left"/>
      </w:pPr>
      <w:r>
        <w:rPr>
          <w:rFonts w:ascii="Times New Roman" w:hAnsi="Times New Roman" w:eastAsia="Times New Roman"/>
          <w:b w:val="0"/>
          <w:i w:val="0"/>
          <w:color w:val="000000"/>
          <w:sz w:val="19"/>
        </w:rPr>
        <w:t>13. M. Boj Viudes, “Serialization gauge and conditioned-hazard obstructions for finite quantum-jump event kernels,” submitted to J. Math. Phys., manuscript JMP26-AR-02157 (2026).</w:t>
      </w:r>
    </w:p>
    <w:p>
      <w:pPr/>
      <w:r>
        <w:t>14. L. Bombelli, J. Lee, D. Meyer, and R. D. Sorkin, “Space-time as a causal set,” Phys. Rev. Lett. 59, 521–524 (1987).</w:t>
      </w:r>
    </w:p>
    <w:p>
      <w:pPr/>
      <w:r>
        <w:t>15. P. Barooah and J. P. Hespanha, “Estimation on graphs from relative measurements: Distributed algorithms and fundamental limits,” IEEE Control Syst. Mag. 27, 57–74 (2007).</w:t>
      </w:r>
    </w:p>
    <w:sectPr w:rsidR="00FC693F" w:rsidRPr="0006063C" w:rsidSect="00034616">
      <w:footerReference w:type="default" r:id="rId9"/>
      <w:pgSz w:w="12240" w:h="15840"/>
      <w:pgMar w:top="1152" w:right="1296" w:bottom="1080"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before="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center"/>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100"/>
      <w:jc w:val="left"/>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pPr>
    <w:rPr>
      <w:rFonts w:ascii="Cambria Math" w:hAnsi="Cambria Math"/>
      <w:sz w:val="21"/>
    </w:rPr>
  </w:style>
  <w:style w:type="paragraph" w:customStyle="1" w:styleId="CaptionText">
    <w:name w:val="CaptionText"/>
    <w:pPr>
      <w:spacing w:before="60" w:after="140" w:line="240" w:lineRule="auto"/>
      <w:jc w:val="left"/>
    </w:pPr>
    <w:rPr>
      <w:rFonts w:ascii="Times New Roman" w:hAnsi="Times New Roman"/>
      <w:i w:val="0"/>
      <w:color w:val="000000"/>
      <w:sz w:val="18"/>
    </w:rPr>
  </w:style>
  <w:style w:type="paragraph" w:customStyle="1" w:styleId="Small">
    <w:name w:val="Small"/>
    <w:pPr>
      <w:spacing w:after="60"/>
    </w:pPr>
    <w:rPr>
      <w:rFonts w:ascii="Times New Roman" w:hAnsi="Times New Roman"/>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v15.3: clarified target relation Q_G as BEFORE/INCOMPARABLE; no scientific claim change.</dc:description>
  <cp:lastModifiedBy/>
  <cp:revision>1</cp:revision>
  <dcterms:created xsi:type="dcterms:W3CDTF">2013-12-23T23:15:00Z</dcterms:created>
  <dcterms:modified xsi:type="dcterms:W3CDTF">2013-12-23T23:15:00Z</dcterms:modified>
  <cp:category/>
</cp:coreProperties>
</file>