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52"/>
          <w:szCs w:val="52"/>
        </w:rPr>
        <w:t xml:space="preserve">CAHIER DES CHARGES</w:t>
      </w:r>
    </w:p>
    <w:p>
      <w:pPr>
        <w:spacing w:after="100" w:before="200"/>
        <w:jc w:val="center"/>
      </w:pPr>
      <w:r>
        <w:rPr>
          <w:b/>
          <w:bCs/>
          <w:color w:val="2E5C8A"/>
          <w:sz w:val="32"/>
          <w:szCs w:val="32"/>
        </w:rPr>
        <w:t xml:space="preserve">Solution CRM &amp; Gestion de la Relation Client</w:t>
      </w:r>
    </w:p>
    <w:p>
      <w:pPr>
        <w:spacing w:after="500"/>
        <w:jc w:val="center"/>
      </w:pPr>
      <w:r>
        <w:rPr>
          <w:b/>
          <w:bCs/>
          <w:color w:val="2E5C8A"/>
          <w:sz w:val="32"/>
          <w:szCs w:val="32"/>
        </w:rPr>
        <w:t xml:space="preserve">Service Après-Vente — Secteur Automobile</w:t>
      </w:r>
    </w:p>
    <w:p>
      <w:pPr>
        <w:spacing w:after="800"/>
        <w:jc w:val="center"/>
      </w:pPr>
      <w:r>
        <w:rPr>
          <w:i/>
          <w:iCs/>
          <w:color w:val="595959"/>
          <w:sz w:val="21"/>
          <w:szCs w:val="21"/>
        </w:rPr>
        <w:t xml:space="preserve">Cas d'usage type : groupe de concessions multi-marques / multi-sites (ex. Autohall ou équivalent)</w:t>
      </w:r>
    </w:p>
    <w:p>
      <w:pPr>
        <w:pBdr>
          <w:top w:val="single" w:color="1F3864" w:sz="6" w:space="8"/>
        </w:pBdr>
        <w:spacing w:before="1600"/>
      </w:pPr>
    </w:p>
    <w:p>
      <w:pPr>
        <w:spacing w:before="200"/>
        <w:jc w:val="center"/>
      </w:pPr>
      <w:r>
        <w:rPr>
          <w:color w:val="595959"/>
          <w:sz w:val="20"/>
          <w:szCs w:val="20"/>
        </w:rPr>
        <w:t xml:space="preserve">Version 1.0 — Document de cadrage préliminaire</w:t>
      </w:r>
    </w:p>
    <w:p>
      <w:pPr>
        <w:spacing w:before="80"/>
        <w:jc w:val="center"/>
      </w:pPr>
      <w:r>
        <w:rPr>
          <w:color w:val="595959"/>
          <w:sz w:val="20"/>
          <w:szCs w:val="20"/>
        </w:rPr>
        <w:t xml:space="preserve">Août 2026</w:t>
      </w:r>
    </w:p>
    <w:p>
      <w:r>
        <w:br w:type="page"/>
      </w:r>
    </w:p>
    <w:p>
      <w:pPr>
        <w:pStyle w:val="Heading1"/>
        <w:pBdr>
          <w:bottom w:val="single" w:color="1F3864" w:sz="6" w:space="4"/>
        </w:pBdr>
        <w:spacing w:after="200" w:before="400"/>
      </w:pPr>
      <w:r>
        <w:rPr>
          <w:b/>
          <w:bCs/>
          <w:color w:val="1F3864"/>
          <w:sz w:val="30"/>
          <w:szCs w:val="30"/>
        </w:rPr>
        <w:t xml:space="preserve">Sommaire</w:t>
      </w:r>
    </w:p>
    <w:p>
      <w:pPr>
        <w:pStyle w:val="ListParagraph"/>
        <w:numPr>
          <w:ilvl w:val="0"/>
          <w:numId w:val="2"/>
        </w:numPr>
        <w:spacing w:after="60" w:line="276"/>
      </w:pPr>
      <w:r>
        <w:rPr>
          <w:sz w:val="21"/>
          <w:szCs w:val="21"/>
        </w:rPr>
        <w:t xml:space="preserve">1. Présentation du projet</w:t>
      </w:r>
    </w:p>
    <w:p>
      <w:pPr>
        <w:pStyle w:val="ListParagraph"/>
        <w:numPr>
          <w:ilvl w:val="0"/>
          <w:numId w:val="2"/>
        </w:numPr>
        <w:spacing w:after="60" w:line="276"/>
      </w:pPr>
      <w:r>
        <w:rPr>
          <w:sz w:val="21"/>
          <w:szCs w:val="21"/>
        </w:rPr>
        <w:t xml:space="preserve">2. Périmètre du projet</w:t>
      </w:r>
    </w:p>
    <w:p>
      <w:pPr>
        <w:pStyle w:val="ListParagraph"/>
        <w:numPr>
          <w:ilvl w:val="0"/>
          <w:numId w:val="2"/>
        </w:numPr>
        <w:spacing w:after="60" w:line="276"/>
      </w:pPr>
      <w:r>
        <w:rPr>
          <w:sz w:val="21"/>
          <w:szCs w:val="21"/>
        </w:rPr>
        <w:t xml:space="preserve">3. Acteurs et utilisateurs cibles</w:t>
      </w:r>
    </w:p>
    <w:p>
      <w:pPr>
        <w:pStyle w:val="ListParagraph"/>
        <w:numPr>
          <w:ilvl w:val="0"/>
          <w:numId w:val="2"/>
        </w:numPr>
        <w:spacing w:after="60" w:line="276"/>
      </w:pPr>
      <w:r>
        <w:rPr>
          <w:sz w:val="21"/>
          <w:szCs w:val="21"/>
        </w:rPr>
        <w:t xml:space="preserve">4. Périmètre fonctionnel détaillé</w:t>
      </w:r>
    </w:p>
    <w:p>
      <w:pPr>
        <w:pStyle w:val="ListParagraph"/>
        <w:numPr>
          <w:ilvl w:val="0"/>
          <w:numId w:val="2"/>
        </w:numPr>
        <w:spacing w:after="60" w:line="276"/>
      </w:pPr>
      <w:r>
        <w:rPr>
          <w:sz w:val="21"/>
          <w:szCs w:val="21"/>
        </w:rPr>
        <w:t xml:space="preserve">5. Exigences non fonctionnelles</w:t>
      </w:r>
    </w:p>
    <w:p>
      <w:pPr>
        <w:pStyle w:val="ListParagraph"/>
        <w:numPr>
          <w:ilvl w:val="0"/>
          <w:numId w:val="2"/>
        </w:numPr>
        <w:spacing w:after="60" w:line="276"/>
      </w:pPr>
      <w:r>
        <w:rPr>
          <w:sz w:val="21"/>
          <w:szCs w:val="21"/>
        </w:rPr>
        <w:t xml:space="preserve">6. Architecture technique envisagée</w:t>
      </w:r>
    </w:p>
    <w:p>
      <w:pPr>
        <w:pStyle w:val="ListParagraph"/>
        <w:numPr>
          <w:ilvl w:val="0"/>
          <w:numId w:val="2"/>
        </w:numPr>
        <w:spacing w:after="60" w:line="276"/>
      </w:pPr>
      <w:r>
        <w:rPr>
          <w:sz w:val="21"/>
          <w:szCs w:val="21"/>
        </w:rPr>
        <w:t xml:space="preserve">7. Indicateurs de performance clés (KPIs)</w:t>
      </w:r>
    </w:p>
    <w:p>
      <w:pPr>
        <w:pStyle w:val="ListParagraph"/>
        <w:numPr>
          <w:ilvl w:val="0"/>
          <w:numId w:val="2"/>
        </w:numPr>
        <w:spacing w:after="60" w:line="276"/>
      </w:pPr>
      <w:r>
        <w:rPr>
          <w:sz w:val="21"/>
          <w:szCs w:val="21"/>
        </w:rPr>
        <w:t xml:space="preserve">8. Contraintes du projet</w:t>
      </w:r>
    </w:p>
    <w:p>
      <w:pPr>
        <w:pStyle w:val="ListParagraph"/>
        <w:numPr>
          <w:ilvl w:val="0"/>
          <w:numId w:val="2"/>
        </w:numPr>
        <w:spacing w:after="60" w:line="276"/>
      </w:pPr>
      <w:r>
        <w:rPr>
          <w:sz w:val="21"/>
          <w:szCs w:val="21"/>
        </w:rPr>
        <w:t xml:space="preserve">9. Livrables attendus</w:t>
      </w:r>
    </w:p>
    <w:p>
      <w:pPr>
        <w:pStyle w:val="ListParagraph"/>
        <w:numPr>
          <w:ilvl w:val="0"/>
          <w:numId w:val="2"/>
        </w:numPr>
        <w:spacing w:after="60" w:line="276"/>
      </w:pPr>
      <w:r>
        <w:rPr>
          <w:sz w:val="21"/>
          <w:szCs w:val="21"/>
        </w:rPr>
        <w:t xml:space="preserve">10. Planning prévisionnel</w:t>
      </w:r>
    </w:p>
    <w:p>
      <w:pPr>
        <w:pStyle w:val="ListParagraph"/>
        <w:numPr>
          <w:ilvl w:val="0"/>
          <w:numId w:val="2"/>
        </w:numPr>
        <w:spacing w:after="60" w:line="276"/>
      </w:pPr>
      <w:r>
        <w:rPr>
          <w:sz w:val="21"/>
          <w:szCs w:val="21"/>
        </w:rPr>
        <w:t xml:space="preserve">11. Critères de sélection du prestataire</w:t>
      </w:r>
    </w:p>
    <w:p>
      <w:pPr>
        <w:pStyle w:val="ListParagraph"/>
        <w:numPr>
          <w:ilvl w:val="0"/>
          <w:numId w:val="2"/>
        </w:numPr>
        <w:spacing w:after="60" w:line="276"/>
      </w:pPr>
      <w:r>
        <w:rPr>
          <w:sz w:val="21"/>
          <w:szCs w:val="21"/>
        </w:rPr>
        <w:t xml:space="preserve">12. Budget estimatif indicatif</w:t>
      </w:r>
    </w:p>
    <w:p>
      <w:pPr>
        <w:pStyle w:val="ListParagraph"/>
        <w:numPr>
          <w:ilvl w:val="0"/>
          <w:numId w:val="2"/>
        </w:numPr>
        <w:spacing w:after="60" w:line="276"/>
      </w:pPr>
      <w:r>
        <w:rPr>
          <w:sz w:val="21"/>
          <w:szCs w:val="21"/>
        </w:rPr>
        <w:t xml:space="preserve">13. Annexes</w:t>
      </w:r>
    </w:p>
    <w:p>
      <w:r>
        <w:br w:type="page"/>
      </w:r>
    </w:p>
    <w:p>
      <w:pPr>
        <w:pStyle w:val="Heading1"/>
        <w:pBdr>
          <w:bottom w:val="single" w:color="1F3864" w:sz="6" w:space="4"/>
        </w:pBdr>
        <w:spacing w:after="200" w:before="400"/>
      </w:pPr>
      <w:r>
        <w:rPr>
          <w:b/>
          <w:bCs/>
          <w:color w:val="1F3864"/>
          <w:sz w:val="30"/>
          <w:szCs w:val="30"/>
        </w:rPr>
        <w:t xml:space="preserve">1. Présentation du projet</w:t>
      </w:r>
    </w:p>
    <w:p>
      <w:pPr>
        <w:pStyle w:val="Heading2"/>
        <w:spacing w:after="140" w:before="260"/>
      </w:pPr>
      <w:r>
        <w:rPr>
          <w:b/>
          <w:bCs/>
          <w:color w:val="2E5C8A"/>
          <w:sz w:val="24"/>
          <w:szCs w:val="24"/>
        </w:rPr>
        <w:t xml:space="preserve">1.1 Contexte</w:t>
      </w:r>
    </w:p>
    <w:p>
      <w:pPr>
        <w:spacing w:after="140" w:line="276"/>
        <w:jc w:val="both"/>
      </w:pPr>
      <w:r>
        <w:rPr>
          <w:sz w:val="21"/>
          <w:szCs w:val="21"/>
        </w:rPr>
        <w:t xml:space="preserve">Dans le secteur automobile, la relation client ne s'arrête pas à la vente du véhicule : elle se prolonge sur toute sa durée de vie à travers l'entretien, les réparations, les garanties, les rappels constructeur et le renouvellement. Le Service Après-Vente (SAV) représente une part majeure et récurrente de la rentabilité des concessionnaires et groupes automobiles (type Autohall, distributeurs multi-marques, réseaux d'agents agréés), mais reste souvent piloté avec des outils hétérogènes (tableurs, DMS constructeur limité, échanges téléphoniques non tracés).</w:t>
      </w:r>
    </w:p>
    <w:p>
      <w:pPr>
        <w:spacing w:after="140" w:line="276"/>
        <w:jc w:val="both"/>
      </w:pPr>
      <w:r>
        <w:rPr>
          <w:sz w:val="21"/>
          <w:szCs w:val="21"/>
        </w:rPr>
        <w:t xml:space="preserve">Le présent cahier des charges définit les besoins fonctionnels, techniques et organisationnels pour la mise en place d'une solution CRM dédiée à la gestion de la relation client et du service après-vente automobile, couvrant l'ensemble du parcours client : prise de rendez-vous, réception atelier, diagnostic, devis, réparation, facturation, suivi de satisfaction et fidélisation.</w:t>
      </w:r>
    </w:p>
    <w:p>
      <w:pPr>
        <w:pStyle w:val="Heading2"/>
        <w:spacing w:after="140" w:before="260"/>
      </w:pPr>
      <w:r>
        <w:rPr>
          <w:b/>
          <w:bCs/>
          <w:color w:val="2E5C8A"/>
          <w:sz w:val="24"/>
          <w:szCs w:val="24"/>
        </w:rPr>
        <w:t xml:space="preserve">1.2 Enjeux</w:t>
      </w:r>
    </w:p>
    <w:p>
      <w:pPr>
        <w:pStyle w:val="ListParagraph"/>
        <w:numPr>
          <w:ilvl w:val="0"/>
          <w:numId w:val="2"/>
        </w:numPr>
        <w:spacing w:after="60" w:line="276"/>
      </w:pPr>
      <w:r>
        <w:rPr>
          <w:b/>
          <w:bCs/>
          <w:sz w:val="21"/>
          <w:szCs w:val="21"/>
        </w:rPr>
        <w:t xml:space="preserve">Rétention client : </w:t>
      </w:r>
      <w:r>
        <w:rPr>
          <w:sz w:val="21"/>
          <w:szCs w:val="21"/>
        </w:rPr>
        <w:t xml:space="preserve">augmenter le taux de retour en atelier et limiter l'évasion vers les réparateurs indépendants (MRA).</w:t>
      </w:r>
    </w:p>
    <w:p>
      <w:pPr>
        <w:pStyle w:val="ListParagraph"/>
        <w:numPr>
          <w:ilvl w:val="0"/>
          <w:numId w:val="2"/>
        </w:numPr>
        <w:spacing w:after="60" w:line="276"/>
      </w:pPr>
      <w:r>
        <w:rPr>
          <w:b/>
          <w:bCs/>
          <w:sz w:val="21"/>
          <w:szCs w:val="21"/>
        </w:rPr>
        <w:t xml:space="preserve">Expérience client : </w:t>
      </w:r>
      <w:r>
        <w:rPr>
          <w:sz w:val="21"/>
          <w:szCs w:val="21"/>
        </w:rPr>
        <w:t xml:space="preserve">fluidifier la prise de rendez-vous, la communication et la transparence sur les interventions et les coûts.</w:t>
      </w:r>
    </w:p>
    <w:p>
      <w:pPr>
        <w:pStyle w:val="ListParagraph"/>
        <w:numPr>
          <w:ilvl w:val="0"/>
          <w:numId w:val="2"/>
        </w:numPr>
        <w:spacing w:after="60" w:line="276"/>
      </w:pPr>
      <w:r>
        <w:rPr>
          <w:b/>
          <w:bCs/>
          <w:sz w:val="21"/>
          <w:szCs w:val="21"/>
        </w:rPr>
        <w:t xml:space="preserve">Productivité atelier : </w:t>
      </w:r>
      <w:r>
        <w:rPr>
          <w:sz w:val="21"/>
          <w:szCs w:val="21"/>
        </w:rPr>
        <w:t xml:space="preserve">optimiser la planification des ressources (box, techniciens, pièces) et réduire les délais d'immobilisation véhicule.</w:t>
      </w:r>
    </w:p>
    <w:p>
      <w:pPr>
        <w:pStyle w:val="ListParagraph"/>
        <w:numPr>
          <w:ilvl w:val="0"/>
          <w:numId w:val="2"/>
        </w:numPr>
        <w:spacing w:after="60" w:line="276"/>
      </w:pPr>
      <w:r>
        <w:rPr>
          <w:b/>
          <w:bCs/>
          <w:sz w:val="21"/>
          <w:szCs w:val="21"/>
        </w:rPr>
        <w:t xml:space="preserve">Pilotage : </w:t>
      </w:r>
      <w:r>
        <w:rPr>
          <w:sz w:val="21"/>
          <w:szCs w:val="21"/>
        </w:rPr>
        <w:t xml:space="preserve">disposer d'une vision consolidée multi-sites et multi-marques pour la direction (CA SAV, taux d'absorption, satisfaction).</w:t>
      </w:r>
    </w:p>
    <w:p>
      <w:pPr>
        <w:pStyle w:val="ListParagraph"/>
        <w:numPr>
          <w:ilvl w:val="0"/>
          <w:numId w:val="2"/>
        </w:numPr>
        <w:spacing w:after="60" w:line="276"/>
      </w:pPr>
      <w:r>
        <w:rPr>
          <w:b/>
          <w:bCs/>
          <w:sz w:val="21"/>
          <w:szCs w:val="21"/>
        </w:rPr>
        <w:t xml:space="preserve">Conformité : </w:t>
      </w:r>
      <w:r>
        <w:rPr>
          <w:sz w:val="21"/>
          <w:szCs w:val="21"/>
        </w:rPr>
        <w:t xml:space="preserve">assurer la traçabilité des garanties, rappels sécurité constructeur et protection des données personnelles des clients.</w:t>
      </w:r>
    </w:p>
    <w:p>
      <w:pPr>
        <w:pStyle w:val="Heading2"/>
        <w:spacing w:after="140" w:before="260"/>
      </w:pPr>
      <w:r>
        <w:rPr>
          <w:b/>
          <w:bCs/>
          <w:color w:val="2E5C8A"/>
          <w:sz w:val="24"/>
          <w:szCs w:val="24"/>
        </w:rPr>
        <w:t xml:space="preserve">1.3 Objectifs du projet</w:t>
      </w:r>
    </w:p>
    <w:p>
      <w:pPr>
        <w:pStyle w:val="ListParagraph"/>
        <w:numPr>
          <w:ilvl w:val="0"/>
          <w:numId w:val="2"/>
        </w:numPr>
        <w:spacing w:after="60" w:line="276"/>
      </w:pPr>
      <w:r>
        <w:rPr>
          <w:sz w:val="21"/>
          <w:szCs w:val="21"/>
        </w:rPr>
        <w:t xml:space="preserve">Centraliser les données client et véhicule dans une fiche unique à 360°.</w:t>
      </w:r>
    </w:p>
    <w:p>
      <w:pPr>
        <w:pStyle w:val="ListParagraph"/>
        <w:numPr>
          <w:ilvl w:val="0"/>
          <w:numId w:val="2"/>
        </w:numPr>
        <w:spacing w:after="60" w:line="276"/>
      </w:pPr>
      <w:r>
        <w:rPr>
          <w:sz w:val="21"/>
          <w:szCs w:val="21"/>
        </w:rPr>
        <w:t xml:space="preserve">Digitaliser la prise de rendez-vous et le parcours atelier (du RDV à la restitution du véhicule).</w:t>
      </w:r>
    </w:p>
    <w:p>
      <w:pPr>
        <w:pStyle w:val="ListParagraph"/>
        <w:numPr>
          <w:ilvl w:val="0"/>
          <w:numId w:val="2"/>
        </w:numPr>
        <w:spacing w:after="60" w:line="276"/>
      </w:pPr>
      <w:r>
        <w:rPr>
          <w:sz w:val="21"/>
          <w:szCs w:val="21"/>
        </w:rPr>
        <w:t xml:space="preserve">Automatiser les relances (entretien périodique, garantie, contrôle technique, rappels constructeur).</w:t>
      </w:r>
    </w:p>
    <w:p>
      <w:pPr>
        <w:pStyle w:val="ListParagraph"/>
        <w:numPr>
          <w:ilvl w:val="0"/>
          <w:numId w:val="2"/>
        </w:numPr>
        <w:spacing w:after="60" w:line="276"/>
      </w:pPr>
      <w:r>
        <w:rPr>
          <w:sz w:val="21"/>
          <w:szCs w:val="21"/>
        </w:rPr>
        <w:t xml:space="preserve">Fournir aux directions des tableaux de bord et indicateurs de performance SAV en temps réel.</w:t>
      </w:r>
    </w:p>
    <w:p>
      <w:pPr>
        <w:pStyle w:val="ListParagraph"/>
        <w:numPr>
          <w:ilvl w:val="0"/>
          <w:numId w:val="2"/>
        </w:numPr>
        <w:spacing w:after="60" w:line="276"/>
      </w:pPr>
      <w:r>
        <w:rPr>
          <w:sz w:val="21"/>
          <w:szCs w:val="21"/>
        </w:rPr>
        <w:t xml:space="preserve">Améliorer la satisfaction et la fidélisation client (mesure NPS/CSAT, programme de fidélité).</w:t>
      </w:r>
    </w:p>
    <w:p>
      <w:pPr>
        <w:pStyle w:val="ListParagraph"/>
        <w:numPr>
          <w:ilvl w:val="0"/>
          <w:numId w:val="2"/>
        </w:numPr>
        <w:spacing w:after="60" w:line="276"/>
      </w:pPr>
      <w:r>
        <w:rPr>
          <w:sz w:val="21"/>
          <w:szCs w:val="21"/>
        </w:rPr>
        <w:t xml:space="preserve">Interconnecter le CRM avec les systèmes existants (DMS constructeur, ERP, comptabilité, paiement).</w:t>
      </w:r>
    </w:p>
    <w:p>
      <w:pPr>
        <w:pStyle w:val="Heading1"/>
        <w:pBdr>
          <w:bottom w:val="single" w:color="1F3864" w:sz="6" w:space="4"/>
        </w:pBdr>
        <w:spacing w:after="200" w:before="400"/>
      </w:pPr>
      <w:r>
        <w:rPr>
          <w:b/>
          <w:bCs/>
          <w:color w:val="1F3864"/>
          <w:sz w:val="30"/>
          <w:szCs w:val="30"/>
        </w:rPr>
        <w:t xml:space="preserve">2. Périmètre du projet</w:t>
      </w:r>
    </w:p>
    <w:p>
      <w:pPr>
        <w:pStyle w:val="Heading2"/>
        <w:spacing w:after="140" w:before="260"/>
      </w:pPr>
      <w:r>
        <w:rPr>
          <w:b/>
          <w:bCs/>
          <w:color w:val="2E5C8A"/>
          <w:sz w:val="24"/>
          <w:szCs w:val="24"/>
        </w:rPr>
        <w:t xml:space="preserve">2.1 Dans le périmètre</w:t>
      </w:r>
    </w:p>
    <w:p>
      <w:pPr>
        <w:pStyle w:val="ListParagraph"/>
        <w:numPr>
          <w:ilvl w:val="0"/>
          <w:numId w:val="2"/>
        </w:numPr>
        <w:spacing w:after="60" w:line="276"/>
      </w:pPr>
      <w:r>
        <w:rPr>
          <w:sz w:val="21"/>
          <w:szCs w:val="21"/>
        </w:rPr>
        <w:t xml:space="preserve">Gestion de la relation client (CRM) et gestion du parc véhicules clients.</w:t>
      </w:r>
    </w:p>
    <w:p>
      <w:pPr>
        <w:pStyle w:val="ListParagraph"/>
        <w:numPr>
          <w:ilvl w:val="0"/>
          <w:numId w:val="2"/>
        </w:numPr>
        <w:spacing w:after="60" w:line="276"/>
      </w:pPr>
      <w:r>
        <w:rPr>
          <w:sz w:val="21"/>
          <w:szCs w:val="21"/>
        </w:rPr>
        <w:t xml:space="preserve">Processus SAV complet : prise de RDV, ordre de réparation, devis, facturation, restitution.</w:t>
      </w:r>
    </w:p>
    <w:p>
      <w:pPr>
        <w:pStyle w:val="ListParagraph"/>
        <w:numPr>
          <w:ilvl w:val="0"/>
          <w:numId w:val="2"/>
        </w:numPr>
        <w:spacing w:after="60" w:line="276"/>
      </w:pPr>
      <w:r>
        <w:rPr>
          <w:sz w:val="21"/>
          <w:szCs w:val="21"/>
        </w:rPr>
        <w:t xml:space="preserve">Gestion des stocks de pièces détachées liés aux interventions atelier.</w:t>
      </w:r>
    </w:p>
    <w:p>
      <w:pPr>
        <w:pStyle w:val="ListParagraph"/>
        <w:numPr>
          <w:ilvl w:val="0"/>
          <w:numId w:val="2"/>
        </w:numPr>
        <w:spacing w:after="60" w:line="276"/>
      </w:pPr>
      <w:r>
        <w:rPr>
          <w:sz w:val="21"/>
          <w:szCs w:val="21"/>
        </w:rPr>
        <w:t xml:space="preserve">Portail client web et application mobile (client + technicien).</w:t>
      </w:r>
    </w:p>
    <w:p>
      <w:pPr>
        <w:pStyle w:val="ListParagraph"/>
        <w:numPr>
          <w:ilvl w:val="0"/>
          <w:numId w:val="2"/>
        </w:numPr>
        <w:spacing w:after="60" w:line="276"/>
      </w:pPr>
      <w:r>
        <w:rPr>
          <w:sz w:val="21"/>
          <w:szCs w:val="21"/>
        </w:rPr>
        <w:t xml:space="preserve">Reporting, tableaux de bord et pilotage multi-sites.</w:t>
      </w:r>
    </w:p>
    <w:p>
      <w:pPr>
        <w:pStyle w:val="ListParagraph"/>
        <w:numPr>
          <w:ilvl w:val="0"/>
          <w:numId w:val="2"/>
        </w:numPr>
        <w:spacing w:after="60" w:line="276"/>
      </w:pPr>
      <w:r>
        <w:rPr>
          <w:sz w:val="21"/>
          <w:szCs w:val="21"/>
        </w:rPr>
        <w:t xml:space="preserve">Interfaçage avec les systèmes existants (DMS, ERP/comptabilité, SMS/e-mail, paiement en ligne).</w:t>
      </w:r>
    </w:p>
    <w:p>
      <w:pPr>
        <w:pStyle w:val="Heading2"/>
        <w:spacing w:after="140" w:before="260"/>
      </w:pPr>
      <w:r>
        <w:rPr>
          <w:b/>
          <w:bCs/>
          <w:color w:val="2E5C8A"/>
          <w:sz w:val="24"/>
          <w:szCs w:val="24"/>
        </w:rPr>
        <w:t xml:space="preserve">2.2 Hors périmètre (sauf extension ultérieure)</w:t>
      </w:r>
    </w:p>
    <w:p>
      <w:pPr>
        <w:pStyle w:val="ListParagraph"/>
        <w:numPr>
          <w:ilvl w:val="0"/>
          <w:numId w:val="2"/>
        </w:numPr>
        <w:spacing w:after="60" w:line="276"/>
      </w:pPr>
      <w:r>
        <w:rPr>
          <w:sz w:val="21"/>
          <w:szCs w:val="21"/>
        </w:rPr>
        <w:t xml:space="preserve">Gestion complète de la vente de véhicules neufs/occasion (CRM commercial vente), traitée en interface uniquement.</w:t>
      </w:r>
    </w:p>
    <w:p>
      <w:pPr>
        <w:pStyle w:val="ListParagraph"/>
        <w:numPr>
          <w:ilvl w:val="0"/>
          <w:numId w:val="2"/>
        </w:numPr>
        <w:spacing w:after="60" w:line="276"/>
      </w:pPr>
      <w:r>
        <w:rPr>
          <w:sz w:val="21"/>
          <w:szCs w:val="21"/>
        </w:rPr>
        <w:t xml:space="preserve">Gestion de la paie et des ressources humaines des techniciens.</w:t>
      </w:r>
    </w:p>
    <w:p>
      <w:pPr>
        <w:pStyle w:val="ListParagraph"/>
        <w:numPr>
          <w:ilvl w:val="0"/>
          <w:numId w:val="2"/>
        </w:numPr>
        <w:spacing w:after="60" w:line="276"/>
      </w:pPr>
      <w:r>
        <w:rPr>
          <w:sz w:val="21"/>
          <w:szCs w:val="21"/>
        </w:rPr>
        <w:t xml:space="preserve">Comptabilité générale (interfaçage uniquement avec l'ERP existant).</w:t>
      </w:r>
    </w:p>
    <w:p>
      <w:pPr>
        <w:pStyle w:val="ListParagraph"/>
        <w:numPr>
          <w:ilvl w:val="0"/>
          <w:numId w:val="2"/>
        </w:numPr>
        <w:spacing w:after="60" w:line="276"/>
      </w:pPr>
      <w:r>
        <w:rPr>
          <w:sz w:val="21"/>
          <w:szCs w:val="21"/>
        </w:rPr>
        <w:t xml:space="preserve">Développement d'un DMS complet (Dealer Management System) — la solution vient en complément, pas en remplacement, sauf demande explicite.</w:t>
      </w:r>
    </w:p>
    <w:p>
      <w:pPr>
        <w:pStyle w:val="Heading1"/>
        <w:pBdr>
          <w:bottom w:val="single" w:color="1F3864" w:sz="6" w:space="4"/>
        </w:pBdr>
        <w:spacing w:after="200" w:before="400"/>
      </w:pPr>
      <w:r>
        <w:rPr>
          <w:b/>
          <w:bCs/>
          <w:color w:val="1F3864"/>
          <w:sz w:val="30"/>
          <w:szCs w:val="30"/>
        </w:rPr>
        <w:t xml:space="preserve">3. Acteurs et utilisateurs cibles</w:t>
      </w:r>
    </w:p>
    <w:p>
      <w:pPr>
        <w:spacing w:after="140" w:line="276"/>
        <w:jc w:val="both"/>
      </w:pPr>
      <w:r>
        <w:rPr>
          <w:sz w:val="21"/>
          <w:szCs w:val="21"/>
        </w:rPr>
        <w:t xml:space="preserve">Le tableau suivant recense les profils utilisateurs de la solution et leurs besoins principaux.</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Acteur</w:t>
            </w:r>
          </w:p>
        </w:tc>
        <w:tc>
          <w:tcPr>
            <w:tcW w:type="dxa" w:w="3600"/>
            <w:shd w:fill="1F3864" w:val="clear"/>
            <w:tcMar>
              <w:top w:type="dxa" w:w="80"/>
              <w:left w:type="dxa" w:w="100"/>
              <w:bottom w:type="dxa" w:w="80"/>
              <w:right w:type="dxa" w:w="100"/>
            </w:tcMar>
            <w:vAlign w:val="center"/>
          </w:tcPr>
          <w:p>
            <w:pPr>
              <w:jc w:val="left"/>
            </w:pPr>
            <w:r>
              <w:rPr>
                <w:b/>
                <w:bCs/>
                <w:color w:val="FFFFFF"/>
                <w:sz w:val="19"/>
                <w:szCs w:val="19"/>
              </w:rPr>
              <w:t xml:space="preserve">Rôle</w:t>
            </w:r>
          </w:p>
        </w:tc>
        <w:tc>
          <w:tcPr>
            <w:tcW w:type="dxa" w:w="3600"/>
            <w:shd w:fill="1F3864" w:val="clear"/>
            <w:tcMar>
              <w:top w:type="dxa" w:w="80"/>
              <w:left w:type="dxa" w:w="100"/>
              <w:bottom w:type="dxa" w:w="80"/>
              <w:right w:type="dxa" w:w="100"/>
            </w:tcMar>
            <w:vAlign w:val="center"/>
          </w:tcPr>
          <w:p>
            <w:pPr>
              <w:jc w:val="left"/>
            </w:pPr>
            <w:r>
              <w:rPr>
                <w:b/>
                <w:bCs/>
                <w:color w:val="FFFFFF"/>
                <w:sz w:val="19"/>
                <w:szCs w:val="19"/>
              </w:rPr>
              <w:t xml:space="preserve">Besoins clés</w:t>
            </w:r>
          </w:p>
        </w:tc>
      </w:tr>
      <w:tr>
        <w:tc>
          <w:tcPr>
            <w:tcW w:type="dxa" w:w="24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Client particulier / entreprise</w:t>
            </w:r>
          </w:p>
        </w:tc>
        <w:tc>
          <w:tcPr>
            <w:tcW w:type="dxa" w:w="36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Propriétaire ou gestionnaire de flotte</w:t>
            </w:r>
          </w:p>
        </w:tc>
        <w:tc>
          <w:tcPr>
            <w:tcW w:type="dxa" w:w="36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Prise de RDV en ligne, suivi en temps réel, historique véhicule, devis et facture dématérialisés</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Conseiller / réceptionnaire SAV</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Accueil client, ouverture des ordres de réparation</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Vue planning atelier, création OR, devis rapide, communication client</w:t>
            </w:r>
          </w:p>
        </w:tc>
      </w:tr>
      <w:tr>
        <w:tc>
          <w:tcPr>
            <w:tcW w:type="dxa" w:w="24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Technicien / mécanicien</w:t>
            </w:r>
          </w:p>
        </w:tc>
        <w:tc>
          <w:tcPr>
            <w:tcW w:type="dxa" w:w="36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Réalisation des interventions</w:t>
            </w:r>
          </w:p>
        </w:tc>
        <w:tc>
          <w:tcPr>
            <w:tcW w:type="dxa" w:w="36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Fiches d'intervention mobiles, checklist, saisie temps et pièces utilisées</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Chef d'atelier</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Planification et supervision atelier</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Planning ressources (box, techniciens), suivi charge/capacité</w:t>
            </w:r>
          </w:p>
        </w:tc>
      </w:tr>
      <w:tr>
        <w:tc>
          <w:tcPr>
            <w:tcW w:type="dxa" w:w="24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Gestionnaire pièces détachées</w:t>
            </w:r>
          </w:p>
        </w:tc>
        <w:tc>
          <w:tcPr>
            <w:tcW w:type="dxa" w:w="36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Gestion des stocks magasin</w:t>
            </w:r>
          </w:p>
        </w:tc>
        <w:tc>
          <w:tcPr>
            <w:tcW w:type="dxa" w:w="36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Réservation pièces sur OR, alertes rupture, commandes fournisseurs</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Chargé(e) de pricing / chiffrage SAV</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Complète le devis de réparation à partir du diagnostic transmis par le technicien</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Rapport de diagnostic et pièces à remplacer, catalogue pièces/tarifs/forfaits, publication du devis vers le portail client</w:t>
            </w:r>
          </w:p>
        </w:tc>
      </w:tr>
      <w:tr>
        <w:tc>
          <w:tcPr>
            <w:tcW w:type="dxa" w:w="24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Responsable SAV / Direction site</w:t>
            </w:r>
          </w:p>
        </w:tc>
        <w:tc>
          <w:tcPr>
            <w:tcW w:type="dxa" w:w="36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Pilotage de la performance atelier</w:t>
            </w:r>
          </w:p>
        </w:tc>
        <w:tc>
          <w:tcPr>
            <w:tcW w:type="dxa" w:w="36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Tableaux de bord, KPIs, reporting financier</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Direction groupe</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Pilotage multi-sites / multi-marques</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Vision consolidée, comparatif inter-sites, aide à la décision</w:t>
            </w:r>
          </w:p>
        </w:tc>
      </w:tr>
      <w:tr>
        <w:tc>
          <w:tcPr>
            <w:tcW w:type="dxa" w:w="24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Centre d'appel / support client</w:t>
            </w:r>
          </w:p>
        </w:tc>
        <w:tc>
          <w:tcPr>
            <w:tcW w:type="dxa" w:w="36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Prise de RDV téléphonique, réclamations</w:t>
            </w:r>
          </w:p>
        </w:tc>
        <w:tc>
          <w:tcPr>
            <w:tcW w:type="dxa" w:w="36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Vue 360° client, historique interactions, gestion des tickets</w:t>
            </w:r>
          </w:p>
        </w:tc>
      </w:tr>
    </w:tbl>
    <w:p>
      <w:r>
        <w:br w:type="page"/>
      </w:r>
    </w:p>
    <w:p>
      <w:pPr>
        <w:pStyle w:val="Heading1"/>
        <w:pBdr>
          <w:bottom w:val="single" w:color="1F3864" w:sz="6" w:space="4"/>
        </w:pBdr>
        <w:spacing w:after="200" w:before="400"/>
      </w:pPr>
      <w:r>
        <w:rPr>
          <w:b/>
          <w:bCs/>
          <w:color w:val="1F3864"/>
          <w:sz w:val="30"/>
          <w:szCs w:val="30"/>
        </w:rPr>
        <w:t xml:space="preserve">4. Périmètre fonctionnel détaillé</w:t>
      </w:r>
    </w:p>
    <w:p>
      <w:pPr>
        <w:pStyle w:val="Heading2"/>
        <w:spacing w:after="140" w:before="260"/>
      </w:pPr>
      <w:r>
        <w:rPr>
          <w:b/>
          <w:bCs/>
          <w:color w:val="2E5C8A"/>
          <w:sz w:val="24"/>
          <w:szCs w:val="24"/>
        </w:rPr>
        <w:t xml:space="preserve">4.1 Gestion clients et véhicules (CRM 360°)</w:t>
      </w:r>
    </w:p>
    <w:p>
      <w:pPr>
        <w:pStyle w:val="ListParagraph"/>
        <w:numPr>
          <w:ilvl w:val="0"/>
          <w:numId w:val="2"/>
        </w:numPr>
        <w:spacing w:after="60" w:line="276"/>
      </w:pPr>
      <w:r>
        <w:rPr>
          <w:sz w:val="21"/>
          <w:szCs w:val="21"/>
        </w:rPr>
        <w:t xml:space="preserve">Fiche client unique : coordonnées, préférences de contact (SMS, e-mail, WhatsApp), consentement RGPD/loi 09-08.</w:t>
      </w:r>
    </w:p>
    <w:p>
      <w:pPr>
        <w:pStyle w:val="ListParagraph"/>
        <w:numPr>
          <w:ilvl w:val="0"/>
          <w:numId w:val="2"/>
        </w:numPr>
        <w:spacing w:after="60" w:line="276"/>
      </w:pPr>
      <w:r>
        <w:rPr>
          <w:sz w:val="21"/>
          <w:szCs w:val="21"/>
        </w:rPr>
        <w:t xml:space="preserve">Fiche véhicule : VIN, immatriculation, marque/modèle, date de mise en circulation, kilométrage.</w:t>
      </w:r>
    </w:p>
    <w:p>
      <w:pPr>
        <w:pStyle w:val="ListParagraph"/>
        <w:numPr>
          <w:ilvl w:val="0"/>
          <w:numId w:val="2"/>
        </w:numPr>
        <w:spacing w:after="60" w:line="276"/>
      </w:pPr>
      <w:r>
        <w:rPr>
          <w:sz w:val="21"/>
          <w:szCs w:val="21"/>
        </w:rPr>
        <w:t xml:space="preserve">Carnet d'entretien digital : historique complet des interventions, pièces changées, garanties appliquées.</w:t>
      </w:r>
    </w:p>
    <w:p>
      <w:pPr>
        <w:pStyle w:val="ListParagraph"/>
        <w:numPr>
          <w:ilvl w:val="0"/>
          <w:numId w:val="2"/>
        </w:numPr>
        <w:spacing w:after="60" w:line="276"/>
      </w:pPr>
      <w:r>
        <w:rPr>
          <w:sz w:val="21"/>
          <w:szCs w:val="21"/>
        </w:rPr>
        <w:t xml:space="preserve">Rattachement multi-véhicules pour un même client (particulier ou gestionnaire de flotte).</w:t>
      </w:r>
    </w:p>
    <w:p>
      <w:pPr>
        <w:pStyle w:val="ListParagraph"/>
        <w:numPr>
          <w:ilvl w:val="0"/>
          <w:numId w:val="2"/>
        </w:numPr>
        <w:spacing w:after="60" w:line="276"/>
      </w:pPr>
      <w:r>
        <w:rPr>
          <w:sz w:val="21"/>
          <w:szCs w:val="21"/>
        </w:rPr>
        <w:t xml:space="preserve">Segmentation client (VIP, flotte entreprise, garantie active, client à risque de churn).</w:t>
      </w:r>
    </w:p>
    <w:p>
      <w:pPr>
        <w:pStyle w:val="ListParagraph"/>
        <w:numPr>
          <w:ilvl w:val="0"/>
          <w:numId w:val="2"/>
        </w:numPr>
        <w:spacing w:after="60" w:line="276"/>
      </w:pPr>
      <w:r>
        <w:rPr>
          <w:sz w:val="21"/>
          <w:szCs w:val="21"/>
        </w:rPr>
        <w:t xml:space="preserve">Base de données clients unique multi-société et multi-marque, avec dédoublonnage automatique des fiches à la volée pour garantir une donnée client consolidée et fiable.</w:t>
      </w:r>
    </w:p>
    <w:p>
      <w:pPr>
        <w:pStyle w:val="Heading2"/>
        <w:spacing w:after="140" w:before="260"/>
      </w:pPr>
      <w:r>
        <w:rPr>
          <w:b/>
          <w:bCs/>
          <w:color w:val="2E5C8A"/>
          <w:sz w:val="24"/>
          <w:szCs w:val="24"/>
        </w:rPr>
        <w:t xml:space="preserve">4.2 Prise de rendez-vous atelier</w:t>
      </w:r>
    </w:p>
    <w:p>
      <w:pPr>
        <w:pStyle w:val="ListParagraph"/>
        <w:numPr>
          <w:ilvl w:val="0"/>
          <w:numId w:val="2"/>
        </w:numPr>
        <w:spacing w:after="60" w:line="276"/>
      </w:pPr>
      <w:r>
        <w:rPr>
          <w:sz w:val="21"/>
          <w:szCs w:val="21"/>
        </w:rPr>
        <w:t xml:space="preserve">Prise de RDV multicanal : portail web, application mobile, centre d'appel, agent en concession.</w:t>
      </w:r>
    </w:p>
    <w:p>
      <w:pPr>
        <w:pStyle w:val="ListParagraph"/>
        <w:numPr>
          <w:ilvl w:val="0"/>
          <w:numId w:val="2"/>
        </w:numPr>
        <w:spacing w:after="60" w:line="276"/>
      </w:pPr>
      <w:r>
        <w:rPr>
          <w:sz w:val="21"/>
          <w:szCs w:val="21"/>
        </w:rPr>
        <w:t xml:space="preserve">Parcours de prise de RDV guidé en plusieurs étapes : sélection du véhicule (marque/modèle ou immatriculation), sélection de l'option de service (diagnostic, entretien/révision, mécanique/électricité, climatisation &amp; confort, pneumatique, carrosserie/esthétique, contrôle technique, pièces de rechange), choix de l'atelier et du créneau.</w:t>
      </w:r>
    </w:p>
    <w:p>
      <w:pPr>
        <w:pStyle w:val="ListParagraph"/>
        <w:numPr>
          <w:ilvl w:val="0"/>
          <w:numId w:val="2"/>
        </w:numPr>
        <w:spacing w:after="60" w:line="276"/>
      </w:pPr>
      <w:r>
        <w:rPr>
          <w:sz w:val="21"/>
          <w:szCs w:val="21"/>
        </w:rPr>
        <w:t xml:space="preserve">Disponibilité calculée indépendamment pour chaque option de service : chaque type de prestation dispose de ses propres ressources (techniciens, box, équipements) et donc de son propre calendrier — le client ne voit que les dates et créneaux horaires réellement disponibles pour le service qu'il a sélectionné.</w:t>
      </w:r>
    </w:p>
    <w:p>
      <w:pPr>
        <w:pStyle w:val="ListParagraph"/>
        <w:numPr>
          <w:ilvl w:val="0"/>
          <w:numId w:val="2"/>
        </w:numPr>
        <w:spacing w:after="60" w:line="276"/>
      </w:pPr>
      <w:r>
        <w:rPr>
          <w:sz w:val="21"/>
          <w:szCs w:val="21"/>
        </w:rPr>
        <w:t xml:space="preserve">Vue de disponibilité claire côté client : calendrier avec les jours disponibles mis en évidence, puis liste des créneaux horaires libres pour la date choisie et le service demandé.</w:t>
      </w:r>
    </w:p>
    <w:p>
      <w:pPr>
        <w:pStyle w:val="ListParagraph"/>
        <w:numPr>
          <w:ilvl w:val="0"/>
          <w:numId w:val="2"/>
        </w:numPr>
        <w:spacing w:after="60" w:line="276"/>
      </w:pPr>
      <w:r>
        <w:rPr>
          <w:sz w:val="21"/>
          <w:szCs w:val="21"/>
        </w:rPr>
        <w:t xml:space="preserve">Visibilité métier par équipe : chaque service (diagnostic, mécanique, carrosserie, etc.) dispose d'une vue quotidienne consolidée des prestations attendues à la date choisie — liste des véhicules, clients et interventions prévues pour son périmètre.</w:t>
      </w:r>
    </w:p>
    <w:p>
      <w:pPr>
        <w:pStyle w:val="ListParagraph"/>
        <w:numPr>
          <w:ilvl w:val="0"/>
          <w:numId w:val="2"/>
        </w:numPr>
        <w:spacing w:after="60" w:line="276"/>
      </w:pPr>
      <w:r>
        <w:rPr>
          <w:sz w:val="21"/>
          <w:szCs w:val="21"/>
        </w:rPr>
        <w:t xml:space="preserve">Assistant intelligent (chatbot / IA) pour qualification du besoin et proposition de créneaux.</w:t>
      </w:r>
    </w:p>
    <w:p>
      <w:pPr>
        <w:pStyle w:val="ListParagraph"/>
        <w:numPr>
          <w:ilvl w:val="0"/>
          <w:numId w:val="2"/>
        </w:numPr>
        <w:spacing w:after="60" w:line="276"/>
      </w:pPr>
      <w:r>
        <w:rPr>
          <w:sz w:val="21"/>
          <w:szCs w:val="21"/>
        </w:rPr>
        <w:t xml:space="preserve">Vue calendrier temps réel des capacités atelier (box, techniciens disponibles, type d'intervention).</w:t>
      </w:r>
    </w:p>
    <w:p>
      <w:pPr>
        <w:pStyle w:val="ListParagraph"/>
        <w:numPr>
          <w:ilvl w:val="0"/>
          <w:numId w:val="2"/>
        </w:numPr>
        <w:spacing w:after="60" w:line="276"/>
      </w:pPr>
      <w:r>
        <w:rPr>
          <w:sz w:val="21"/>
          <w:szCs w:val="21"/>
        </w:rPr>
        <w:t xml:space="preserve">Confirmation et rappel automatique par SMS/e-mail avant le RDV.</w:t>
      </w:r>
    </w:p>
    <w:p>
      <w:pPr>
        <w:pStyle w:val="ListParagraph"/>
        <w:numPr>
          <w:ilvl w:val="0"/>
          <w:numId w:val="2"/>
        </w:numPr>
        <w:spacing w:after="60" w:line="276"/>
      </w:pPr>
      <w:r>
        <w:rPr>
          <w:sz w:val="21"/>
          <w:szCs w:val="21"/>
        </w:rPr>
        <w:t xml:space="preserve">Gestion des reports/annulations et liste d'attente.</w:t>
      </w:r>
    </w:p>
    <w:p>
      <w:pPr>
        <w:pStyle w:val="ListParagraph"/>
        <w:numPr>
          <w:ilvl w:val="0"/>
          <w:numId w:val="2"/>
        </w:numPr>
        <w:spacing w:after="60" w:line="276"/>
      </w:pPr>
      <w:r>
        <w:rPr>
          <w:sz w:val="21"/>
          <w:szCs w:val="21"/>
        </w:rPr>
        <w:t xml:space="preserve">Agendas multi-usages (RDV atelier, livraisons, rappels, essais/prêts de véhicule) synchronisés avec les calendriers Outlook / Google Calendar des conseillers et techniciens.</w:t>
      </w:r>
    </w:p>
    <w:p>
      <w:pPr>
        <w:pStyle w:val="Heading2"/>
        <w:spacing w:after="140" w:before="260"/>
      </w:pPr>
      <w:r>
        <w:rPr>
          <w:b/>
          <w:bCs/>
          <w:color w:val="2E5C8A"/>
          <w:sz w:val="24"/>
          <w:szCs w:val="24"/>
        </w:rPr>
        <w:t xml:space="preserve">4.2bis Diagnostic du véhicule</w:t>
      </w:r>
    </w:p>
    <w:p>
      <w:pPr>
        <w:pStyle w:val="ListParagraph"/>
        <w:numPr>
          <w:ilvl w:val="0"/>
          <w:numId w:val="2"/>
        </w:numPr>
        <w:spacing w:after="60" w:line="276"/>
      </w:pPr>
      <w:r>
        <w:rPr>
          <w:sz w:val="21"/>
          <w:szCs w:val="21"/>
        </w:rPr>
        <w:t xml:space="preserve">Le diagnostic est proposé comme une option de service à part entière, sélectionnable au même titre que l'entretien, la mécanique ou la carrosserie lors de la prise de RDV, avec ses propres créneaux et ressources dédiées (bancs de diagnostic, techniciens qualifiés).</w:t>
      </w:r>
    </w:p>
    <w:p>
      <w:pPr>
        <w:pStyle w:val="ListParagraph"/>
        <w:numPr>
          <w:ilvl w:val="0"/>
          <w:numId w:val="2"/>
        </w:numPr>
        <w:spacing w:after="60" w:line="276"/>
      </w:pPr>
      <w:r>
        <w:rPr>
          <w:sz w:val="21"/>
          <w:szCs w:val="21"/>
        </w:rPr>
        <w:t xml:space="preserve">Diagnostic électronique multi-points : moteur, freinage, direction, niveaux, pneumatiques, système électrique.</w:t>
      </w:r>
    </w:p>
    <w:p>
      <w:pPr>
        <w:pStyle w:val="ListParagraph"/>
        <w:numPr>
          <w:ilvl w:val="0"/>
          <w:numId w:val="2"/>
        </w:numPr>
        <w:spacing w:after="60" w:line="276"/>
      </w:pPr>
      <w:r>
        <w:rPr>
          <w:sz w:val="21"/>
          <w:szCs w:val="21"/>
        </w:rPr>
        <w:t xml:space="preserve">Génération d'un rapport de diagnostic détaillé (mesures, photos, anomalies constatées) transmis au client avant établissement du devis de réparation, pour une décision éclairée.</w:t>
      </w:r>
    </w:p>
    <w:p>
      <w:pPr>
        <w:pStyle w:val="ListParagraph"/>
        <w:numPr>
          <w:ilvl w:val="0"/>
          <w:numId w:val="2"/>
        </w:numPr>
        <w:spacing w:after="60" w:line="276"/>
      </w:pPr>
      <w:r>
        <w:rPr>
          <w:sz w:val="21"/>
          <w:szCs w:val="21"/>
        </w:rPr>
        <w:t xml:space="preserve">Cas d'usage diagnostic pré-achat / pré-vente d'un véhicule d'occasion, avec rapport dédié.</w:t>
      </w:r>
    </w:p>
    <w:p>
      <w:pPr>
        <w:pStyle w:val="ListParagraph"/>
        <w:numPr>
          <w:ilvl w:val="0"/>
          <w:numId w:val="2"/>
        </w:numPr>
        <w:spacing w:after="60" w:line="276"/>
      </w:pPr>
      <w:r>
        <w:rPr>
          <w:sz w:val="21"/>
          <w:szCs w:val="21"/>
        </w:rPr>
        <w:t xml:space="preserve">Passerelle directe du rapport de diagnostic vers la création d'un devis ou d'un ordre de réparation, sans ressaisie.</w:t>
      </w:r>
    </w:p>
    <w:p>
      <w:pPr>
        <w:pStyle w:val="ListParagraph"/>
        <w:numPr>
          <w:ilvl w:val="0"/>
          <w:numId w:val="2"/>
        </w:numPr>
        <w:spacing w:after="60" w:line="276"/>
      </w:pPr>
      <w:r>
        <w:rPr>
          <w:sz w:val="21"/>
          <w:szCs w:val="21"/>
        </w:rPr>
        <w:t xml:space="preserve">À l'issue du diagnostic, l'agent/technicien renseigne son rapport de constat et la liste des pièces de rechange à remplacer, puis transmet le dossier à l'équipe pricing pour chiffrage — sans ressaisie des informations déjà saisies.</w:t>
      </w:r>
    </w:p>
    <w:p>
      <w:pPr>
        <w:pStyle w:val="Heading2"/>
        <w:spacing w:after="140" w:before="260"/>
      </w:pPr>
      <w:r>
        <w:rPr>
          <w:b/>
          <w:bCs/>
          <w:color w:val="2E5C8A"/>
          <w:sz w:val="24"/>
          <w:szCs w:val="24"/>
        </w:rPr>
        <w:t xml:space="preserve">4.3 Ordres de réparation et devis</w:t>
      </w:r>
    </w:p>
    <w:p>
      <w:pPr>
        <w:pStyle w:val="ListParagraph"/>
        <w:numPr>
          <w:ilvl w:val="0"/>
          <w:numId w:val="2"/>
        </w:numPr>
        <w:spacing w:after="60" w:line="276"/>
      </w:pPr>
      <w:r>
        <w:rPr>
          <w:sz w:val="21"/>
          <w:szCs w:val="21"/>
        </w:rPr>
        <w:t xml:space="preserve">Qualification du motif de visite dès l'accueil (entretien périodique, diagnostic/panne, carrosserie) afin de déclencher le bon workflow et d'orienter le dossier vers l'équipe compétente.</w:t>
      </w:r>
    </w:p>
    <w:p>
      <w:pPr>
        <w:pStyle w:val="ListParagraph"/>
        <w:numPr>
          <w:ilvl w:val="0"/>
          <w:numId w:val="2"/>
        </w:numPr>
        <w:spacing w:after="60" w:line="276"/>
      </w:pPr>
      <w:r>
        <w:rPr>
          <w:sz w:val="21"/>
          <w:szCs w:val="21"/>
        </w:rPr>
        <w:t xml:space="preserve">Création de l'ordre de réparation (OR) à la réception du véhicule, avec état des lieux photo/vidéo.</w:t>
      </w:r>
    </w:p>
    <w:p>
      <w:pPr>
        <w:pStyle w:val="ListParagraph"/>
        <w:numPr>
          <w:ilvl w:val="0"/>
          <w:numId w:val="2"/>
        </w:numPr>
        <w:spacing w:after="60" w:line="276"/>
      </w:pPr>
      <w:r>
        <w:rPr>
          <w:sz w:val="21"/>
          <w:szCs w:val="21"/>
        </w:rPr>
        <w:t xml:space="preserve">Prise en main du dossier par l'équipe pricing/chiffrage dès réception du rapport de diagnostic : complète le devis de réparation (main d'œuvre, pièces identifiées, forfaits applicables) à partir des éléments transmis par le technicien, sans ressaisie.</w:t>
      </w:r>
    </w:p>
    <w:p>
      <w:pPr>
        <w:pStyle w:val="ListParagraph"/>
        <w:numPr>
          <w:ilvl w:val="0"/>
          <w:numId w:val="2"/>
        </w:numPr>
        <w:spacing w:after="60" w:line="276"/>
      </w:pPr>
      <w:r>
        <w:rPr>
          <w:sz w:val="21"/>
          <w:szCs w:val="21"/>
        </w:rPr>
        <w:t xml:space="preserve">Devis en ligne avec validation client à distance (signature électronique).</w:t>
      </w:r>
    </w:p>
    <w:p>
      <w:pPr>
        <w:pStyle w:val="ListParagraph"/>
        <w:numPr>
          <w:ilvl w:val="0"/>
          <w:numId w:val="2"/>
        </w:numPr>
        <w:spacing w:after="60" w:line="276"/>
      </w:pPr>
      <w:r>
        <w:rPr>
          <w:sz w:val="21"/>
          <w:szCs w:val="21"/>
        </w:rPr>
        <w:t xml:space="preserve">Publication automatique du devis finalisé dans le portail client dès validation par l'équipe pricing, avec notification immédiate au client de sa disponibilité.</w:t>
      </w:r>
    </w:p>
    <w:p>
      <w:pPr>
        <w:pStyle w:val="ListParagraph"/>
        <w:numPr>
          <w:ilvl w:val="0"/>
          <w:numId w:val="2"/>
        </w:numPr>
        <w:spacing w:after="60" w:line="276"/>
      </w:pPr>
      <w:r>
        <w:rPr>
          <w:sz w:val="21"/>
          <w:szCs w:val="21"/>
        </w:rPr>
        <w:t xml:space="preserve">Suggestions de vente additionnelle contextualisées à l'accueil ou au diagnostic (pneumatiques, balais d'essuie-glace, freinage) selon l'état du véhicule et le kilométrage.</w:t>
      </w:r>
    </w:p>
    <w:p>
      <w:pPr>
        <w:pStyle w:val="ListParagraph"/>
        <w:numPr>
          <w:ilvl w:val="0"/>
          <w:numId w:val="2"/>
        </w:numPr>
        <w:spacing w:after="60" w:line="276"/>
      </w:pPr>
      <w:r>
        <w:rPr>
          <w:sz w:val="21"/>
          <w:szCs w:val="21"/>
        </w:rPr>
        <w:t xml:space="preserve">Répartition automatique de l'OR vers le chef d'équipe compétent (mécanique générale, révision, carrosserie) avec visibilité de la charge par équipe.</w:t>
      </w:r>
    </w:p>
    <w:p>
      <w:pPr>
        <w:pStyle w:val="ListParagraph"/>
        <w:numPr>
          <w:ilvl w:val="0"/>
          <w:numId w:val="2"/>
        </w:numPr>
        <w:spacing w:after="60" w:line="276"/>
      </w:pPr>
      <w:r>
        <w:rPr>
          <w:sz w:val="21"/>
          <w:szCs w:val="21"/>
        </w:rPr>
        <w:t xml:space="preserve">Ajout d'opérations complémentaires en cours d'intervention avec accord client tracé.</w:t>
      </w:r>
    </w:p>
    <w:p>
      <w:pPr>
        <w:pStyle w:val="ListParagraph"/>
        <w:numPr>
          <w:ilvl w:val="0"/>
          <w:numId w:val="2"/>
        </w:numPr>
        <w:spacing w:after="60" w:line="276"/>
      </w:pPr>
      <w:r>
        <w:rPr>
          <w:sz w:val="21"/>
          <w:szCs w:val="21"/>
        </w:rPr>
        <w:t xml:space="preserve">Suivi d'avancement de l'OR visible par le client (statut en temps réel).</w:t>
      </w:r>
    </w:p>
    <w:p>
      <w:pPr>
        <w:pStyle w:val="ListParagraph"/>
        <w:numPr>
          <w:ilvl w:val="0"/>
          <w:numId w:val="2"/>
        </w:numPr>
        <w:spacing w:after="60" w:line="276"/>
      </w:pPr>
      <w:r>
        <w:rPr>
          <w:sz w:val="21"/>
          <w:szCs w:val="21"/>
        </w:rPr>
        <w:t xml:space="preserve">Prise de rendez-vous de restitution convenue avec le client dès l'accueil (créneau horaire dédié), avec ajustement possible en cas de dépassement de délai.</w:t>
      </w:r>
    </w:p>
    <w:p>
      <w:pPr>
        <w:pStyle w:val="ListParagraph"/>
        <w:numPr>
          <w:ilvl w:val="0"/>
          <w:numId w:val="2"/>
        </w:numPr>
        <w:spacing w:after="60" w:line="276"/>
      </w:pPr>
      <w:r>
        <w:rPr>
          <w:sz w:val="21"/>
          <w:szCs w:val="21"/>
        </w:rPr>
        <w:t xml:space="preserve">Clôture de l'OR et génération automatique de la facture.</w:t>
      </w:r>
    </w:p>
    <w:p>
      <w:pPr>
        <w:pStyle w:val="ListParagraph"/>
        <w:numPr>
          <w:ilvl w:val="0"/>
          <w:numId w:val="2"/>
        </w:numPr>
        <w:spacing w:after="60" w:line="276"/>
      </w:pPr>
      <w:r>
        <w:rPr>
          <w:sz w:val="21"/>
          <w:szCs w:val="21"/>
        </w:rPr>
        <w:t xml:space="preserve">Édition automatique de la liasse documentaire associée (devis, OR, bon de restitution, documents réglementaires) directement depuis la fiche client/véhicule, sans ressaisie.</w:t>
      </w:r>
    </w:p>
    <w:p>
      <w:pPr>
        <w:pStyle w:val="Heading2"/>
        <w:spacing w:after="140" w:before="260"/>
      </w:pPr>
      <w:r>
        <w:rPr>
          <w:b/>
          <w:bCs/>
          <w:color w:val="2E5C8A"/>
          <w:sz w:val="24"/>
          <w:szCs w:val="24"/>
        </w:rPr>
        <w:t xml:space="preserve">4.4 Gestion des pièces détachées et du stock</w:t>
      </w:r>
    </w:p>
    <w:p>
      <w:pPr>
        <w:pStyle w:val="ListParagraph"/>
        <w:numPr>
          <w:ilvl w:val="0"/>
          <w:numId w:val="2"/>
        </w:numPr>
        <w:spacing w:after="60" w:line="276"/>
      </w:pPr>
      <w:r>
        <w:rPr>
          <w:sz w:val="21"/>
          <w:szCs w:val="21"/>
        </w:rPr>
        <w:t xml:space="preserve">Réservation automatique des pièces nécessaires dès la création du devis/OR.</w:t>
      </w:r>
    </w:p>
    <w:p>
      <w:pPr>
        <w:pStyle w:val="ListParagraph"/>
        <w:numPr>
          <w:ilvl w:val="0"/>
          <w:numId w:val="2"/>
        </w:numPr>
        <w:spacing w:after="60" w:line="276"/>
      </w:pPr>
      <w:r>
        <w:rPr>
          <w:sz w:val="21"/>
          <w:szCs w:val="21"/>
        </w:rPr>
        <w:t xml:space="preserve">Suivi des niveaux de stock, seuils d'alerte et commandes fournisseurs/constructeur.</w:t>
      </w:r>
    </w:p>
    <w:p>
      <w:pPr>
        <w:pStyle w:val="ListParagraph"/>
        <w:numPr>
          <w:ilvl w:val="0"/>
          <w:numId w:val="2"/>
        </w:numPr>
        <w:spacing w:after="60" w:line="276"/>
      </w:pPr>
      <w:r>
        <w:rPr>
          <w:sz w:val="21"/>
          <w:szCs w:val="21"/>
        </w:rPr>
        <w:t xml:space="preserve">Traçabilité des pièces posées par véhicule (numéro de lot, garantie pièce).</w:t>
      </w:r>
    </w:p>
    <w:p>
      <w:pPr>
        <w:pStyle w:val="ListParagraph"/>
        <w:numPr>
          <w:ilvl w:val="0"/>
          <w:numId w:val="2"/>
        </w:numPr>
        <w:spacing w:after="60" w:line="276"/>
      </w:pPr>
      <w:r>
        <w:rPr>
          <w:sz w:val="21"/>
          <w:szCs w:val="21"/>
        </w:rPr>
        <w:t xml:space="preserve">Recherche et transfert inter-magasins/inter-ateliers d'une pièce indisponible localement, afin de minimiser le délai d'immobilisation du véhicule.</w:t>
      </w:r>
    </w:p>
    <w:p>
      <w:pPr>
        <w:pStyle w:val="ListParagraph"/>
        <w:numPr>
          <w:ilvl w:val="0"/>
          <w:numId w:val="2"/>
        </w:numPr>
        <w:spacing w:after="60" w:line="276"/>
      </w:pPr>
      <w:r>
        <w:rPr>
          <w:sz w:val="21"/>
          <w:szCs w:val="21"/>
        </w:rPr>
        <w:t xml:space="preserve">Contrôle qualité systématique enregistré dans l'OR à l'issue de chaque intervention (checklist de vérification avant restitution).</w:t>
      </w:r>
    </w:p>
    <w:p>
      <w:pPr>
        <w:pStyle w:val="Heading2"/>
        <w:spacing w:after="140" w:before="260"/>
      </w:pPr>
      <w:r>
        <w:rPr>
          <w:b/>
          <w:bCs/>
          <w:color w:val="2E5C8A"/>
          <w:sz w:val="24"/>
          <w:szCs w:val="24"/>
        </w:rPr>
        <w:t xml:space="preserve">4.5 Facturation et paiement</w:t>
      </w:r>
    </w:p>
    <w:p>
      <w:pPr>
        <w:pStyle w:val="ListParagraph"/>
        <w:numPr>
          <w:ilvl w:val="0"/>
          <w:numId w:val="2"/>
        </w:numPr>
        <w:spacing w:after="60" w:line="276"/>
      </w:pPr>
      <w:r>
        <w:rPr>
          <w:sz w:val="21"/>
          <w:szCs w:val="21"/>
        </w:rPr>
        <w:t xml:space="preserve">Génération automatique de facture à partir de l'OR clôturé.</w:t>
      </w:r>
    </w:p>
    <w:p>
      <w:pPr>
        <w:pStyle w:val="ListParagraph"/>
        <w:numPr>
          <w:ilvl w:val="0"/>
          <w:numId w:val="2"/>
        </w:numPr>
        <w:spacing w:after="60" w:line="276"/>
      </w:pPr>
      <w:r>
        <w:rPr>
          <w:sz w:val="21"/>
          <w:szCs w:val="21"/>
        </w:rPr>
        <w:t xml:space="preserve">Paiement en ligne (carte bancaire, paiement mobile) et paiement sur place.</w:t>
      </w:r>
    </w:p>
    <w:p>
      <w:pPr>
        <w:pStyle w:val="ListParagraph"/>
        <w:numPr>
          <w:ilvl w:val="0"/>
          <w:numId w:val="2"/>
        </w:numPr>
        <w:spacing w:after="60" w:line="276"/>
      </w:pPr>
      <w:r>
        <w:rPr>
          <w:sz w:val="21"/>
          <w:szCs w:val="21"/>
        </w:rPr>
        <w:t xml:space="preserve">Gestion des prises en charge assurance, garantie constructeur ou garantie extension.</w:t>
      </w:r>
    </w:p>
    <w:p>
      <w:pPr>
        <w:pStyle w:val="ListParagraph"/>
        <w:numPr>
          <w:ilvl w:val="0"/>
          <w:numId w:val="2"/>
        </w:numPr>
        <w:spacing w:after="60" w:line="276"/>
      </w:pPr>
      <w:r>
        <w:rPr>
          <w:sz w:val="21"/>
          <w:szCs w:val="21"/>
        </w:rPr>
        <w:t xml:space="preserve">Interfaçage avec le module comptable / ERP existant.</w:t>
      </w:r>
    </w:p>
    <w:p>
      <w:pPr>
        <w:pStyle w:val="Heading2"/>
        <w:spacing w:after="140" w:before="260"/>
      </w:pPr>
      <w:r>
        <w:rPr>
          <w:b/>
          <w:bCs/>
          <w:color w:val="2E5C8A"/>
          <w:sz w:val="24"/>
          <w:szCs w:val="24"/>
        </w:rPr>
        <w:t xml:space="preserve">4.6 Garanties, rappels constructeur et sécurité</w:t>
      </w:r>
    </w:p>
    <w:p>
      <w:pPr>
        <w:pStyle w:val="ListParagraph"/>
        <w:numPr>
          <w:ilvl w:val="0"/>
          <w:numId w:val="2"/>
        </w:numPr>
        <w:spacing w:after="60" w:line="276"/>
      </w:pPr>
      <w:r>
        <w:rPr>
          <w:sz w:val="21"/>
          <w:szCs w:val="21"/>
        </w:rPr>
        <w:t xml:space="preserve">Suivi des garanties véhicule et pièces (dates, kilométrage, conditions).</w:t>
      </w:r>
    </w:p>
    <w:p>
      <w:pPr>
        <w:pStyle w:val="ListParagraph"/>
        <w:numPr>
          <w:ilvl w:val="0"/>
          <w:numId w:val="2"/>
        </w:numPr>
        <w:spacing w:after="60" w:line="276"/>
      </w:pPr>
      <w:r>
        <w:rPr>
          <w:sz w:val="21"/>
          <w:szCs w:val="21"/>
        </w:rPr>
        <w:t xml:space="preserve">Gestion des campagnes de rappel constructeur (recalls) avec identification automatique des véhicules concernés.</w:t>
      </w:r>
    </w:p>
    <w:p>
      <w:pPr>
        <w:pStyle w:val="ListParagraph"/>
        <w:numPr>
          <w:ilvl w:val="0"/>
          <w:numId w:val="2"/>
        </w:numPr>
        <w:spacing w:after="60" w:line="276"/>
      </w:pPr>
      <w:r>
        <w:rPr>
          <w:sz w:val="21"/>
          <w:szCs w:val="21"/>
        </w:rPr>
        <w:t xml:space="preserve">Notification proactive des clients concernés par un rappel sécurité.</w:t>
      </w:r>
    </w:p>
    <w:p>
      <w:pPr>
        <w:pStyle w:val="Heading2"/>
        <w:spacing w:after="140" w:before="260"/>
      </w:pPr>
      <w:r>
        <w:rPr>
          <w:b/>
          <w:bCs/>
          <w:color w:val="2E5C8A"/>
          <w:sz w:val="24"/>
          <w:szCs w:val="24"/>
        </w:rPr>
        <w:t xml:space="preserve">4.6bis Gestion carrosserie et dossiers sinistres</w:t>
      </w:r>
    </w:p>
    <w:p>
      <w:pPr>
        <w:pStyle w:val="ListParagraph"/>
        <w:numPr>
          <w:ilvl w:val="0"/>
          <w:numId w:val="2"/>
        </w:numPr>
        <w:spacing w:after="60" w:line="276"/>
      </w:pPr>
      <w:r>
        <w:rPr>
          <w:sz w:val="21"/>
          <w:szCs w:val="21"/>
        </w:rPr>
        <w:t xml:space="preserve">Circuit dédié pour les dossiers carrosserie, distinct du parcours mécanique/révision (délais, ressources et pièces spécifiques peinture/tôlerie).</w:t>
      </w:r>
    </w:p>
    <w:p>
      <w:pPr>
        <w:pStyle w:val="ListParagraph"/>
        <w:numPr>
          <w:ilvl w:val="0"/>
          <w:numId w:val="2"/>
        </w:numPr>
        <w:spacing w:after="60" w:line="276"/>
      </w:pPr>
      <w:r>
        <w:rPr>
          <w:sz w:val="21"/>
          <w:szCs w:val="21"/>
        </w:rPr>
        <w:t xml:space="preserve">Rattachement du dossier à un sinistre et une compagnie d'assurance, avec suivi de l'expertise (statut, date de passage de l'expert, accord de prise en charge).</w:t>
      </w:r>
    </w:p>
    <w:p>
      <w:pPr>
        <w:pStyle w:val="ListParagraph"/>
        <w:numPr>
          <w:ilvl w:val="0"/>
          <w:numId w:val="2"/>
        </w:numPr>
        <w:spacing w:after="60" w:line="276"/>
      </w:pPr>
      <w:r>
        <w:rPr>
          <w:sz w:val="21"/>
          <w:szCs w:val="21"/>
        </w:rPr>
        <w:t xml:space="preserve">Suivi des délais spécifiques carrosserie (commande de pièces, immobilisation prolongée) avec communication proactive au client.</w:t>
      </w:r>
    </w:p>
    <w:p>
      <w:pPr>
        <w:pStyle w:val="ListParagraph"/>
        <w:numPr>
          <w:ilvl w:val="0"/>
          <w:numId w:val="2"/>
        </w:numPr>
        <w:spacing w:after="60" w:line="276"/>
      </w:pPr>
      <w:r>
        <w:rPr>
          <w:sz w:val="21"/>
          <w:szCs w:val="21"/>
        </w:rPr>
        <w:t xml:space="preserve">Génération des documents liés au sinistre (ordre de réparation carrosserie, facture avec répartition assurance/client).</w:t>
      </w:r>
    </w:p>
    <w:p>
      <w:pPr>
        <w:pStyle w:val="Heading2"/>
        <w:spacing w:after="140" w:before="260"/>
      </w:pPr>
      <w:r>
        <w:rPr>
          <w:b/>
          <w:bCs/>
          <w:color w:val="2E5C8A"/>
          <w:sz w:val="24"/>
          <w:szCs w:val="24"/>
        </w:rPr>
        <w:t xml:space="preserve">4.7 Satisfaction client et fidélisation</w:t>
      </w:r>
    </w:p>
    <w:p>
      <w:pPr>
        <w:pStyle w:val="ListParagraph"/>
        <w:numPr>
          <w:ilvl w:val="0"/>
          <w:numId w:val="2"/>
        </w:numPr>
        <w:spacing w:after="60" w:line="276"/>
      </w:pPr>
      <w:r>
        <w:rPr>
          <w:sz w:val="21"/>
          <w:szCs w:val="21"/>
        </w:rPr>
        <w:t xml:space="preserve">Enquête de satisfaction automatique post-intervention (NPS / CSAT).</w:t>
      </w:r>
    </w:p>
    <w:p>
      <w:pPr>
        <w:pStyle w:val="ListParagraph"/>
        <w:numPr>
          <w:ilvl w:val="0"/>
          <w:numId w:val="2"/>
        </w:numPr>
        <w:spacing w:after="60" w:line="276"/>
      </w:pPr>
      <w:r>
        <w:rPr>
          <w:sz w:val="21"/>
          <w:szCs w:val="21"/>
        </w:rPr>
        <w:t xml:space="preserve">Alerte en cas de score faible pour action corrective immédiate (SAV de récupération).</w:t>
      </w:r>
    </w:p>
    <w:p>
      <w:pPr>
        <w:pStyle w:val="ListParagraph"/>
        <w:numPr>
          <w:ilvl w:val="0"/>
          <w:numId w:val="2"/>
        </w:numPr>
        <w:spacing w:after="60" w:line="276"/>
      </w:pPr>
      <w:r>
        <w:rPr>
          <w:sz w:val="21"/>
          <w:szCs w:val="21"/>
        </w:rPr>
        <w:t xml:space="preserve">Programme de fidélité (points, avantages, offres ciblées entretien).</w:t>
      </w:r>
    </w:p>
    <w:p>
      <w:pPr>
        <w:pStyle w:val="ListParagraph"/>
        <w:numPr>
          <w:ilvl w:val="0"/>
          <w:numId w:val="2"/>
        </w:numPr>
        <w:spacing w:after="60" w:line="276"/>
      </w:pPr>
      <w:r>
        <w:rPr>
          <w:sz w:val="21"/>
          <w:szCs w:val="21"/>
        </w:rPr>
        <w:t xml:space="preserve">Déclenchement automatique du plan de fidélisation dès la restitution du véhicule (jalon de livraison), avec planification des SMS/e-mails de suivi sans intervention manuelle.</w:t>
      </w:r>
    </w:p>
    <w:p>
      <w:pPr>
        <w:pStyle w:val="ListParagraph"/>
        <w:numPr>
          <w:ilvl w:val="0"/>
          <w:numId w:val="2"/>
        </w:numPr>
        <w:spacing w:after="60" w:line="276"/>
      </w:pPr>
      <w:r>
        <w:rPr>
          <w:sz w:val="21"/>
          <w:szCs w:val="21"/>
        </w:rPr>
        <w:t xml:space="preserve">Collecte et publication d'avis clients vérifiés sur la fiche de chaque atelier/concession, pour renforcer la confiance et la réputation en ligne.</w:t>
      </w:r>
    </w:p>
    <w:p>
      <w:pPr>
        <w:pStyle w:val="Heading2"/>
        <w:spacing w:after="140" w:before="260"/>
      </w:pPr>
      <w:r>
        <w:rPr>
          <w:b/>
          <w:bCs/>
          <w:color w:val="2E5C8A"/>
          <w:sz w:val="24"/>
          <w:szCs w:val="24"/>
        </w:rPr>
        <w:t xml:space="preserve">4.8 Marketing automation et relances</w:t>
      </w:r>
    </w:p>
    <w:p>
      <w:pPr>
        <w:pStyle w:val="ListParagraph"/>
        <w:numPr>
          <w:ilvl w:val="0"/>
          <w:numId w:val="2"/>
        </w:numPr>
        <w:spacing w:after="60" w:line="276"/>
      </w:pPr>
      <w:r>
        <w:rPr>
          <w:sz w:val="21"/>
          <w:szCs w:val="21"/>
        </w:rPr>
        <w:t xml:space="preserve">Relances automatiques : entretien périodique/kilométrique, contrôle technique, fin de garantie, révision saisonnière (pneus hiver/été).</w:t>
      </w:r>
    </w:p>
    <w:p>
      <w:pPr>
        <w:pStyle w:val="ListParagraph"/>
        <w:numPr>
          <w:ilvl w:val="0"/>
          <w:numId w:val="2"/>
        </w:numPr>
        <w:spacing w:after="60" w:line="276"/>
      </w:pPr>
      <w:r>
        <w:rPr>
          <w:sz w:val="21"/>
          <w:szCs w:val="21"/>
        </w:rPr>
        <w:t xml:space="preserve">Campagnes ciblées par segment client (SMS, e-mail, WhatsApp Business).</w:t>
      </w:r>
    </w:p>
    <w:p>
      <w:pPr>
        <w:pStyle w:val="ListParagraph"/>
        <w:numPr>
          <w:ilvl w:val="0"/>
          <w:numId w:val="2"/>
        </w:numPr>
        <w:spacing w:after="60" w:line="276"/>
      </w:pPr>
      <w:r>
        <w:rPr>
          <w:sz w:val="21"/>
          <w:szCs w:val="21"/>
        </w:rPr>
        <w:t xml:space="preserve">Mesure du taux de conversion des campagnes en RDV atelier.</w:t>
      </w:r>
    </w:p>
    <w:p>
      <w:pPr>
        <w:pStyle w:val="Heading2"/>
        <w:spacing w:after="140" w:before="260"/>
      </w:pPr>
      <w:r>
        <w:rPr>
          <w:b/>
          <w:bCs/>
          <w:color w:val="2E5C8A"/>
          <w:sz w:val="24"/>
          <w:szCs w:val="24"/>
        </w:rPr>
        <w:t xml:space="preserve">4.9 Gestion des réclamations</w:t>
      </w:r>
    </w:p>
    <w:p>
      <w:pPr>
        <w:pStyle w:val="ListParagraph"/>
        <w:numPr>
          <w:ilvl w:val="0"/>
          <w:numId w:val="2"/>
        </w:numPr>
        <w:spacing w:after="60" w:line="276"/>
      </w:pPr>
      <w:r>
        <w:rPr>
          <w:sz w:val="21"/>
          <w:szCs w:val="21"/>
        </w:rPr>
        <w:t xml:space="preserve">Création et suivi de tickets de réclamation, avec SLA de traitement.</w:t>
      </w:r>
    </w:p>
    <w:p>
      <w:pPr>
        <w:pStyle w:val="ListParagraph"/>
        <w:numPr>
          <w:ilvl w:val="0"/>
          <w:numId w:val="2"/>
        </w:numPr>
        <w:spacing w:after="60" w:line="276"/>
      </w:pPr>
      <w:r>
        <w:rPr>
          <w:sz w:val="21"/>
          <w:szCs w:val="21"/>
        </w:rPr>
        <w:t xml:space="preserve">Historique des échanges centralisé (téléphone, e-mail, réseaux sociaux, portail).</w:t>
      </w:r>
    </w:p>
    <w:p>
      <w:pPr>
        <w:pStyle w:val="ListParagraph"/>
        <w:numPr>
          <w:ilvl w:val="0"/>
          <w:numId w:val="2"/>
        </w:numPr>
        <w:spacing w:after="60" w:line="276"/>
      </w:pPr>
      <w:r>
        <w:rPr>
          <w:sz w:val="21"/>
          <w:szCs w:val="21"/>
        </w:rPr>
        <w:t xml:space="preserve">Tableau de bord des réclamations par site, par motif, par technicien.</w:t>
      </w:r>
    </w:p>
    <w:p>
      <w:pPr>
        <w:pStyle w:val="Heading2"/>
        <w:spacing w:after="140" w:before="260"/>
      </w:pPr>
      <w:r>
        <w:rPr>
          <w:b/>
          <w:bCs/>
          <w:color w:val="2E5C8A"/>
          <w:sz w:val="24"/>
          <w:szCs w:val="24"/>
        </w:rPr>
        <w:t xml:space="preserve">4.10 Portail client et application mobile</w:t>
      </w:r>
    </w:p>
    <w:p>
      <w:pPr>
        <w:pStyle w:val="ListParagraph"/>
        <w:numPr>
          <w:ilvl w:val="0"/>
          <w:numId w:val="2"/>
        </w:numPr>
        <w:spacing w:after="60" w:line="276"/>
      </w:pPr>
      <w:r>
        <w:rPr>
          <w:sz w:val="21"/>
          <w:szCs w:val="21"/>
        </w:rPr>
        <w:t xml:space="preserve">Espace client web/mobile : historique véhicule, factures, devis, prise de RDV, messagerie.</w:t>
      </w:r>
    </w:p>
    <w:p>
      <w:pPr>
        <w:pStyle w:val="ListParagraph"/>
        <w:numPr>
          <w:ilvl w:val="0"/>
          <w:numId w:val="2"/>
        </w:numPr>
        <w:spacing w:after="60" w:line="276"/>
      </w:pPr>
      <w:r>
        <w:rPr>
          <w:sz w:val="21"/>
          <w:szCs w:val="21"/>
        </w:rPr>
        <w:t xml:space="preserve">Notification en temps réel de l'avancement de la réparation.</w:t>
      </w:r>
    </w:p>
    <w:p>
      <w:pPr>
        <w:pStyle w:val="ListParagraph"/>
        <w:numPr>
          <w:ilvl w:val="0"/>
          <w:numId w:val="2"/>
        </w:numPr>
        <w:spacing w:after="60" w:line="276"/>
      </w:pPr>
      <w:r>
        <w:rPr>
          <w:sz w:val="21"/>
          <w:szCs w:val="21"/>
        </w:rPr>
        <w:t xml:space="preserve">Option de véhicule de courtoisie / navette avec réservation en ligne.</w:t>
      </w:r>
    </w:p>
    <w:p>
      <w:pPr>
        <w:pStyle w:val="ListParagraph"/>
        <w:numPr>
          <w:ilvl w:val="0"/>
          <w:numId w:val="2"/>
        </w:numPr>
        <w:spacing w:after="60" w:line="276"/>
      </w:pPr>
      <w:r>
        <w:rPr>
          <w:sz w:val="21"/>
          <w:szCs w:val="21"/>
        </w:rPr>
        <w:t xml:space="preserve">Coffre-fort documentaire numérique du véhicule : stockage et consultation des documents (attestation d'assurance, vignette, carte grise, PV de contrôle technique), avec rappels personnalisés avant expiration.</w:t>
      </w:r>
    </w:p>
    <w:p>
      <w:pPr>
        <w:pStyle w:val="Heading2"/>
        <w:spacing w:after="140" w:before="260"/>
      </w:pPr>
      <w:r>
        <w:rPr>
          <w:b/>
          <w:bCs/>
          <w:color w:val="2E5C8A"/>
          <w:sz w:val="24"/>
          <w:szCs w:val="24"/>
        </w:rPr>
        <w:t xml:space="preserve">4.11 Application technicien / atelier</w:t>
      </w:r>
    </w:p>
    <w:p>
      <w:pPr>
        <w:pStyle w:val="ListParagraph"/>
        <w:numPr>
          <w:ilvl w:val="0"/>
          <w:numId w:val="2"/>
        </w:numPr>
        <w:spacing w:after="60" w:line="276"/>
      </w:pPr>
      <w:r>
        <w:rPr>
          <w:sz w:val="21"/>
          <w:szCs w:val="21"/>
        </w:rPr>
        <w:t xml:space="preserve">Application mobile/tablette pour consultation des OR affectés, checklist d'intervention.</w:t>
      </w:r>
    </w:p>
    <w:p>
      <w:pPr>
        <w:pStyle w:val="ListParagraph"/>
        <w:numPr>
          <w:ilvl w:val="0"/>
          <w:numId w:val="2"/>
        </w:numPr>
        <w:spacing w:after="60" w:line="276"/>
      </w:pPr>
      <w:r>
        <w:rPr>
          <w:sz w:val="21"/>
          <w:szCs w:val="21"/>
        </w:rPr>
        <w:t xml:space="preserve">Saisie du temps passé, des pièces utilisées et des observations techniques.</w:t>
      </w:r>
    </w:p>
    <w:p>
      <w:pPr>
        <w:pStyle w:val="ListParagraph"/>
        <w:numPr>
          <w:ilvl w:val="0"/>
          <w:numId w:val="2"/>
        </w:numPr>
        <w:spacing w:after="60" w:line="276"/>
      </w:pPr>
      <w:r>
        <w:rPr>
          <w:sz w:val="21"/>
          <w:szCs w:val="21"/>
        </w:rPr>
        <w:t xml:space="preserve">Remontée photo/vidéo des anomalies constatées pour validation client à distance.</w:t>
      </w:r>
    </w:p>
    <w:p>
      <w:pPr>
        <w:pStyle w:val="Heading2"/>
        <w:spacing w:after="140" w:before="260"/>
      </w:pPr>
      <w:r>
        <w:rPr>
          <w:b/>
          <w:bCs/>
          <w:color w:val="2E5C8A"/>
          <w:sz w:val="24"/>
          <w:szCs w:val="24"/>
        </w:rPr>
        <w:t xml:space="preserve">4.12 Reporting et pilotage</w:t>
      </w:r>
    </w:p>
    <w:p>
      <w:pPr>
        <w:pStyle w:val="ListParagraph"/>
        <w:numPr>
          <w:ilvl w:val="0"/>
          <w:numId w:val="2"/>
        </w:numPr>
        <w:spacing w:after="60" w:line="276"/>
      </w:pPr>
      <w:r>
        <w:rPr>
          <w:sz w:val="21"/>
          <w:szCs w:val="21"/>
        </w:rPr>
        <w:t xml:space="preserve">Tableaux de bord temps réel : CA SAV, taux d'absorption, taux de rétention, panier moyen.</w:t>
      </w:r>
    </w:p>
    <w:p>
      <w:pPr>
        <w:pStyle w:val="ListParagraph"/>
        <w:numPr>
          <w:ilvl w:val="0"/>
          <w:numId w:val="2"/>
        </w:numPr>
        <w:spacing w:after="60" w:line="276"/>
      </w:pPr>
      <w:r>
        <w:rPr>
          <w:sz w:val="21"/>
          <w:szCs w:val="21"/>
        </w:rPr>
        <w:t xml:space="preserve">Comparatif de performance entre sites et entre marques.</w:t>
      </w:r>
    </w:p>
    <w:p>
      <w:pPr>
        <w:pStyle w:val="ListParagraph"/>
        <w:numPr>
          <w:ilvl w:val="0"/>
          <w:numId w:val="2"/>
        </w:numPr>
        <w:spacing w:after="60" w:line="276"/>
      </w:pPr>
      <w:r>
        <w:rPr>
          <w:sz w:val="21"/>
          <w:szCs w:val="21"/>
        </w:rPr>
        <w:t xml:space="preserve">Export des données et rapports programmés (quotidien, hebdomadaire, mensuel).</w:t>
      </w:r>
    </w:p>
    <w:p>
      <w:pPr>
        <w:pStyle w:val="Heading2"/>
        <w:spacing w:after="140" w:before="260"/>
      </w:pPr>
      <w:r>
        <w:rPr>
          <w:b/>
          <w:bCs/>
          <w:color w:val="2E5C8A"/>
          <w:sz w:val="24"/>
          <w:szCs w:val="24"/>
        </w:rPr>
        <w:t xml:space="preserve">4.13 Multi-site, multi-marque, multi-langue</w:t>
      </w:r>
    </w:p>
    <w:p>
      <w:pPr>
        <w:pStyle w:val="ListParagraph"/>
        <w:numPr>
          <w:ilvl w:val="0"/>
          <w:numId w:val="2"/>
        </w:numPr>
        <w:spacing w:after="60" w:line="276"/>
      </w:pPr>
      <w:r>
        <w:rPr>
          <w:sz w:val="21"/>
          <w:szCs w:val="21"/>
        </w:rPr>
        <w:t xml:space="preserve">Gestion de plusieurs concessions/sites avec droits d'accès différenciés.</w:t>
      </w:r>
    </w:p>
    <w:p>
      <w:pPr>
        <w:pStyle w:val="ListParagraph"/>
        <w:numPr>
          <w:ilvl w:val="0"/>
          <w:numId w:val="2"/>
        </w:numPr>
        <w:spacing w:after="60" w:line="276"/>
      </w:pPr>
      <w:r>
        <w:rPr>
          <w:sz w:val="21"/>
          <w:szCs w:val="21"/>
        </w:rPr>
        <w:t xml:space="preserve">Support multi-marques (paramétrage par constructeur : gammes, garanties, plans d'entretien).</w:t>
      </w:r>
    </w:p>
    <w:p>
      <w:pPr>
        <w:pStyle w:val="ListParagraph"/>
        <w:numPr>
          <w:ilvl w:val="0"/>
          <w:numId w:val="2"/>
        </w:numPr>
        <w:spacing w:after="60" w:line="276"/>
      </w:pPr>
      <w:r>
        <w:rPr>
          <w:sz w:val="21"/>
          <w:szCs w:val="21"/>
        </w:rPr>
        <w:t xml:space="preserve">Interface disponible en français et arabe a minima (anglais en option).</w:t>
      </w:r>
    </w:p>
    <w:p>
      <w:pPr>
        <w:pStyle w:val="Heading2"/>
        <w:spacing w:after="140" w:before="260"/>
      </w:pPr>
      <w:r>
        <w:rPr>
          <w:b/>
          <w:bCs/>
          <w:color w:val="2E5C8A"/>
          <w:sz w:val="24"/>
          <w:szCs w:val="24"/>
        </w:rPr>
        <w:t xml:space="preserve">4.14 Localisateur d'ateliers</w:t>
      </w:r>
    </w:p>
    <w:p>
      <w:pPr>
        <w:pStyle w:val="ListParagraph"/>
        <w:numPr>
          <w:ilvl w:val="0"/>
          <w:numId w:val="2"/>
        </w:numPr>
        <w:spacing w:after="60" w:line="276"/>
      </w:pPr>
      <w:r>
        <w:rPr>
          <w:sz w:val="21"/>
          <w:szCs w:val="21"/>
        </w:rPr>
        <w:t xml:space="preserve">Cartographie des ateliers/points de service avec recherche par ville et par type de prestation (carrosserie, mécanique, pièces de rechange).</w:t>
      </w:r>
    </w:p>
    <w:p>
      <w:pPr>
        <w:pStyle w:val="ListParagraph"/>
        <w:numPr>
          <w:ilvl w:val="0"/>
          <w:numId w:val="2"/>
        </w:numPr>
        <w:spacing w:after="60" w:line="276"/>
      </w:pPr>
      <w:r>
        <w:rPr>
          <w:sz w:val="21"/>
          <w:szCs w:val="21"/>
        </w:rPr>
        <w:t xml:space="preserve">Fiche atelier détaillée : adresse, horaires, services disponibles, certification, itinéraire.</w:t>
      </w:r>
    </w:p>
    <w:p>
      <w:pPr>
        <w:pStyle w:val="ListParagraph"/>
        <w:numPr>
          <w:ilvl w:val="0"/>
          <w:numId w:val="2"/>
        </w:numPr>
        <w:spacing w:after="60" w:line="276"/>
      </w:pPr>
      <w:r>
        <w:rPr>
          <w:sz w:val="21"/>
          <w:szCs w:val="21"/>
        </w:rPr>
        <w:t xml:space="preserve">Mise en avant de l'atelier le plus proche du client selon sa géolocalisation.</w:t>
      </w:r>
    </w:p>
    <w:p>
      <w:pPr>
        <w:pStyle w:val="Heading2"/>
        <w:spacing w:after="140" w:before="260"/>
      </w:pPr>
      <w:r>
        <w:rPr>
          <w:b/>
          <w:bCs/>
          <w:color w:val="2E5C8A"/>
          <w:sz w:val="24"/>
          <w:szCs w:val="24"/>
        </w:rPr>
        <w:t xml:space="preserve">4.15 Financement et forfaits SAV</w:t>
      </w:r>
    </w:p>
    <w:p>
      <w:pPr>
        <w:pStyle w:val="ListParagraph"/>
        <w:numPr>
          <w:ilvl w:val="0"/>
          <w:numId w:val="2"/>
        </w:numPr>
        <w:spacing w:after="60" w:line="276"/>
      </w:pPr>
      <w:r>
        <w:rPr>
          <w:sz w:val="21"/>
          <w:szCs w:val="21"/>
        </w:rPr>
        <w:t xml:space="preserve">Module de crédit SAV : simulation de financement en ligne (mensualités, durée, taux) pour les réparations, avec validation en ligne ou en agence.</w:t>
      </w:r>
    </w:p>
    <w:p>
      <w:pPr>
        <w:pStyle w:val="ListParagraph"/>
        <w:numPr>
          <w:ilvl w:val="0"/>
          <w:numId w:val="2"/>
        </w:numPr>
        <w:spacing w:after="60" w:line="276"/>
      </w:pPr>
      <w:r>
        <w:rPr>
          <w:sz w:val="21"/>
          <w:szCs w:val="21"/>
        </w:rPr>
        <w:t xml:space="preserve">Catalogue de forfaits d'entretien packagés à prix fixe, segmentés par âge et profil du véhicule (type "Best-Cost").</w:t>
      </w:r>
    </w:p>
    <w:p>
      <w:pPr>
        <w:pStyle w:val="ListParagraph"/>
        <w:numPr>
          <w:ilvl w:val="0"/>
          <w:numId w:val="2"/>
        </w:numPr>
        <w:spacing w:after="60" w:line="276"/>
      </w:pPr>
      <w:r>
        <w:rPr>
          <w:sz w:val="21"/>
          <w:szCs w:val="21"/>
        </w:rPr>
        <w:t xml:space="preserve">Forfaits carrosserie/lustrage à prix fixe pour les prestations standardisées.</w:t>
      </w:r>
    </w:p>
    <w:p>
      <w:pPr>
        <w:pStyle w:val="ListParagraph"/>
        <w:numPr>
          <w:ilvl w:val="0"/>
          <w:numId w:val="2"/>
        </w:numPr>
        <w:spacing w:after="60" w:line="276"/>
      </w:pPr>
      <w:r>
        <w:rPr>
          <w:sz w:val="21"/>
          <w:szCs w:val="21"/>
        </w:rPr>
        <w:t xml:space="preserve">Affichage transparent des tarifs forfaitaires dès la prise de RDV ou le devis en ligne.</w:t>
      </w:r>
    </w:p>
    <w:p>
      <w:pPr>
        <w:pStyle w:val="Heading2"/>
        <w:spacing w:after="140" w:before="260"/>
      </w:pPr>
      <w:r>
        <w:rPr>
          <w:b/>
          <w:bCs/>
          <w:color w:val="2E5C8A"/>
          <w:sz w:val="24"/>
          <w:szCs w:val="24"/>
        </w:rPr>
        <w:t xml:space="preserve">4.16 Intégrations avec les systèmes existants</w:t>
      </w:r>
    </w:p>
    <w:p>
      <w:pPr>
        <w:pStyle w:val="ListParagraph"/>
        <w:numPr>
          <w:ilvl w:val="0"/>
          <w:numId w:val="2"/>
        </w:numPr>
        <w:spacing w:after="60" w:line="276"/>
      </w:pPr>
      <w:r>
        <w:rPr>
          <w:sz w:val="21"/>
          <w:szCs w:val="21"/>
        </w:rPr>
        <w:t xml:space="preserve">DMS constructeur : interface bidirectionnelle en temps réel (pas seulement import/export) — les OR et bons de commande générés dans le CRM sont transmis automatiquement au DMS pour facturation, et les données véhicules/pièces en sens inverse.</w:t>
      </w:r>
    </w:p>
    <w:p>
      <w:pPr>
        <w:pStyle w:val="ListParagraph"/>
        <w:numPr>
          <w:ilvl w:val="0"/>
          <w:numId w:val="2"/>
        </w:numPr>
        <w:spacing w:after="60" w:line="276"/>
      </w:pPr>
      <w:r>
        <w:rPr>
          <w:sz w:val="21"/>
          <w:szCs w:val="21"/>
        </w:rPr>
        <w:t xml:space="preserve">ERP / comptabilité (facturation, stocks).</w:t>
      </w:r>
    </w:p>
    <w:p>
      <w:pPr>
        <w:pStyle w:val="ListParagraph"/>
        <w:numPr>
          <w:ilvl w:val="0"/>
          <w:numId w:val="2"/>
        </w:numPr>
        <w:spacing w:after="60" w:line="276"/>
      </w:pPr>
      <w:r>
        <w:rPr>
          <w:sz w:val="21"/>
          <w:szCs w:val="21"/>
        </w:rPr>
        <w:t xml:space="preserve">Passerelles SMS / e-mail / WhatsApp Business.</w:t>
      </w:r>
    </w:p>
    <w:p>
      <w:pPr>
        <w:pStyle w:val="ListParagraph"/>
        <w:numPr>
          <w:ilvl w:val="0"/>
          <w:numId w:val="2"/>
        </w:numPr>
        <w:spacing w:after="60" w:line="276"/>
      </w:pPr>
      <w:r>
        <w:rPr>
          <w:sz w:val="21"/>
          <w:szCs w:val="21"/>
        </w:rPr>
        <w:t xml:space="preserve">Solution de paiement en ligne (agrégateur local marocain ou international).</w:t>
      </w:r>
    </w:p>
    <w:p>
      <w:pPr>
        <w:pStyle w:val="ListParagraph"/>
        <w:numPr>
          <w:ilvl w:val="0"/>
          <w:numId w:val="2"/>
        </w:numPr>
        <w:spacing w:after="60" w:line="276"/>
      </w:pPr>
      <w:r>
        <w:rPr>
          <w:sz w:val="21"/>
          <w:szCs w:val="21"/>
        </w:rPr>
        <w:t xml:space="preserve">Signature électronique pour devis et documents contractuels.</w:t>
      </w:r>
    </w:p>
    <w:p>
      <w:pPr>
        <w:pStyle w:val="ListParagraph"/>
        <w:numPr>
          <w:ilvl w:val="0"/>
          <w:numId w:val="2"/>
        </w:numPr>
        <w:spacing w:after="60" w:line="276"/>
      </w:pPr>
      <w:r>
        <w:rPr>
          <w:sz w:val="21"/>
          <w:szCs w:val="21"/>
        </w:rPr>
        <w:t xml:space="preserve">Synchronisation calendrier (Outlook / Google Calendar) pour les agendas des conseillers et techniciens.</w:t>
      </w:r>
    </w:p>
    <w:p>
      <w:r>
        <w:br w:type="page"/>
      </w:r>
    </w:p>
    <w:p>
      <w:pPr>
        <w:pStyle w:val="Heading1"/>
        <w:pBdr>
          <w:bottom w:val="single" w:color="1F3864" w:sz="6" w:space="4"/>
        </w:pBdr>
        <w:spacing w:after="200" w:before="400"/>
      </w:pPr>
      <w:r>
        <w:rPr>
          <w:b/>
          <w:bCs/>
          <w:color w:val="1F3864"/>
          <w:sz w:val="30"/>
          <w:szCs w:val="30"/>
        </w:rPr>
        <w:t xml:space="preserve">5. Exigences non fonctionnelles</w:t>
      </w:r>
    </w:p>
    <w:p>
      <w:pPr>
        <w:pStyle w:val="Heading2"/>
        <w:spacing w:after="140" w:before="260"/>
      </w:pPr>
      <w:r>
        <w:rPr>
          <w:b/>
          <w:bCs/>
          <w:color w:val="2E5C8A"/>
          <w:sz w:val="24"/>
          <w:szCs w:val="24"/>
        </w:rPr>
        <w:t xml:space="preserve">5.1 Performance et disponibilité</w:t>
      </w:r>
    </w:p>
    <w:p>
      <w:pPr>
        <w:pStyle w:val="ListParagraph"/>
        <w:numPr>
          <w:ilvl w:val="0"/>
          <w:numId w:val="2"/>
        </w:numPr>
        <w:spacing w:after="60" w:line="276"/>
      </w:pPr>
      <w:r>
        <w:rPr>
          <w:sz w:val="21"/>
          <w:szCs w:val="21"/>
        </w:rPr>
        <w:t xml:space="preserve">Disponibilité cible de la solution : 99,5 % minimum (hors maintenance planifiée).</w:t>
      </w:r>
    </w:p>
    <w:p>
      <w:pPr>
        <w:pStyle w:val="ListParagraph"/>
        <w:numPr>
          <w:ilvl w:val="0"/>
          <w:numId w:val="2"/>
        </w:numPr>
        <w:spacing w:after="60" w:line="276"/>
      </w:pPr>
      <w:r>
        <w:rPr>
          <w:sz w:val="21"/>
          <w:szCs w:val="21"/>
        </w:rPr>
        <w:t xml:space="preserve">Temps de réponse des pages/API inférieur à 2 secondes en conditions normales.</w:t>
      </w:r>
    </w:p>
    <w:p>
      <w:pPr>
        <w:pStyle w:val="ListParagraph"/>
        <w:numPr>
          <w:ilvl w:val="0"/>
          <w:numId w:val="2"/>
        </w:numPr>
        <w:spacing w:after="60" w:line="276"/>
      </w:pPr>
      <w:r>
        <w:rPr>
          <w:sz w:val="21"/>
          <w:szCs w:val="21"/>
        </w:rPr>
        <w:t xml:space="preserve">Capacité à supporter la charge simultanée de plusieurs sites et centaines d'utilisateurs concurrents.</w:t>
      </w:r>
    </w:p>
    <w:p>
      <w:pPr>
        <w:pStyle w:val="Heading2"/>
        <w:spacing w:after="140" w:before="260"/>
      </w:pPr>
      <w:r>
        <w:rPr>
          <w:b/>
          <w:bCs/>
          <w:color w:val="2E5C8A"/>
          <w:sz w:val="24"/>
          <w:szCs w:val="24"/>
        </w:rPr>
        <w:t xml:space="preserve">5.2 Sécurité et conformité</w:t>
      </w:r>
    </w:p>
    <w:p>
      <w:pPr>
        <w:pStyle w:val="ListParagraph"/>
        <w:numPr>
          <w:ilvl w:val="0"/>
          <w:numId w:val="2"/>
        </w:numPr>
        <w:spacing w:after="60" w:line="276"/>
      </w:pPr>
      <w:r>
        <w:rPr>
          <w:sz w:val="21"/>
          <w:szCs w:val="21"/>
        </w:rPr>
        <w:t xml:space="preserve">Conformité à la loi marocaine 09-08 relative à la protection des données à caractère personnel (CNDP), et RGPD si activité internationale.</w:t>
      </w:r>
    </w:p>
    <w:p>
      <w:pPr>
        <w:pStyle w:val="ListParagraph"/>
        <w:numPr>
          <w:ilvl w:val="0"/>
          <w:numId w:val="2"/>
        </w:numPr>
        <w:spacing w:after="60" w:line="276"/>
      </w:pPr>
      <w:r>
        <w:rPr>
          <w:sz w:val="21"/>
          <w:szCs w:val="21"/>
        </w:rPr>
        <w:t xml:space="preserve">Chiffrement des données sensibles au repos et en transit (TLS).</w:t>
      </w:r>
    </w:p>
    <w:p>
      <w:pPr>
        <w:pStyle w:val="ListParagraph"/>
        <w:numPr>
          <w:ilvl w:val="0"/>
          <w:numId w:val="2"/>
        </w:numPr>
        <w:spacing w:after="60" w:line="276"/>
      </w:pPr>
      <w:r>
        <w:rPr>
          <w:sz w:val="21"/>
          <w:szCs w:val="21"/>
        </w:rPr>
        <w:t xml:space="preserve">Gestion fine des droits d'accès par profil et par site (RBAC).</w:t>
      </w:r>
    </w:p>
    <w:p>
      <w:pPr>
        <w:pStyle w:val="ListParagraph"/>
        <w:numPr>
          <w:ilvl w:val="0"/>
          <w:numId w:val="2"/>
        </w:numPr>
        <w:spacing w:after="60" w:line="276"/>
      </w:pPr>
      <w:r>
        <w:rPr>
          <w:sz w:val="21"/>
          <w:szCs w:val="21"/>
        </w:rPr>
        <w:t xml:space="preserve">Journalisation et traçabilité des actions (audit trail).</w:t>
      </w:r>
    </w:p>
    <w:p>
      <w:pPr>
        <w:pStyle w:val="ListParagraph"/>
        <w:numPr>
          <w:ilvl w:val="0"/>
          <w:numId w:val="2"/>
        </w:numPr>
        <w:spacing w:after="60" w:line="276"/>
      </w:pPr>
      <w:r>
        <w:rPr>
          <w:sz w:val="21"/>
          <w:szCs w:val="21"/>
        </w:rPr>
        <w:t xml:space="preserve">Sauvegardes régulières et plan de reprise d'activité (PRA).</w:t>
      </w:r>
    </w:p>
    <w:p>
      <w:pPr>
        <w:pStyle w:val="ListParagraph"/>
        <w:numPr>
          <w:ilvl w:val="0"/>
          <w:numId w:val="2"/>
        </w:numPr>
        <w:spacing w:after="60" w:line="276"/>
      </w:pPr>
      <w:r>
        <w:rPr>
          <w:sz w:val="21"/>
          <w:szCs w:val="21"/>
        </w:rPr>
        <w:t xml:space="preserve">Traçabilité des contrôles qualité et des processus compatible avec une certification ISO 9001 du réseau d'ateliers.</w:t>
      </w:r>
    </w:p>
    <w:p>
      <w:pPr>
        <w:pStyle w:val="Heading2"/>
        <w:spacing w:after="140" w:before="260"/>
      </w:pPr>
      <w:r>
        <w:rPr>
          <w:b/>
          <w:bCs/>
          <w:color w:val="2E5C8A"/>
          <w:sz w:val="24"/>
          <w:szCs w:val="24"/>
        </w:rPr>
        <w:t xml:space="preserve">5.3 Ergonomie et accessibilité</w:t>
      </w:r>
    </w:p>
    <w:p>
      <w:pPr>
        <w:pStyle w:val="ListParagraph"/>
        <w:numPr>
          <w:ilvl w:val="0"/>
          <w:numId w:val="2"/>
        </w:numPr>
        <w:spacing w:after="60" w:line="276"/>
      </w:pPr>
      <w:r>
        <w:rPr>
          <w:sz w:val="21"/>
          <w:szCs w:val="21"/>
        </w:rPr>
        <w:t xml:space="preserve">Interface intuitive nécessitant un minimum de formation pour les équipes atelier.</w:t>
      </w:r>
    </w:p>
    <w:p>
      <w:pPr>
        <w:pStyle w:val="ListParagraph"/>
        <w:numPr>
          <w:ilvl w:val="0"/>
          <w:numId w:val="2"/>
        </w:numPr>
        <w:spacing w:after="60" w:line="276"/>
      </w:pPr>
      <w:r>
        <w:rPr>
          <w:sz w:val="21"/>
          <w:szCs w:val="21"/>
        </w:rPr>
        <w:t xml:space="preserve">Compatibilité mobile-first pour les applications terrain (technicien, client).</w:t>
      </w:r>
    </w:p>
    <w:p>
      <w:pPr>
        <w:pStyle w:val="Heading2"/>
        <w:spacing w:after="140" w:before="260"/>
      </w:pPr>
      <w:r>
        <w:rPr>
          <w:b/>
          <w:bCs/>
          <w:color w:val="2E5C8A"/>
          <w:sz w:val="24"/>
          <w:szCs w:val="24"/>
        </w:rPr>
        <w:t xml:space="preserve">5.4 Scalabilité et architecture</w:t>
      </w:r>
    </w:p>
    <w:p>
      <w:pPr>
        <w:pStyle w:val="ListParagraph"/>
        <w:numPr>
          <w:ilvl w:val="0"/>
          <w:numId w:val="2"/>
        </w:numPr>
        <w:spacing w:after="60" w:line="276"/>
      </w:pPr>
      <w:r>
        <w:rPr>
          <w:sz w:val="21"/>
          <w:szCs w:val="21"/>
        </w:rPr>
        <w:t xml:space="preserve">Architecture modulaire permettant l'ajout de nouveaux sites, marques ou modules sans refonte majeure.</w:t>
      </w:r>
    </w:p>
    <w:p>
      <w:pPr>
        <w:pStyle w:val="ListParagraph"/>
        <w:numPr>
          <w:ilvl w:val="0"/>
          <w:numId w:val="2"/>
        </w:numPr>
        <w:spacing w:after="60" w:line="276"/>
      </w:pPr>
      <w:r>
        <w:rPr>
          <w:sz w:val="21"/>
          <w:szCs w:val="21"/>
        </w:rPr>
        <w:t xml:space="preserve">Hébergement cloud avec possibilité de montée en charge (scalabilité horizontale).</w:t>
      </w:r>
    </w:p>
    <w:p>
      <w:pPr>
        <w:pStyle w:val="Heading2"/>
        <w:spacing w:after="140" w:before="260"/>
      </w:pPr>
      <w:r>
        <w:rPr>
          <w:b/>
          <w:bCs/>
          <w:color w:val="2E5C8A"/>
          <w:sz w:val="24"/>
          <w:szCs w:val="24"/>
        </w:rPr>
        <w:t xml:space="preserve">5.5 Multilinguisme</w:t>
      </w:r>
    </w:p>
    <w:p>
      <w:pPr>
        <w:pStyle w:val="ListParagraph"/>
        <w:numPr>
          <w:ilvl w:val="0"/>
          <w:numId w:val="2"/>
        </w:numPr>
        <w:spacing w:after="60" w:line="276"/>
      </w:pPr>
      <w:r>
        <w:rPr>
          <w:sz w:val="21"/>
          <w:szCs w:val="21"/>
        </w:rPr>
        <w:t xml:space="preserve">Interfaces et communications client disponibles en français et arabe, avec possibilité d'extension à d'autres langues.</w:t>
      </w:r>
    </w:p>
    <w:p>
      <w:pPr>
        <w:pStyle w:val="Heading1"/>
        <w:pBdr>
          <w:bottom w:val="single" w:color="1F3864" w:sz="6" w:space="4"/>
        </w:pBdr>
        <w:spacing w:after="200" w:before="400"/>
      </w:pPr>
      <w:r>
        <w:rPr>
          <w:b/>
          <w:bCs/>
          <w:color w:val="1F3864"/>
          <w:sz w:val="30"/>
          <w:szCs w:val="30"/>
        </w:rPr>
        <w:t xml:space="preserve">6. Architecture technique envisagée</w:t>
      </w:r>
    </w:p>
    <w:p>
      <w:pPr>
        <w:spacing w:after="140" w:line="276"/>
        <w:jc w:val="both"/>
      </w:pPr>
      <w:r>
        <w:rPr>
          <w:sz w:val="21"/>
          <w:szCs w:val="21"/>
        </w:rPr>
        <w:t xml:space="preserve">À titre indicatif, une architecture web moderne et modulaire est recommandée, à affiner avec le prestataire retenu selon les contraintes d'hébergement et d'intégration avec les systèmes existants (DMS/ERP).</w:t>
      </w:r>
    </w:p>
    <w:p>
      <w:pPr>
        <w:pStyle w:val="ListParagraph"/>
        <w:numPr>
          <w:ilvl w:val="0"/>
          <w:numId w:val="2"/>
        </w:numPr>
        <w:spacing w:after="60" w:line="276"/>
      </w:pPr>
      <w:r>
        <w:rPr>
          <w:b/>
          <w:bCs/>
          <w:sz w:val="21"/>
          <w:szCs w:val="21"/>
        </w:rPr>
        <w:t xml:space="preserve">Frontend : </w:t>
      </w:r>
      <w:r>
        <w:rPr>
          <w:sz w:val="21"/>
          <w:szCs w:val="21"/>
        </w:rPr>
        <w:t xml:space="preserve">application web responsive et application mobile (iOS/Android) pour clients et techniciens.</w:t>
      </w:r>
    </w:p>
    <w:p>
      <w:pPr>
        <w:pStyle w:val="ListParagraph"/>
        <w:numPr>
          <w:ilvl w:val="0"/>
          <w:numId w:val="2"/>
        </w:numPr>
        <w:spacing w:after="60" w:line="276"/>
      </w:pPr>
      <w:r>
        <w:rPr>
          <w:b/>
          <w:bCs/>
          <w:sz w:val="21"/>
          <w:szCs w:val="21"/>
        </w:rPr>
        <w:t xml:space="preserve">Backend : </w:t>
      </w:r>
      <w:r>
        <w:rPr>
          <w:sz w:val="21"/>
          <w:szCs w:val="21"/>
        </w:rPr>
        <w:t xml:space="preserve">architecture API REST/GraphQL modulaire, facilitant les intégrations tierces.</w:t>
      </w:r>
    </w:p>
    <w:p>
      <w:pPr>
        <w:pStyle w:val="ListParagraph"/>
        <w:numPr>
          <w:ilvl w:val="0"/>
          <w:numId w:val="2"/>
        </w:numPr>
        <w:spacing w:after="60" w:line="276"/>
      </w:pPr>
      <w:r>
        <w:rPr>
          <w:b/>
          <w:bCs/>
          <w:sz w:val="21"/>
          <w:szCs w:val="21"/>
        </w:rPr>
        <w:t xml:space="preserve">Base de données : </w:t>
      </w:r>
      <w:r>
        <w:rPr>
          <w:sz w:val="21"/>
          <w:szCs w:val="21"/>
        </w:rPr>
        <w:t xml:space="preserve">SGBD relationnel sécurisé, avec sauvegardes automatisées.</w:t>
      </w:r>
    </w:p>
    <w:p>
      <w:pPr>
        <w:pStyle w:val="ListParagraph"/>
        <w:numPr>
          <w:ilvl w:val="0"/>
          <w:numId w:val="2"/>
        </w:numPr>
        <w:spacing w:after="60" w:line="276"/>
      </w:pPr>
      <w:r>
        <w:rPr>
          <w:b/>
          <w:bCs/>
          <w:sz w:val="21"/>
          <w:szCs w:val="21"/>
        </w:rPr>
        <w:t xml:space="preserve">Hébergement : </w:t>
      </w:r>
      <w:r>
        <w:rPr>
          <w:sz w:val="21"/>
          <w:szCs w:val="21"/>
        </w:rPr>
        <w:t xml:space="preserve">cloud (national ou international selon exigences de résidence des données).</w:t>
      </w:r>
    </w:p>
    <w:p>
      <w:pPr>
        <w:pStyle w:val="ListParagraph"/>
        <w:numPr>
          <w:ilvl w:val="0"/>
          <w:numId w:val="2"/>
        </w:numPr>
        <w:spacing w:after="60" w:line="276"/>
      </w:pPr>
      <w:r>
        <w:rPr>
          <w:b/>
          <w:bCs/>
          <w:sz w:val="21"/>
          <w:szCs w:val="21"/>
        </w:rPr>
        <w:t xml:space="preserve">Intégrations : </w:t>
      </w:r>
      <w:r>
        <w:rPr>
          <w:sz w:val="21"/>
          <w:szCs w:val="21"/>
        </w:rPr>
        <w:t xml:space="preserve">connecteurs API vers DMS constructeur, ERP, passerelles SMS/e-mail, paiement en ligne.</w:t>
      </w:r>
    </w:p>
    <w:p>
      <w:pPr>
        <w:pStyle w:val="ListParagraph"/>
        <w:numPr>
          <w:ilvl w:val="0"/>
          <w:numId w:val="2"/>
        </w:numPr>
        <w:spacing w:after="60" w:line="276"/>
      </w:pPr>
      <w:r>
        <w:rPr>
          <w:b/>
          <w:bCs/>
          <w:sz w:val="21"/>
          <w:szCs w:val="21"/>
        </w:rPr>
        <w:t xml:space="preserve">Sécurité : </w:t>
      </w:r>
      <w:r>
        <w:rPr>
          <w:sz w:val="21"/>
          <w:szCs w:val="21"/>
        </w:rPr>
        <w:t xml:space="preserve">authentification forte (MFA pour les accès back-office), chiffrement, gestion des rôles.</w:t>
      </w:r>
    </w:p>
    <w:p>
      <w:pPr>
        <w:pStyle w:val="Heading1"/>
        <w:pBdr>
          <w:bottom w:val="single" w:color="1F3864" w:sz="6" w:space="4"/>
        </w:pBdr>
        <w:spacing w:after="200" w:before="400"/>
      </w:pPr>
      <w:r>
        <w:rPr>
          <w:b/>
          <w:bCs/>
          <w:color w:val="1F3864"/>
          <w:sz w:val="30"/>
          <w:szCs w:val="30"/>
        </w:rPr>
        <w:t xml:space="preserve">7. Indicateurs de performance clés (KPIs)</w:t>
      </w:r>
    </w:p>
    <w:p>
      <w:pPr>
        <w:spacing w:after="140" w:line="276"/>
        <w:jc w:val="both"/>
      </w:pPr>
      <w:r>
        <w:rPr>
          <w:sz w:val="21"/>
          <w:szCs w:val="21"/>
        </w:rPr>
        <w:t xml:space="preserve">La solution doit permettre le suivi natif des indicateurs suivants, essentiels au pilotage d'une activité SAV automobile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Indicateur</w:t>
            </w:r>
          </w:p>
        </w:tc>
        <w:tc>
          <w:tcPr>
            <w:tcW w:type="dxa" w:w="540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42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Taux de rétention SAV</w:t>
            </w:r>
          </w:p>
        </w:tc>
        <w:tc>
          <w:tcPr>
            <w:tcW w:type="dxa" w:w="54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Part des clients revenant en atelier d'une année sur l'autre</w:t>
            </w:r>
          </w:p>
        </w:tc>
      </w:tr>
      <w:tr>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Taux d'absorption</w:t>
            </w:r>
          </w:p>
        </w:tc>
        <w:tc>
          <w:tcPr>
            <w:tcW w:type="dxa" w:w="5400"/>
            <w:tcMar>
              <w:top w:type="dxa" w:w="80"/>
              <w:left w:type="dxa" w:w="100"/>
              <w:bottom w:type="dxa" w:w="80"/>
              <w:right w:type="dxa" w:w="100"/>
            </w:tcMar>
            <w:vAlign w:val="center"/>
          </w:tcPr>
          <w:p>
            <w:pPr>
              <w:jc w:val="left"/>
            </w:pPr>
            <w:r>
              <w:rPr>
                <w:b w:val="false"/>
                <w:bCs w:val="false"/>
                <w:color w:val="000000"/>
                <w:sz w:val="19"/>
                <w:szCs w:val="19"/>
              </w:rPr>
              <w:t xml:space="preserve">Part des charges fixes de la concession couverte par la marge SAV</w:t>
            </w:r>
          </w:p>
        </w:tc>
      </w:tr>
      <w:tr>
        <w:tc>
          <w:tcPr>
            <w:tcW w:type="dxa" w:w="42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Panier moyen atelier</w:t>
            </w:r>
          </w:p>
        </w:tc>
        <w:tc>
          <w:tcPr>
            <w:tcW w:type="dxa" w:w="54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Chiffre d'affaires moyen par ordre de réparation</w:t>
            </w:r>
          </w:p>
        </w:tc>
      </w:tr>
      <w:tr>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Délai moyen d'intervention</w:t>
            </w:r>
          </w:p>
        </w:tc>
        <w:tc>
          <w:tcPr>
            <w:tcW w:type="dxa" w:w="5400"/>
            <w:tcMar>
              <w:top w:type="dxa" w:w="80"/>
              <w:left w:type="dxa" w:w="100"/>
              <w:bottom w:type="dxa" w:w="80"/>
              <w:right w:type="dxa" w:w="100"/>
            </w:tcMar>
            <w:vAlign w:val="center"/>
          </w:tcPr>
          <w:p>
            <w:pPr>
              <w:jc w:val="left"/>
            </w:pPr>
            <w:r>
              <w:rPr>
                <w:b w:val="false"/>
                <w:bCs w:val="false"/>
                <w:color w:val="000000"/>
                <w:sz w:val="19"/>
                <w:szCs w:val="19"/>
              </w:rPr>
              <w:t xml:space="preserve">Temps entre la réception du véhicule et sa restitution</w:t>
            </w:r>
          </w:p>
        </w:tc>
      </w:tr>
      <w:tr>
        <w:tc>
          <w:tcPr>
            <w:tcW w:type="dxa" w:w="42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Taux d'occupation atelier</w:t>
            </w:r>
          </w:p>
        </w:tc>
        <w:tc>
          <w:tcPr>
            <w:tcW w:type="dxa" w:w="54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Utilisation des ressources (box, techniciens) sur une période</w:t>
            </w:r>
          </w:p>
        </w:tc>
      </w:tr>
      <w:tr>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NPS / CSAT</w:t>
            </w:r>
          </w:p>
        </w:tc>
        <w:tc>
          <w:tcPr>
            <w:tcW w:type="dxa" w:w="5400"/>
            <w:tcMar>
              <w:top w:type="dxa" w:w="80"/>
              <w:left w:type="dxa" w:w="100"/>
              <w:bottom w:type="dxa" w:w="80"/>
              <w:right w:type="dxa" w:w="100"/>
            </w:tcMar>
            <w:vAlign w:val="center"/>
          </w:tcPr>
          <w:p>
            <w:pPr>
              <w:jc w:val="left"/>
            </w:pPr>
            <w:r>
              <w:rPr>
                <w:b w:val="false"/>
                <w:bCs w:val="false"/>
                <w:color w:val="000000"/>
                <w:sz w:val="19"/>
                <w:szCs w:val="19"/>
              </w:rPr>
              <w:t xml:space="preserve">Satisfaction client mesurée après chaque intervention</w:t>
            </w:r>
          </w:p>
        </w:tc>
      </w:tr>
      <w:tr>
        <w:tc>
          <w:tcPr>
            <w:tcW w:type="dxa" w:w="42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Taux de conversion devis</w:t>
            </w:r>
          </w:p>
        </w:tc>
        <w:tc>
          <w:tcPr>
            <w:tcW w:type="dxa" w:w="54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Part des devis transformés en ordre de réparation</w:t>
            </w:r>
          </w:p>
        </w:tc>
      </w:tr>
      <w:tr>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Taux de retour SAV (reprises)</w:t>
            </w:r>
          </w:p>
        </w:tc>
        <w:tc>
          <w:tcPr>
            <w:tcW w:type="dxa" w:w="5400"/>
            <w:tcMar>
              <w:top w:type="dxa" w:w="80"/>
              <w:left w:type="dxa" w:w="100"/>
              <w:bottom w:type="dxa" w:w="80"/>
              <w:right w:type="dxa" w:w="100"/>
            </w:tcMar>
            <w:vAlign w:val="center"/>
          </w:tcPr>
          <w:p>
            <w:pPr>
              <w:jc w:val="left"/>
            </w:pPr>
            <w:r>
              <w:rPr>
                <w:b w:val="false"/>
                <w:bCs w:val="false"/>
                <w:color w:val="000000"/>
                <w:sz w:val="19"/>
                <w:szCs w:val="19"/>
              </w:rPr>
              <w:t xml:space="preserve">Part des véhicules revenant pour un problème non résolu</w:t>
            </w:r>
          </w:p>
        </w:tc>
      </w:tr>
    </w:tbl>
    <w:p>
      <w:r>
        <w:br w:type="page"/>
      </w:r>
    </w:p>
    <w:p>
      <w:pPr>
        <w:pStyle w:val="Heading1"/>
        <w:pBdr>
          <w:bottom w:val="single" w:color="1F3864" w:sz="6" w:space="4"/>
        </w:pBdr>
        <w:spacing w:after="200" w:before="400"/>
      </w:pPr>
      <w:r>
        <w:rPr>
          <w:b/>
          <w:bCs/>
          <w:color w:val="1F3864"/>
          <w:sz w:val="30"/>
          <w:szCs w:val="30"/>
        </w:rPr>
        <w:t xml:space="preserve">8. Contraintes du projet</w:t>
      </w:r>
    </w:p>
    <w:p>
      <w:pPr>
        <w:pStyle w:val="ListParagraph"/>
        <w:numPr>
          <w:ilvl w:val="0"/>
          <w:numId w:val="2"/>
        </w:numPr>
        <w:spacing w:after="60" w:line="276"/>
      </w:pPr>
      <w:r>
        <w:rPr>
          <w:b/>
          <w:bCs/>
          <w:sz w:val="21"/>
          <w:szCs w:val="21"/>
        </w:rPr>
        <w:t xml:space="preserve">Délais : </w:t>
      </w:r>
      <w:r>
        <w:rPr>
          <w:sz w:val="21"/>
          <w:szCs w:val="21"/>
        </w:rPr>
        <w:t xml:space="preserve">à définir avec le prestataire ; un déploiement pilote sur un site est recommandé avant généralisation.</w:t>
      </w:r>
    </w:p>
    <w:p>
      <w:pPr>
        <w:pStyle w:val="ListParagraph"/>
        <w:numPr>
          <w:ilvl w:val="0"/>
          <w:numId w:val="2"/>
        </w:numPr>
        <w:spacing w:after="60" w:line="276"/>
      </w:pPr>
      <w:r>
        <w:rPr>
          <w:b/>
          <w:bCs/>
          <w:sz w:val="21"/>
          <w:szCs w:val="21"/>
        </w:rPr>
        <w:t xml:space="preserve">Budget : </w:t>
      </w:r>
      <w:r>
        <w:rPr>
          <w:sz w:val="21"/>
          <w:szCs w:val="21"/>
        </w:rPr>
        <w:t xml:space="preserve">à cadrer selon le périmètre retenu (voir section 12).</w:t>
      </w:r>
    </w:p>
    <w:p>
      <w:pPr>
        <w:pStyle w:val="ListParagraph"/>
        <w:numPr>
          <w:ilvl w:val="0"/>
          <w:numId w:val="2"/>
        </w:numPr>
        <w:spacing w:after="60" w:line="276"/>
      </w:pPr>
      <w:r>
        <w:rPr>
          <w:b/>
          <w:bCs/>
          <w:sz w:val="21"/>
          <w:szCs w:val="21"/>
        </w:rPr>
        <w:t xml:space="preserve">Compatibilité : </w:t>
      </w:r>
      <w:r>
        <w:rPr>
          <w:sz w:val="21"/>
          <w:szCs w:val="21"/>
        </w:rPr>
        <w:t xml:space="preserve">la solution doit s'interfacer avec le(s) DMS constructeur déjà en place, sans perturber les processus existants.</w:t>
      </w:r>
    </w:p>
    <w:p>
      <w:pPr>
        <w:pStyle w:val="ListParagraph"/>
        <w:numPr>
          <w:ilvl w:val="0"/>
          <w:numId w:val="2"/>
        </w:numPr>
        <w:spacing w:after="60" w:line="276"/>
      </w:pPr>
      <w:r>
        <w:rPr>
          <w:b/>
          <w:bCs/>
          <w:sz w:val="21"/>
          <w:szCs w:val="21"/>
        </w:rPr>
        <w:t xml:space="preserve">Conduite du changement : </w:t>
      </w:r>
      <w:r>
        <w:rPr>
          <w:sz w:val="21"/>
          <w:szCs w:val="21"/>
        </w:rPr>
        <w:t xml:space="preserve">prévoir un plan de formation des équipes atelier et SAV, souvent peu familières des outils digitaux.</w:t>
      </w:r>
    </w:p>
    <w:p>
      <w:pPr>
        <w:pStyle w:val="ListParagraph"/>
        <w:numPr>
          <w:ilvl w:val="0"/>
          <w:numId w:val="2"/>
        </w:numPr>
        <w:spacing w:after="60" w:line="276"/>
      </w:pPr>
      <w:r>
        <w:rPr>
          <w:b/>
          <w:bCs/>
          <w:sz w:val="21"/>
          <w:szCs w:val="21"/>
        </w:rPr>
        <w:t xml:space="preserve">Réversibilité : </w:t>
      </w:r>
      <w:r>
        <w:rPr>
          <w:sz w:val="21"/>
          <w:szCs w:val="21"/>
        </w:rPr>
        <w:t xml:space="preserve">garantir la portabilité et l'export des données en cas de changement de prestataire.</w:t>
      </w:r>
    </w:p>
    <w:p>
      <w:pPr>
        <w:pStyle w:val="Heading1"/>
        <w:pBdr>
          <w:bottom w:val="single" w:color="1F3864" w:sz="6" w:space="4"/>
        </w:pBdr>
        <w:spacing w:after="200" w:before="400"/>
      </w:pPr>
      <w:r>
        <w:rPr>
          <w:b/>
          <w:bCs/>
          <w:color w:val="1F3864"/>
          <w:sz w:val="30"/>
          <w:szCs w:val="30"/>
        </w:rPr>
        <w:t xml:space="preserve">9. Livrables attendus</w:t>
      </w:r>
    </w:p>
    <w:p>
      <w:pPr>
        <w:pStyle w:val="ListParagraph"/>
        <w:numPr>
          <w:ilvl w:val="0"/>
          <w:numId w:val="2"/>
        </w:numPr>
        <w:spacing w:after="60" w:line="276"/>
      </w:pPr>
      <w:r>
        <w:rPr>
          <w:sz w:val="21"/>
          <w:szCs w:val="21"/>
        </w:rPr>
        <w:t xml:space="preserve">Étude de cadrage détaillée et spécifications fonctionnelles générales et détaillées (SFG/SFD).</w:t>
      </w:r>
    </w:p>
    <w:p>
      <w:pPr>
        <w:pStyle w:val="ListParagraph"/>
        <w:numPr>
          <w:ilvl w:val="0"/>
          <w:numId w:val="2"/>
        </w:numPr>
        <w:spacing w:after="60" w:line="276"/>
      </w:pPr>
      <w:r>
        <w:rPr>
          <w:sz w:val="21"/>
          <w:szCs w:val="21"/>
        </w:rPr>
        <w:t xml:space="preserve">Maquettes/prototypes (UX/UI) des principaux parcours (client, réceptionnaire, technicien, direction).</w:t>
      </w:r>
    </w:p>
    <w:p>
      <w:pPr>
        <w:pStyle w:val="ListParagraph"/>
        <w:numPr>
          <w:ilvl w:val="0"/>
          <w:numId w:val="2"/>
        </w:numPr>
        <w:spacing w:after="60" w:line="276"/>
      </w:pPr>
      <w:r>
        <w:rPr>
          <w:sz w:val="21"/>
          <w:szCs w:val="21"/>
        </w:rPr>
        <w:t xml:space="preserve">Solution développée et déployée en environnement de recette puis de production.</w:t>
      </w:r>
    </w:p>
    <w:p>
      <w:pPr>
        <w:pStyle w:val="ListParagraph"/>
        <w:numPr>
          <w:ilvl w:val="0"/>
          <w:numId w:val="2"/>
        </w:numPr>
        <w:spacing w:after="60" w:line="276"/>
      </w:pPr>
      <w:r>
        <w:rPr>
          <w:sz w:val="21"/>
          <w:szCs w:val="21"/>
        </w:rPr>
        <w:t xml:space="preserve">Documentation technique et fonctionnelle, guides utilisateurs.</w:t>
      </w:r>
    </w:p>
    <w:p>
      <w:pPr>
        <w:pStyle w:val="ListParagraph"/>
        <w:numPr>
          <w:ilvl w:val="0"/>
          <w:numId w:val="2"/>
        </w:numPr>
        <w:spacing w:after="60" w:line="276"/>
      </w:pPr>
      <w:r>
        <w:rPr>
          <w:sz w:val="21"/>
          <w:szCs w:val="21"/>
        </w:rPr>
        <w:t xml:space="preserve">Plan et supports de formation des équipes.</w:t>
      </w:r>
    </w:p>
    <w:p>
      <w:pPr>
        <w:pStyle w:val="ListParagraph"/>
        <w:numPr>
          <w:ilvl w:val="0"/>
          <w:numId w:val="2"/>
        </w:numPr>
        <w:spacing w:after="60" w:line="276"/>
      </w:pPr>
      <w:r>
        <w:rPr>
          <w:sz w:val="21"/>
          <w:szCs w:val="21"/>
        </w:rPr>
        <w:t xml:space="preserve">Plan de reprise des données (migration depuis les outils existants).</w:t>
      </w:r>
    </w:p>
    <w:p>
      <w:pPr>
        <w:pStyle w:val="ListParagraph"/>
        <w:numPr>
          <w:ilvl w:val="0"/>
          <w:numId w:val="2"/>
        </w:numPr>
        <w:spacing w:after="60" w:line="276"/>
      </w:pPr>
      <w:r>
        <w:rPr>
          <w:sz w:val="21"/>
          <w:szCs w:val="21"/>
        </w:rPr>
        <w:t xml:space="preserve">Contrat de maintenance et support post-déploiement (SLA).</w:t>
      </w:r>
    </w:p>
    <w:p>
      <w:pPr>
        <w:pStyle w:val="Heading1"/>
        <w:pBdr>
          <w:bottom w:val="single" w:color="1F3864" w:sz="6" w:space="4"/>
        </w:pBdr>
        <w:spacing w:after="200" w:before="400"/>
      </w:pPr>
      <w:r>
        <w:rPr>
          <w:b/>
          <w:bCs/>
          <w:color w:val="1F3864"/>
          <w:sz w:val="30"/>
          <w:szCs w:val="30"/>
        </w:rPr>
        <w:t xml:space="preserve">10. Planning prévisionnel (indicatif)</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4200"/>
      </w:tblGrid>
      <w:tr>
        <w:tc>
          <w:tcPr>
            <w:tcW w:type="dxa" w:w="1600"/>
            <w:shd w:fill="1F3864" w:val="clear"/>
            <w:tcMar>
              <w:top w:type="dxa" w:w="80"/>
              <w:left w:type="dxa" w:w="100"/>
              <w:bottom w:type="dxa" w:w="80"/>
              <w:right w:type="dxa" w:w="100"/>
            </w:tcMar>
            <w:vAlign w:val="center"/>
          </w:tcPr>
          <w:p>
            <w:pPr>
              <w:jc w:val="left"/>
            </w:pPr>
            <w:r>
              <w:rPr>
                <w:b/>
                <w:bCs/>
                <w:color w:val="FFFFFF"/>
                <w:sz w:val="19"/>
                <w:szCs w:val="19"/>
              </w:rPr>
              <w:t xml:space="preserve">Phase</w:t>
            </w:r>
          </w:p>
        </w:tc>
        <w:tc>
          <w:tcPr>
            <w:tcW w:type="dxa" w:w="3800"/>
            <w:shd w:fill="1F3864" w:val="clear"/>
            <w:tcMar>
              <w:top w:type="dxa" w:w="80"/>
              <w:left w:type="dxa" w:w="100"/>
              <w:bottom w:type="dxa" w:w="80"/>
              <w:right w:type="dxa" w:w="100"/>
            </w:tcMar>
            <w:vAlign w:val="center"/>
          </w:tcPr>
          <w:p>
            <w:pPr>
              <w:jc w:val="left"/>
            </w:pPr>
            <w:r>
              <w:rPr>
                <w:b/>
                <w:bCs/>
                <w:color w:val="FFFFFF"/>
                <w:sz w:val="19"/>
                <w:szCs w:val="19"/>
              </w:rPr>
              <w:t xml:space="preserve">Contenu</w:t>
            </w:r>
          </w:p>
        </w:tc>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Durée indicative</w:t>
            </w:r>
          </w:p>
        </w:tc>
      </w:tr>
      <w:tr>
        <w:tc>
          <w:tcPr>
            <w:tcW w:type="dxa" w:w="16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Phase 0</w:t>
            </w:r>
          </w:p>
        </w:tc>
        <w:tc>
          <w:tcPr>
            <w:tcW w:type="dxa" w:w="38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Cadrage, ateliers besoins, validation du cahier des charges</w:t>
            </w:r>
          </w:p>
        </w:tc>
        <w:tc>
          <w:tcPr>
            <w:tcW w:type="dxa" w:w="42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3 à 4 semaines</w:t>
            </w:r>
          </w:p>
        </w:tc>
      </w:tr>
      <w:tr>
        <w:tc>
          <w:tcPr>
            <w:tcW w:type="dxa" w:w="1600"/>
            <w:tcMar>
              <w:top w:type="dxa" w:w="80"/>
              <w:left w:type="dxa" w:w="100"/>
              <w:bottom w:type="dxa" w:w="80"/>
              <w:right w:type="dxa" w:w="100"/>
            </w:tcMar>
            <w:vAlign w:val="center"/>
          </w:tcPr>
          <w:p>
            <w:pPr>
              <w:jc w:val="left"/>
            </w:pPr>
            <w:r>
              <w:rPr>
                <w:b w:val="false"/>
                <w:bCs w:val="false"/>
                <w:color w:val="000000"/>
                <w:sz w:val="19"/>
                <w:szCs w:val="19"/>
              </w:rPr>
              <w:t xml:space="preserve">Phase 1</w:t>
            </w:r>
          </w:p>
        </w:tc>
        <w:tc>
          <w:tcPr>
            <w:tcW w:type="dxa" w:w="3800"/>
            <w:tcMar>
              <w:top w:type="dxa" w:w="80"/>
              <w:left w:type="dxa" w:w="100"/>
              <w:bottom w:type="dxa" w:w="80"/>
              <w:right w:type="dxa" w:w="100"/>
            </w:tcMar>
            <w:vAlign w:val="center"/>
          </w:tcPr>
          <w:p>
            <w:pPr>
              <w:jc w:val="left"/>
            </w:pPr>
            <w:r>
              <w:rPr>
                <w:b w:val="false"/>
                <w:bCs w:val="false"/>
                <w:color w:val="000000"/>
                <w:sz w:val="19"/>
                <w:szCs w:val="19"/>
              </w:rPr>
              <w:t xml:space="preserve">Conception (spécifications détaillées, maquettes UX/UI)</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4 à 6 semaines</w:t>
            </w:r>
          </w:p>
        </w:tc>
      </w:tr>
      <w:tr>
        <w:tc>
          <w:tcPr>
            <w:tcW w:type="dxa" w:w="16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Phase 2</w:t>
            </w:r>
          </w:p>
        </w:tc>
        <w:tc>
          <w:tcPr>
            <w:tcW w:type="dxa" w:w="38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Développement du socle CRM/SAV + intégrations prioritaires</w:t>
            </w:r>
          </w:p>
        </w:tc>
        <w:tc>
          <w:tcPr>
            <w:tcW w:type="dxa" w:w="42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10 à 16 semaines</w:t>
            </w:r>
          </w:p>
        </w:tc>
      </w:tr>
      <w:tr>
        <w:tc>
          <w:tcPr>
            <w:tcW w:type="dxa" w:w="1600"/>
            <w:tcMar>
              <w:top w:type="dxa" w:w="80"/>
              <w:left w:type="dxa" w:w="100"/>
              <w:bottom w:type="dxa" w:w="80"/>
              <w:right w:type="dxa" w:w="100"/>
            </w:tcMar>
            <w:vAlign w:val="center"/>
          </w:tcPr>
          <w:p>
            <w:pPr>
              <w:jc w:val="left"/>
            </w:pPr>
            <w:r>
              <w:rPr>
                <w:b w:val="false"/>
                <w:bCs w:val="false"/>
                <w:color w:val="000000"/>
                <w:sz w:val="19"/>
                <w:szCs w:val="19"/>
              </w:rPr>
              <w:t xml:space="preserve">Phase 3</w:t>
            </w:r>
          </w:p>
        </w:tc>
        <w:tc>
          <w:tcPr>
            <w:tcW w:type="dxa" w:w="3800"/>
            <w:tcMar>
              <w:top w:type="dxa" w:w="80"/>
              <w:left w:type="dxa" w:w="100"/>
              <w:bottom w:type="dxa" w:w="80"/>
              <w:right w:type="dxa" w:w="100"/>
            </w:tcMar>
            <w:vAlign w:val="center"/>
          </w:tcPr>
          <w:p>
            <w:pPr>
              <w:jc w:val="left"/>
            </w:pPr>
            <w:r>
              <w:rPr>
                <w:b w:val="false"/>
                <w:bCs w:val="false"/>
                <w:color w:val="000000"/>
                <w:sz w:val="19"/>
                <w:szCs w:val="19"/>
              </w:rPr>
              <w:t xml:space="preserve">Recette, formation, déploiement pilote sur un site</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4 à 6 semaines</w:t>
            </w:r>
          </w:p>
        </w:tc>
      </w:tr>
      <w:tr>
        <w:tc>
          <w:tcPr>
            <w:tcW w:type="dxa" w:w="16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Phase 4</w:t>
            </w:r>
          </w:p>
        </w:tc>
        <w:tc>
          <w:tcPr>
            <w:tcW w:type="dxa" w:w="38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Généralisation multi-sites, stabilisation, amélioration continue</w:t>
            </w:r>
          </w:p>
        </w:tc>
        <w:tc>
          <w:tcPr>
            <w:tcW w:type="dxa" w:w="42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En continu</w:t>
            </w:r>
          </w:p>
        </w:tc>
      </w:tr>
    </w:tbl>
    <w:p>
      <w:r>
        <w:br w:type="page"/>
      </w:r>
    </w:p>
    <w:p>
      <w:pPr>
        <w:pStyle w:val="Heading1"/>
        <w:pBdr>
          <w:bottom w:val="single" w:color="1F3864" w:sz="6" w:space="4"/>
        </w:pBdr>
        <w:spacing w:after="200" w:before="400"/>
      </w:pPr>
      <w:r>
        <w:rPr>
          <w:b/>
          <w:bCs/>
          <w:color w:val="1F3864"/>
          <w:sz w:val="30"/>
          <w:szCs w:val="30"/>
        </w:rPr>
        <w:t xml:space="preserve">11. Critères de sélection du prestataire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400"/>
        <w:gridCol w:w="2100"/>
        <w:gridCol w:w="2100"/>
      </w:tblGrid>
      <w:tr>
        <w:tc>
          <w:tcPr>
            <w:tcW w:type="dxa" w:w="5400"/>
            <w:shd w:fill="1F3864" w:val="clear"/>
            <w:tcMar>
              <w:top w:type="dxa" w:w="80"/>
              <w:left w:type="dxa" w:w="100"/>
              <w:bottom w:type="dxa" w:w="80"/>
              <w:right w:type="dxa" w:w="100"/>
            </w:tcMar>
            <w:vAlign w:val="center"/>
          </w:tcPr>
          <w:p>
            <w:pPr>
              <w:jc w:val="left"/>
            </w:pPr>
            <w:r>
              <w:rPr>
                <w:b/>
                <w:bCs/>
                <w:color w:val="FFFFFF"/>
                <w:sz w:val="19"/>
                <w:szCs w:val="19"/>
              </w:rPr>
              <w:t xml:space="preserve">Critère</w:t>
            </w:r>
          </w:p>
        </w:tc>
        <w:tc>
          <w:tcPr>
            <w:tcW w:type="dxa" w:w="2100"/>
            <w:shd w:fill="1F3864" w:val="clear"/>
            <w:tcMar>
              <w:top w:type="dxa" w:w="80"/>
              <w:left w:type="dxa" w:w="100"/>
              <w:bottom w:type="dxa" w:w="80"/>
              <w:right w:type="dxa" w:w="100"/>
            </w:tcMar>
            <w:vAlign w:val="center"/>
          </w:tcPr>
          <w:p>
            <w:pPr>
              <w:jc w:val="left"/>
            </w:pPr>
            <w:r>
              <w:rPr>
                <w:b/>
                <w:bCs/>
                <w:color w:val="FFFFFF"/>
                <w:sz w:val="19"/>
                <w:szCs w:val="19"/>
              </w:rPr>
              <w:t xml:space="preserve">Pondération</w:t>
            </w:r>
          </w:p>
        </w:tc>
        <w:tc>
          <w:tcPr>
            <w:tcW w:type="dxa" w:w="2100"/>
            <w:shd w:fill="1F3864" w:val="clear"/>
            <w:tcMar>
              <w:top w:type="dxa" w:w="80"/>
              <w:left w:type="dxa" w:w="100"/>
              <w:bottom w:type="dxa" w:w="80"/>
              <w:right w:type="dxa" w:w="100"/>
            </w:tcMar>
            <w:vAlign w:val="center"/>
          </w:tcPr>
          <w:p>
            <w:pPr>
              <w:jc w:val="left"/>
            </w:pPr>
            <w:r>
              <w:rPr>
                <w:b/>
                <w:bCs/>
                <w:color w:val="FFFFFF"/>
                <w:sz w:val="19"/>
                <w:szCs w:val="19"/>
              </w:rPr>
              <w:t xml:space="preserve">Notation</w:t>
            </w:r>
          </w:p>
        </w:tc>
      </w:tr>
      <w:tr>
        <w:tc>
          <w:tcPr>
            <w:tcW w:type="dxa" w:w="54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Adéquation fonctionnelle avec le cahier des charges</w:t>
            </w:r>
          </w:p>
        </w:tc>
        <w:tc>
          <w:tcPr>
            <w:tcW w:type="dxa" w:w="2100"/>
            <w:shd w:fill="DCE6F1" w:val="clear"/>
            <w:tcMar>
              <w:top w:type="dxa" w:w="80"/>
              <w:left w:type="dxa" w:w="100"/>
              <w:bottom w:type="dxa" w:w="80"/>
              <w:right w:type="dxa" w:w="100"/>
            </w:tcMar>
            <w:vAlign w:val="center"/>
          </w:tcPr>
          <w:p>
            <w:pPr>
              <w:jc w:val="center"/>
            </w:pPr>
            <w:r>
              <w:rPr>
                <w:b w:val="false"/>
                <w:bCs w:val="false"/>
                <w:color w:val="000000"/>
                <w:sz w:val="19"/>
                <w:szCs w:val="19"/>
              </w:rPr>
              <w:t xml:space="preserve">30 %</w:t>
            </w:r>
          </w:p>
        </w:tc>
        <w:tc>
          <w:tcPr>
            <w:tcW w:type="dxa" w:w="2100"/>
            <w:shd w:fill="DCE6F1" w:val="clear"/>
            <w:tcMar>
              <w:top w:type="dxa" w:w="80"/>
              <w:left w:type="dxa" w:w="100"/>
              <w:bottom w:type="dxa" w:w="80"/>
              <w:right w:type="dxa" w:w="100"/>
            </w:tcMar>
            <w:vAlign w:val="center"/>
          </w:tcPr>
          <w:p>
            <w:pPr>
              <w:jc w:val="center"/>
            </w:pPr>
            <w:r>
              <w:rPr>
                <w:b w:val="false"/>
                <w:bCs w:val="false"/>
                <w:color w:val="000000"/>
                <w:sz w:val="19"/>
                <w:szCs w:val="19"/>
              </w:rPr>
              <w:t xml:space="preserve">/10</w:t>
            </w:r>
          </w:p>
        </w:tc>
      </w:tr>
      <w:tr>
        <w:tc>
          <w:tcPr>
            <w:tcW w:type="dxa" w:w="5400"/>
            <w:tcMar>
              <w:top w:type="dxa" w:w="80"/>
              <w:left w:type="dxa" w:w="100"/>
              <w:bottom w:type="dxa" w:w="80"/>
              <w:right w:type="dxa" w:w="100"/>
            </w:tcMar>
            <w:vAlign w:val="center"/>
          </w:tcPr>
          <w:p>
            <w:pPr>
              <w:jc w:val="left"/>
            </w:pPr>
            <w:r>
              <w:rPr>
                <w:b w:val="false"/>
                <w:bCs w:val="false"/>
                <w:color w:val="000000"/>
                <w:sz w:val="19"/>
                <w:szCs w:val="19"/>
              </w:rPr>
              <w:t xml:space="preserve">Références secteur automobile / SAV</w:t>
            </w:r>
          </w:p>
        </w:tc>
        <w:tc>
          <w:tcPr>
            <w:tcW w:type="dxa" w:w="2100"/>
            <w:tcMar>
              <w:top w:type="dxa" w:w="80"/>
              <w:left w:type="dxa" w:w="100"/>
              <w:bottom w:type="dxa" w:w="80"/>
              <w:right w:type="dxa" w:w="100"/>
            </w:tcMar>
            <w:vAlign w:val="center"/>
          </w:tcPr>
          <w:p>
            <w:pPr>
              <w:jc w:val="center"/>
            </w:pPr>
            <w:r>
              <w:rPr>
                <w:b w:val="false"/>
                <w:bCs w:val="false"/>
                <w:color w:val="000000"/>
                <w:sz w:val="19"/>
                <w:szCs w:val="19"/>
              </w:rPr>
              <w:t xml:space="preserve">20 %</w:t>
            </w:r>
          </w:p>
        </w:tc>
        <w:tc>
          <w:tcPr>
            <w:tcW w:type="dxa" w:w="2100"/>
            <w:tcMar>
              <w:top w:type="dxa" w:w="80"/>
              <w:left w:type="dxa" w:w="100"/>
              <w:bottom w:type="dxa" w:w="80"/>
              <w:right w:type="dxa" w:w="100"/>
            </w:tcMar>
            <w:vAlign w:val="center"/>
          </w:tcPr>
          <w:p>
            <w:pPr>
              <w:jc w:val="center"/>
            </w:pPr>
            <w:r>
              <w:rPr>
                <w:b w:val="false"/>
                <w:bCs w:val="false"/>
                <w:color w:val="000000"/>
                <w:sz w:val="19"/>
                <w:szCs w:val="19"/>
              </w:rPr>
              <w:t xml:space="preserve">/10</w:t>
            </w:r>
          </w:p>
        </w:tc>
      </w:tr>
      <w:tr>
        <w:tc>
          <w:tcPr>
            <w:tcW w:type="dxa" w:w="54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Capacité d'intégration avec DMS/ERP existants</w:t>
            </w:r>
          </w:p>
        </w:tc>
        <w:tc>
          <w:tcPr>
            <w:tcW w:type="dxa" w:w="2100"/>
            <w:shd w:fill="DCE6F1" w:val="clear"/>
            <w:tcMar>
              <w:top w:type="dxa" w:w="80"/>
              <w:left w:type="dxa" w:w="100"/>
              <w:bottom w:type="dxa" w:w="80"/>
              <w:right w:type="dxa" w:w="100"/>
            </w:tcMar>
            <w:vAlign w:val="center"/>
          </w:tcPr>
          <w:p>
            <w:pPr>
              <w:jc w:val="center"/>
            </w:pPr>
            <w:r>
              <w:rPr>
                <w:b w:val="false"/>
                <w:bCs w:val="false"/>
                <w:color w:val="000000"/>
                <w:sz w:val="19"/>
                <w:szCs w:val="19"/>
              </w:rPr>
              <w:t xml:space="preserve">15 %</w:t>
            </w:r>
          </w:p>
        </w:tc>
        <w:tc>
          <w:tcPr>
            <w:tcW w:type="dxa" w:w="2100"/>
            <w:shd w:fill="DCE6F1" w:val="clear"/>
            <w:tcMar>
              <w:top w:type="dxa" w:w="80"/>
              <w:left w:type="dxa" w:w="100"/>
              <w:bottom w:type="dxa" w:w="80"/>
              <w:right w:type="dxa" w:w="100"/>
            </w:tcMar>
            <w:vAlign w:val="center"/>
          </w:tcPr>
          <w:p>
            <w:pPr>
              <w:jc w:val="center"/>
            </w:pPr>
            <w:r>
              <w:rPr>
                <w:b w:val="false"/>
                <w:bCs w:val="false"/>
                <w:color w:val="000000"/>
                <w:sz w:val="19"/>
                <w:szCs w:val="19"/>
              </w:rPr>
              <w:t xml:space="preserve">/10</w:t>
            </w:r>
          </w:p>
        </w:tc>
      </w:tr>
      <w:tr>
        <w:tc>
          <w:tcPr>
            <w:tcW w:type="dxa" w:w="5400"/>
            <w:tcMar>
              <w:top w:type="dxa" w:w="80"/>
              <w:left w:type="dxa" w:w="100"/>
              <w:bottom w:type="dxa" w:w="80"/>
              <w:right w:type="dxa" w:w="100"/>
            </w:tcMar>
            <w:vAlign w:val="center"/>
          </w:tcPr>
          <w:p>
            <w:pPr>
              <w:jc w:val="left"/>
            </w:pPr>
            <w:r>
              <w:rPr>
                <w:b w:val="false"/>
                <w:bCs w:val="false"/>
                <w:color w:val="000000"/>
                <w:sz w:val="19"/>
                <w:szCs w:val="19"/>
              </w:rPr>
              <w:t xml:space="preserve">Coût total (licence, développement, maintenance)</w:t>
            </w:r>
          </w:p>
        </w:tc>
        <w:tc>
          <w:tcPr>
            <w:tcW w:type="dxa" w:w="2100"/>
            <w:tcMar>
              <w:top w:type="dxa" w:w="80"/>
              <w:left w:type="dxa" w:w="100"/>
              <w:bottom w:type="dxa" w:w="80"/>
              <w:right w:type="dxa" w:w="100"/>
            </w:tcMar>
            <w:vAlign w:val="center"/>
          </w:tcPr>
          <w:p>
            <w:pPr>
              <w:jc w:val="center"/>
            </w:pPr>
            <w:r>
              <w:rPr>
                <w:b w:val="false"/>
                <w:bCs w:val="false"/>
                <w:color w:val="000000"/>
                <w:sz w:val="19"/>
                <w:szCs w:val="19"/>
              </w:rPr>
              <w:t xml:space="preserve">20 %</w:t>
            </w:r>
          </w:p>
        </w:tc>
        <w:tc>
          <w:tcPr>
            <w:tcW w:type="dxa" w:w="2100"/>
            <w:tcMar>
              <w:top w:type="dxa" w:w="80"/>
              <w:left w:type="dxa" w:w="100"/>
              <w:bottom w:type="dxa" w:w="80"/>
              <w:right w:type="dxa" w:w="100"/>
            </w:tcMar>
            <w:vAlign w:val="center"/>
          </w:tcPr>
          <w:p>
            <w:pPr>
              <w:jc w:val="center"/>
            </w:pPr>
            <w:r>
              <w:rPr>
                <w:b w:val="false"/>
                <w:bCs w:val="false"/>
                <w:color w:val="000000"/>
                <w:sz w:val="19"/>
                <w:szCs w:val="19"/>
              </w:rPr>
              <w:t xml:space="preserve">/10</w:t>
            </w:r>
          </w:p>
        </w:tc>
      </w:tr>
      <w:tr>
        <w:tc>
          <w:tcPr>
            <w:tcW w:type="dxa" w:w="54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Sécurité, conformité et hébergement des données</w:t>
            </w:r>
          </w:p>
        </w:tc>
        <w:tc>
          <w:tcPr>
            <w:tcW w:type="dxa" w:w="2100"/>
            <w:shd w:fill="DCE6F1" w:val="clear"/>
            <w:tcMar>
              <w:top w:type="dxa" w:w="80"/>
              <w:left w:type="dxa" w:w="100"/>
              <w:bottom w:type="dxa" w:w="80"/>
              <w:right w:type="dxa" w:w="100"/>
            </w:tcMar>
            <w:vAlign w:val="center"/>
          </w:tcPr>
          <w:p>
            <w:pPr>
              <w:jc w:val="center"/>
            </w:pPr>
            <w:r>
              <w:rPr>
                <w:b w:val="false"/>
                <w:bCs w:val="false"/>
                <w:color w:val="000000"/>
                <w:sz w:val="19"/>
                <w:szCs w:val="19"/>
              </w:rPr>
              <w:t xml:space="preserve">10 %</w:t>
            </w:r>
          </w:p>
        </w:tc>
        <w:tc>
          <w:tcPr>
            <w:tcW w:type="dxa" w:w="2100"/>
            <w:shd w:fill="DCE6F1" w:val="clear"/>
            <w:tcMar>
              <w:top w:type="dxa" w:w="80"/>
              <w:left w:type="dxa" w:w="100"/>
              <w:bottom w:type="dxa" w:w="80"/>
              <w:right w:type="dxa" w:w="100"/>
            </w:tcMar>
            <w:vAlign w:val="center"/>
          </w:tcPr>
          <w:p>
            <w:pPr>
              <w:jc w:val="center"/>
            </w:pPr>
            <w:r>
              <w:rPr>
                <w:b w:val="false"/>
                <w:bCs w:val="false"/>
                <w:color w:val="000000"/>
                <w:sz w:val="19"/>
                <w:szCs w:val="19"/>
              </w:rPr>
              <w:t xml:space="preserve">/10</w:t>
            </w:r>
          </w:p>
        </w:tc>
      </w:tr>
      <w:tr>
        <w:tc>
          <w:tcPr>
            <w:tcW w:type="dxa" w:w="5400"/>
            <w:tcMar>
              <w:top w:type="dxa" w:w="80"/>
              <w:left w:type="dxa" w:w="100"/>
              <w:bottom w:type="dxa" w:w="80"/>
              <w:right w:type="dxa" w:w="100"/>
            </w:tcMar>
            <w:vAlign w:val="center"/>
          </w:tcPr>
          <w:p>
            <w:pPr>
              <w:jc w:val="left"/>
            </w:pPr>
            <w:r>
              <w:rPr>
                <w:b w:val="false"/>
                <w:bCs w:val="false"/>
                <w:color w:val="000000"/>
                <w:sz w:val="19"/>
                <w:szCs w:val="19"/>
              </w:rPr>
              <w:t xml:space="preserve">Qualité du support et SLA proposés</w:t>
            </w:r>
          </w:p>
        </w:tc>
        <w:tc>
          <w:tcPr>
            <w:tcW w:type="dxa" w:w="2100"/>
            <w:tcMar>
              <w:top w:type="dxa" w:w="80"/>
              <w:left w:type="dxa" w:w="100"/>
              <w:bottom w:type="dxa" w:w="80"/>
              <w:right w:type="dxa" w:w="100"/>
            </w:tcMar>
            <w:vAlign w:val="center"/>
          </w:tcPr>
          <w:p>
            <w:pPr>
              <w:jc w:val="center"/>
            </w:pPr>
            <w:r>
              <w:rPr>
                <w:b w:val="false"/>
                <w:bCs w:val="false"/>
                <w:color w:val="000000"/>
                <w:sz w:val="19"/>
                <w:szCs w:val="19"/>
              </w:rPr>
              <w:t xml:space="preserve">5 %</w:t>
            </w:r>
          </w:p>
        </w:tc>
        <w:tc>
          <w:tcPr>
            <w:tcW w:type="dxa" w:w="2100"/>
            <w:tcMar>
              <w:top w:type="dxa" w:w="80"/>
              <w:left w:type="dxa" w:w="100"/>
              <w:bottom w:type="dxa" w:w="80"/>
              <w:right w:type="dxa" w:w="100"/>
            </w:tcMar>
            <w:vAlign w:val="center"/>
          </w:tcPr>
          <w:p>
            <w:pPr>
              <w:jc w:val="center"/>
            </w:pPr>
            <w:r>
              <w:rPr>
                <w:b w:val="false"/>
                <w:bCs w:val="false"/>
                <w:color w:val="000000"/>
                <w:sz w:val="19"/>
                <w:szCs w:val="19"/>
              </w:rPr>
              <w:t xml:space="preserve">/10</w:t>
            </w:r>
          </w:p>
        </w:tc>
      </w:tr>
    </w:tbl>
    <w:p>
      <w:pPr>
        <w:pStyle w:val="Heading1"/>
        <w:pBdr>
          <w:bottom w:val="single" w:color="1F3864" w:sz="6" w:space="4"/>
        </w:pBdr>
        <w:spacing w:after="200" w:before="400"/>
      </w:pPr>
      <w:r>
        <w:rPr>
          <w:b/>
          <w:bCs/>
          <w:color w:val="1F3864"/>
          <w:sz w:val="30"/>
          <w:szCs w:val="30"/>
        </w:rPr>
        <w:t xml:space="preserve">12. Budget estimatif indicatif</w:t>
      </w:r>
    </w:p>
    <w:p>
      <w:pPr>
        <w:spacing w:after="140" w:line="276"/>
        <w:jc w:val="both"/>
      </w:pPr>
      <w:r>
        <w:rPr>
          <w:sz w:val="21"/>
          <w:szCs w:val="21"/>
        </w:rPr>
        <w:t xml:space="preserve">Les fourchettes ci-dessous sont données à titre purement indicatif pour un projet de cette envergure et devront être affinées après cadrage détaillé avec les prestataires consultés.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3864" w:val="clear"/>
            <w:tcMar>
              <w:top w:type="dxa" w:w="80"/>
              <w:left w:type="dxa" w:w="100"/>
              <w:bottom w:type="dxa" w:w="80"/>
              <w:right w:type="dxa" w:w="100"/>
            </w:tcMar>
            <w:vAlign w:val="center"/>
          </w:tcPr>
          <w:p>
            <w:pPr>
              <w:jc w:val="left"/>
            </w:pPr>
            <w:r>
              <w:rPr>
                <w:b/>
                <w:bCs/>
                <w:color w:val="FFFFFF"/>
                <w:sz w:val="19"/>
                <w:szCs w:val="19"/>
              </w:rPr>
              <w:t xml:space="preserve">Poste</w:t>
            </w:r>
          </w:p>
        </w:tc>
        <w:tc>
          <w:tcPr>
            <w:tcW w:type="dxa" w:w="4500"/>
            <w:shd w:fill="1F3864" w:val="clear"/>
            <w:tcMar>
              <w:top w:type="dxa" w:w="80"/>
              <w:left w:type="dxa" w:w="100"/>
              <w:bottom w:type="dxa" w:w="80"/>
              <w:right w:type="dxa" w:w="100"/>
            </w:tcMar>
            <w:vAlign w:val="center"/>
          </w:tcPr>
          <w:p>
            <w:pPr>
              <w:jc w:val="left"/>
            </w:pPr>
            <w:r>
              <w:rPr>
                <w:b/>
                <w:bCs/>
                <w:color w:val="FFFFFF"/>
                <w:sz w:val="19"/>
                <w:szCs w:val="19"/>
              </w:rPr>
              <w:t xml:space="preserve">Fourchette indicative</w:t>
            </w:r>
          </w:p>
        </w:tc>
      </w:tr>
      <w:tr>
        <w:tc>
          <w:tcPr>
            <w:tcW w:type="dxa" w:w="45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Cadrage et conception (SFG/SFD, UX/UI)</w:t>
            </w:r>
          </w:p>
        </w:tc>
        <w:tc>
          <w:tcPr>
            <w:tcW w:type="dxa" w:w="45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50 000 – 120 000 MAD</w:t>
            </w:r>
          </w:p>
        </w:tc>
      </w:tr>
      <w:tr>
        <w:tc>
          <w:tcPr>
            <w:tcW w:type="dxa" w:w="4500"/>
            <w:tcMar>
              <w:top w:type="dxa" w:w="80"/>
              <w:left w:type="dxa" w:w="100"/>
              <w:bottom w:type="dxa" w:w="80"/>
              <w:right w:type="dxa" w:w="100"/>
            </w:tcMar>
            <w:vAlign w:val="center"/>
          </w:tcPr>
          <w:p>
            <w:pPr>
              <w:jc w:val="left"/>
            </w:pPr>
            <w:r>
              <w:rPr>
                <w:b w:val="false"/>
                <w:bCs w:val="false"/>
                <w:color w:val="000000"/>
                <w:sz w:val="19"/>
                <w:szCs w:val="19"/>
              </w:rPr>
              <w:t xml:space="preserve">Développement plateforme (web + mobile)</w:t>
            </w:r>
          </w:p>
        </w:tc>
        <w:tc>
          <w:tcPr>
            <w:tcW w:type="dxa" w:w="4500"/>
            <w:tcMar>
              <w:top w:type="dxa" w:w="80"/>
              <w:left w:type="dxa" w:w="100"/>
              <w:bottom w:type="dxa" w:w="80"/>
              <w:right w:type="dxa" w:w="100"/>
            </w:tcMar>
            <w:vAlign w:val="center"/>
          </w:tcPr>
          <w:p>
            <w:pPr>
              <w:jc w:val="left"/>
            </w:pPr>
            <w:r>
              <w:rPr>
                <w:b w:val="false"/>
                <w:bCs w:val="false"/>
                <w:color w:val="000000"/>
                <w:sz w:val="19"/>
                <w:szCs w:val="19"/>
              </w:rPr>
              <w:t xml:space="preserve">400 000 – 1 200 000 MAD</w:t>
            </w:r>
          </w:p>
        </w:tc>
      </w:tr>
      <w:tr>
        <w:tc>
          <w:tcPr>
            <w:tcW w:type="dxa" w:w="45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Intégrations (DMS, ERP, paiement, SMS)</w:t>
            </w:r>
          </w:p>
        </w:tc>
        <w:tc>
          <w:tcPr>
            <w:tcW w:type="dxa" w:w="45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80 000 – 250 000 MAD</w:t>
            </w:r>
          </w:p>
        </w:tc>
      </w:tr>
      <w:tr>
        <w:tc>
          <w:tcPr>
            <w:tcW w:type="dxa" w:w="4500"/>
            <w:tcMar>
              <w:top w:type="dxa" w:w="80"/>
              <w:left w:type="dxa" w:w="100"/>
              <w:bottom w:type="dxa" w:w="80"/>
              <w:right w:type="dxa" w:w="100"/>
            </w:tcMar>
            <w:vAlign w:val="center"/>
          </w:tcPr>
          <w:p>
            <w:pPr>
              <w:jc w:val="left"/>
            </w:pPr>
            <w:r>
              <w:rPr>
                <w:b w:val="false"/>
                <w:bCs w:val="false"/>
                <w:color w:val="000000"/>
                <w:sz w:val="19"/>
                <w:szCs w:val="19"/>
              </w:rPr>
              <w:t xml:space="preserve">Hébergement cloud (annuel)</w:t>
            </w:r>
          </w:p>
        </w:tc>
        <w:tc>
          <w:tcPr>
            <w:tcW w:type="dxa" w:w="4500"/>
            <w:tcMar>
              <w:top w:type="dxa" w:w="80"/>
              <w:left w:type="dxa" w:w="100"/>
              <w:bottom w:type="dxa" w:w="80"/>
              <w:right w:type="dxa" w:w="100"/>
            </w:tcMar>
            <w:vAlign w:val="center"/>
          </w:tcPr>
          <w:p>
            <w:pPr>
              <w:jc w:val="left"/>
            </w:pPr>
            <w:r>
              <w:rPr>
                <w:b w:val="false"/>
                <w:bCs w:val="false"/>
                <w:color w:val="000000"/>
                <w:sz w:val="19"/>
                <w:szCs w:val="19"/>
              </w:rPr>
              <w:t xml:space="preserve">30 000 – 100 000 MAD/an</w:t>
            </w:r>
          </w:p>
        </w:tc>
      </w:tr>
      <w:tr>
        <w:tc>
          <w:tcPr>
            <w:tcW w:type="dxa" w:w="45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Maintenance et support (annuel)</w:t>
            </w:r>
          </w:p>
        </w:tc>
        <w:tc>
          <w:tcPr>
            <w:tcW w:type="dxa" w:w="4500"/>
            <w:shd w:fill="DCE6F1" w:val="clear"/>
            <w:tcMar>
              <w:top w:type="dxa" w:w="80"/>
              <w:left w:type="dxa" w:w="100"/>
              <w:bottom w:type="dxa" w:w="80"/>
              <w:right w:type="dxa" w:w="100"/>
            </w:tcMar>
            <w:vAlign w:val="center"/>
          </w:tcPr>
          <w:p>
            <w:pPr>
              <w:jc w:val="left"/>
            </w:pPr>
            <w:r>
              <w:rPr>
                <w:b w:val="false"/>
                <w:bCs w:val="false"/>
                <w:color w:val="000000"/>
                <w:sz w:val="19"/>
                <w:szCs w:val="19"/>
              </w:rPr>
              <w:t xml:space="preserve">10 à 20 % du coût de développement</w:t>
            </w:r>
          </w:p>
        </w:tc>
      </w:tr>
    </w:tbl>
    <w:p>
      <w:r>
        <w:br w:type="page"/>
      </w:r>
    </w:p>
    <w:p>
      <w:pPr>
        <w:pStyle w:val="Heading1"/>
        <w:pBdr>
          <w:bottom w:val="single" w:color="1F3864" w:sz="6" w:space="4"/>
        </w:pBdr>
        <w:spacing w:after="200" w:before="400"/>
      </w:pPr>
      <w:r>
        <w:rPr>
          <w:b/>
          <w:bCs/>
          <w:color w:val="1F3864"/>
          <w:sz w:val="30"/>
          <w:szCs w:val="30"/>
        </w:rPr>
        <w:t xml:space="preserve">13. Annexes</w:t>
      </w:r>
    </w:p>
    <w:p>
      <w:pPr>
        <w:pStyle w:val="Heading2"/>
        <w:spacing w:after="140" w:before="260"/>
      </w:pPr>
      <w:r>
        <w:rPr>
          <w:b/>
          <w:bCs/>
          <w:color w:val="2E5C8A"/>
          <w:sz w:val="24"/>
          <w:szCs w:val="24"/>
        </w:rPr>
        <w:t xml:space="preserve">13.1 Glossaire</w:t>
      </w:r>
    </w:p>
    <w:p>
      <w:pPr>
        <w:pStyle w:val="ListParagraph"/>
        <w:numPr>
          <w:ilvl w:val="0"/>
          <w:numId w:val="2"/>
        </w:numPr>
        <w:spacing w:after="60" w:line="276"/>
      </w:pPr>
      <w:r>
        <w:rPr>
          <w:b/>
          <w:bCs/>
          <w:sz w:val="21"/>
          <w:szCs w:val="21"/>
        </w:rPr>
        <w:t xml:space="preserve">DMS : </w:t>
      </w:r>
      <w:r>
        <w:rPr>
          <w:sz w:val="21"/>
          <w:szCs w:val="21"/>
        </w:rPr>
        <w:t xml:space="preserve">Dealer Management System, logiciel de gestion de concession fourni par le constructeur.</w:t>
      </w:r>
    </w:p>
    <w:p>
      <w:pPr>
        <w:pStyle w:val="ListParagraph"/>
        <w:numPr>
          <w:ilvl w:val="0"/>
          <w:numId w:val="2"/>
        </w:numPr>
        <w:spacing w:after="60" w:line="276"/>
      </w:pPr>
      <w:r>
        <w:rPr>
          <w:b/>
          <w:bCs/>
          <w:sz w:val="21"/>
          <w:szCs w:val="21"/>
        </w:rPr>
        <w:t xml:space="preserve">OR : </w:t>
      </w:r>
      <w:r>
        <w:rPr>
          <w:sz w:val="21"/>
          <w:szCs w:val="21"/>
        </w:rPr>
        <w:t xml:space="preserve">Ordre de Réparation, document de suivi d'une intervention atelier.</w:t>
      </w:r>
    </w:p>
    <w:p>
      <w:pPr>
        <w:pStyle w:val="ListParagraph"/>
        <w:numPr>
          <w:ilvl w:val="0"/>
          <w:numId w:val="2"/>
        </w:numPr>
        <w:spacing w:after="60" w:line="276"/>
      </w:pPr>
      <w:r>
        <w:rPr>
          <w:b/>
          <w:bCs/>
          <w:sz w:val="21"/>
          <w:szCs w:val="21"/>
        </w:rPr>
        <w:t xml:space="preserve">SAV : </w:t>
      </w:r>
      <w:r>
        <w:rPr>
          <w:sz w:val="21"/>
          <w:szCs w:val="21"/>
        </w:rPr>
        <w:t xml:space="preserve">Service Après-Vente.</w:t>
      </w:r>
    </w:p>
    <w:p>
      <w:pPr>
        <w:pStyle w:val="ListParagraph"/>
        <w:numPr>
          <w:ilvl w:val="0"/>
          <w:numId w:val="2"/>
        </w:numPr>
        <w:spacing w:after="60" w:line="276"/>
      </w:pPr>
      <w:r>
        <w:rPr>
          <w:b/>
          <w:bCs/>
          <w:sz w:val="21"/>
          <w:szCs w:val="21"/>
        </w:rPr>
        <w:t xml:space="preserve">NPS / CSAT : </w:t>
      </w:r>
      <w:r>
        <w:rPr>
          <w:sz w:val="21"/>
          <w:szCs w:val="21"/>
        </w:rPr>
        <w:t xml:space="preserve">indicateurs de satisfaction client (Net Promoter Score / Customer Satisfaction Score).</w:t>
      </w:r>
    </w:p>
    <w:p>
      <w:pPr>
        <w:pStyle w:val="ListParagraph"/>
        <w:numPr>
          <w:ilvl w:val="0"/>
          <w:numId w:val="2"/>
        </w:numPr>
        <w:spacing w:after="60" w:line="276"/>
      </w:pPr>
      <w:r>
        <w:rPr>
          <w:b/>
          <w:bCs/>
          <w:sz w:val="21"/>
          <w:szCs w:val="21"/>
        </w:rPr>
        <w:t xml:space="preserve">MRA : </w:t>
      </w:r>
      <w:r>
        <w:rPr>
          <w:sz w:val="21"/>
          <w:szCs w:val="21"/>
        </w:rPr>
        <w:t xml:space="preserve">Mécanicien Réparateur Agréé / réparateur indépendant, concurrent du réseau constructeur.</w:t>
      </w:r>
    </w:p>
    <w:p>
      <w:pPr>
        <w:pStyle w:val="ListParagraph"/>
        <w:numPr>
          <w:ilvl w:val="0"/>
          <w:numId w:val="2"/>
        </w:numPr>
        <w:spacing w:after="60" w:line="276"/>
      </w:pPr>
      <w:r>
        <w:rPr>
          <w:b/>
          <w:bCs/>
          <w:sz w:val="21"/>
          <w:szCs w:val="21"/>
        </w:rPr>
        <w:t xml:space="preserve">CNDP : </w:t>
      </w:r>
      <w:r>
        <w:rPr>
          <w:sz w:val="21"/>
          <w:szCs w:val="21"/>
        </w:rPr>
        <w:t xml:space="preserve">Commission Nationale de contrôle de la protection des Données à caractère Personnel (Maroc).</w:t>
      </w:r>
    </w:p>
    <w:p>
      <w:pPr>
        <w:pStyle w:val="Heading2"/>
        <w:spacing w:after="140" w:before="260"/>
      </w:pPr>
      <w:r>
        <w:rPr>
          <w:b/>
          <w:bCs/>
          <w:color w:val="2E5C8A"/>
          <w:sz w:val="24"/>
          <w:szCs w:val="24"/>
        </w:rPr>
        <w:t xml:space="preserve">13.2 Exemple de parcours client SAV (illustratif)</w:t>
      </w:r>
    </w:p>
    <w:p>
      <w:pPr>
        <w:pStyle w:val="ListParagraph"/>
        <w:numPr>
          <w:ilvl w:val="0"/>
          <w:numId w:val="2"/>
        </w:numPr>
        <w:spacing w:after="60" w:line="276"/>
      </w:pPr>
      <w:r>
        <w:rPr>
          <w:sz w:val="21"/>
          <w:szCs w:val="21"/>
        </w:rPr>
        <w:t xml:space="preserve">1. Le client reçoit une notification de rappel d'entretien (kilométrage atteint).</w:t>
      </w:r>
    </w:p>
    <w:p>
      <w:pPr>
        <w:pStyle w:val="ListParagraph"/>
        <w:numPr>
          <w:ilvl w:val="0"/>
          <w:numId w:val="2"/>
        </w:numPr>
        <w:spacing w:after="60" w:line="276"/>
      </w:pPr>
      <w:r>
        <w:rPr>
          <w:sz w:val="21"/>
          <w:szCs w:val="21"/>
        </w:rPr>
        <w:t xml:space="preserve">2. Il prend rendez-vous en ligne via le portail ou l'application mobile.</w:t>
      </w:r>
    </w:p>
    <w:p>
      <w:pPr>
        <w:pStyle w:val="ListParagraph"/>
        <w:numPr>
          <w:ilvl w:val="0"/>
          <w:numId w:val="2"/>
        </w:numPr>
        <w:spacing w:after="60" w:line="276"/>
      </w:pPr>
      <w:r>
        <w:rPr>
          <w:sz w:val="21"/>
          <w:szCs w:val="21"/>
        </w:rPr>
        <w:t xml:space="preserve">3. Le jour J, il dépose son véhicule ; un état des lieux photo est réalisé.</w:t>
      </w:r>
    </w:p>
    <w:p>
      <w:pPr>
        <w:pStyle w:val="ListParagraph"/>
        <w:numPr>
          <w:ilvl w:val="0"/>
          <w:numId w:val="2"/>
        </w:numPr>
        <w:spacing w:after="60" w:line="276"/>
      </w:pPr>
      <w:r>
        <w:rPr>
          <w:sz w:val="21"/>
          <w:szCs w:val="21"/>
        </w:rPr>
        <w:t xml:space="preserve">4. Le technicien effectue le diagnostic et une éventuelle opération complémentaire est proposée via devis en ligne.</w:t>
      </w:r>
    </w:p>
    <w:p>
      <w:pPr>
        <w:pStyle w:val="ListParagraph"/>
        <w:numPr>
          <w:ilvl w:val="0"/>
          <w:numId w:val="2"/>
        </w:numPr>
        <w:spacing w:after="60" w:line="276"/>
      </w:pPr>
      <w:r>
        <w:rPr>
          <w:sz w:val="21"/>
          <w:szCs w:val="21"/>
        </w:rPr>
        <w:t xml:space="preserve">5. Le client valide le devis à distance (signature électronique).</w:t>
      </w:r>
    </w:p>
    <w:p>
      <w:pPr>
        <w:pStyle w:val="ListParagraph"/>
        <w:numPr>
          <w:ilvl w:val="0"/>
          <w:numId w:val="2"/>
        </w:numPr>
        <w:spacing w:after="60" w:line="276"/>
      </w:pPr>
      <w:r>
        <w:rPr>
          <w:sz w:val="21"/>
          <w:szCs w:val="21"/>
        </w:rPr>
        <w:t xml:space="preserve">6. Il est notifié en temps réel de l'avancement puis de la fin de l'intervention.</w:t>
      </w:r>
    </w:p>
    <w:p>
      <w:pPr>
        <w:pStyle w:val="ListParagraph"/>
        <w:numPr>
          <w:ilvl w:val="0"/>
          <w:numId w:val="2"/>
        </w:numPr>
        <w:spacing w:after="60" w:line="276"/>
      </w:pPr>
      <w:r>
        <w:rPr>
          <w:sz w:val="21"/>
          <w:szCs w:val="21"/>
        </w:rPr>
        <w:t xml:space="preserve">7. Il règle la facture en ligne ou sur place et récupère son véhicule.</w:t>
      </w:r>
    </w:p>
    <w:p>
      <w:pPr>
        <w:pStyle w:val="ListParagraph"/>
        <w:numPr>
          <w:ilvl w:val="0"/>
          <w:numId w:val="2"/>
        </w:numPr>
        <w:spacing w:after="60" w:line="276"/>
      </w:pPr>
      <w:r>
        <w:rPr>
          <w:sz w:val="21"/>
          <w:szCs w:val="21"/>
        </w:rPr>
        <w:t xml:space="preserve">8. Une enquête de satisfaction est envoyée automatiquement le lendemain.</w:t>
      </w:r>
    </w:p>
    <w:p>
      <w:pPr>
        <w:pStyle w:val="Heading2"/>
        <w:spacing w:after="140" w:before="260"/>
      </w:pPr>
      <w:r>
        <w:rPr>
          <w:b/>
          <w:bCs/>
          <w:color w:val="2E5C8A"/>
          <w:sz w:val="24"/>
          <w:szCs w:val="24"/>
        </w:rPr>
        <w:t xml:space="preserve">13.3 Sources de benchmark ayant enrichi ce document</w:t>
      </w:r>
    </w:p>
    <w:p>
      <w:pPr>
        <w:pStyle w:val="ListParagraph"/>
        <w:numPr>
          <w:ilvl w:val="0"/>
          <w:numId w:val="2"/>
        </w:numPr>
        <w:spacing w:after="60" w:line="276"/>
      </w:pPr>
      <w:r>
        <w:rPr>
          <w:b/>
          <w:bCs/>
          <w:sz w:val="21"/>
          <w:szCs w:val="21"/>
        </w:rPr>
        <w:t xml:space="preserve">Crystal Auto (Crystal IT, Maroc) : </w:t>
      </w:r>
      <w:r>
        <w:rPr>
          <w:sz w:val="21"/>
          <w:szCs w:val="21"/>
        </w:rPr>
        <w:t xml:space="preserve">DMS/CRM local — VN/VO, atelier &amp; SAV, CRM, tableaux de bord temps réel.</w:t>
      </w:r>
    </w:p>
    <w:p>
      <w:pPr>
        <w:pStyle w:val="ListParagraph"/>
        <w:numPr>
          <w:ilvl w:val="0"/>
          <w:numId w:val="2"/>
        </w:numPr>
        <w:spacing w:after="60" w:line="276"/>
      </w:pPr>
      <w:r>
        <w:rPr>
          <w:b/>
          <w:bCs/>
          <w:sz w:val="21"/>
          <w:szCs w:val="21"/>
        </w:rPr>
        <w:t xml:space="preserve">Nextlane (ex-Imaweb) : </w:t>
      </w:r>
      <w:r>
        <w:rPr>
          <w:sz w:val="21"/>
          <w:szCs w:val="21"/>
        </w:rPr>
        <w:t xml:space="preserve">DMS+CRM européen — LeadHub IA, Appointment Center dédié à la prise de RDV SAV.</w:t>
      </w:r>
    </w:p>
    <w:p>
      <w:pPr>
        <w:pStyle w:val="ListParagraph"/>
        <w:numPr>
          <w:ilvl w:val="0"/>
          <w:numId w:val="2"/>
        </w:numPr>
        <w:spacing w:after="60" w:line="276"/>
      </w:pPr>
      <w:r>
        <w:rPr>
          <w:b/>
          <w:bCs/>
          <w:sz w:val="21"/>
          <w:szCs w:val="21"/>
        </w:rPr>
        <w:t xml:space="preserve">CRM 360 — DATAFIRST I'Car Systems (démonstration vidéo) : </w:t>
      </w:r>
      <w:r>
        <w:rPr>
          <w:sz w:val="21"/>
          <w:szCs w:val="21"/>
        </w:rPr>
        <w:t xml:space="preserve">base clients unique multi-société/multi-marque avec dédoublonnage automatique, agendas synchronisés Outlook/Gmail, édition automatique de liasses documentaires, interface bidirectionnelle avec le DMS, déclenchement automatique des plans de fidélisation à la livraison.</w:t>
      </w:r>
    </w:p>
    <w:p>
      <w:pPr>
        <w:pStyle w:val="ListParagraph"/>
        <w:numPr>
          <w:ilvl w:val="0"/>
          <w:numId w:val="2"/>
        </w:numPr>
        <w:spacing w:after="60" w:line="276"/>
      </w:pPr>
      <w:r>
        <w:rPr>
          <w:b/>
          <w:bCs/>
          <w:sz w:val="21"/>
          <w:szCs w:val="21"/>
        </w:rPr>
        <w:t xml:space="preserve">Réceptionnaire après-vente — OPCO Mobilités (portrait métier vidéo) : </w:t>
      </w:r>
      <w:r>
        <w:rPr>
          <w:sz w:val="21"/>
          <w:szCs w:val="21"/>
        </w:rPr>
        <w:t xml:space="preserve">qualification du motif de visite (entretien, diagnostic, carrosserie), vente additionnelle à l'accueil, dispatching de l'OR vers l'équipe compétente, prise d'un horaire de restitution dès l'accueil — a permis d'affiner le workflow opérationnel réel du parcours SAV, dont un circuit dédié carrosserie/sinistres.</w:t>
      </w:r>
    </w:p>
    <w:p>
      <w:pPr>
        <w:pStyle w:val="ListParagraph"/>
        <w:numPr>
          <w:ilvl w:val="0"/>
          <w:numId w:val="2"/>
        </w:numPr>
        <w:spacing w:after="60" w:line="276"/>
      </w:pPr>
      <w:r>
        <w:rPr>
          <w:b/>
          <w:bCs/>
          <w:sz w:val="21"/>
          <w:szCs w:val="21"/>
        </w:rPr>
        <w:t xml:space="preserve">Site officiel Auto Hall — service après-vente (client réel du projet) : </w:t>
      </w:r>
      <w:r>
        <w:rPr>
          <w:sz w:val="21"/>
          <w:szCs w:val="21"/>
        </w:rPr>
        <w:t xml:space="preserve">parcours de RDV guidé en étapes, réseau de 39 ateliers certifiés, prestations SAV détaillées (entretien, mécanique/électricité, carrosserie agréée assurances, pièces d'origine), localisateur d'ateliers par ville/service, crédit SAV avec simulateur en ligne, forfaits Best-Cost et Carrosserie Rapide, application mobile MyAutoHall, certification ISO 9001.</w:t>
      </w:r>
    </w:p>
    <w:p>
      <w:pPr>
        <w:pStyle w:val="ListParagraph"/>
        <w:numPr>
          <w:ilvl w:val="0"/>
          <w:numId w:val="2"/>
        </w:numPr>
        <w:spacing w:after="60" w:line="276"/>
      </w:pPr>
      <w:r>
        <w:rPr>
          <w:b/>
          <w:bCs/>
          <w:sz w:val="21"/>
          <w:szCs w:val="21"/>
        </w:rPr>
        <w:t xml:space="preserve">Fixi.ma (comparateur/marketplace de garages au Maroc) : </w:t>
      </w:r>
      <w:r>
        <w:rPr>
          <w:sz w:val="21"/>
          <w:szCs w:val="21"/>
        </w:rPr>
        <w:t xml:space="preserve">taxonomie de services par domaine (pneumatique, mécanique, climatisation &amp; confort, électricité, contrôle, esthétique, carrosserie), coffre-fort documentaire véhicule côté client (assurance, vignette, carte grise) avec rappels d'échéance, collecte d'avis clients vérifiés par établissement.</w:t>
      </w:r>
    </w:p>
    <w:p>
      <w:pPr>
        <w:spacing w:before="400"/>
      </w:pPr>
    </w:p>
    <w:p>
      <w:pPr>
        <w:pBdr>
          <w:top w:val="single" w:color="1F3864" w:sz="6" w:space="8"/>
        </w:pBdr>
        <w:spacing w:before="200"/>
      </w:pPr>
      <w:r>
        <w:rPr>
          <w:i/>
          <w:iCs/>
          <w:color w:val="595959"/>
          <w:sz w:val="18"/>
          <w:szCs w:val="18"/>
        </w:rPr>
        <w:t xml:space="preserve">Document de cadrage préliminaire — à valider et enrichir conjointement avec les équipes métier avant diffusion aux prestataires.</w:t>
      </w:r>
    </w:p>
    <w:sectPr>
      <w:pgSz w:w="11906" w:h="16838"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2026-08-19T17:19:46.837Z</dcterms:created>
  <dcterms:modified xsi:type="dcterms:W3CDTF">2026-08-19T17:19:46.839Z</dcterms:modified>
</cp:coreProperties>
</file>

<file path=docProps/custom.xml><?xml version="1.0" encoding="utf-8"?>
<Properties xmlns="http://schemas.openxmlformats.org/officeDocument/2006/custom-properties" xmlns:vt="http://schemas.openxmlformats.org/officeDocument/2006/docPropsVTypes"/>
</file>