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00"/>
        <w:jc w:val="center"/>
      </w:pPr>
      <w:r>
        <w:rPr>
          <w:b/>
          <w:bCs/>
          <w:color w:val="0F4C81"/>
          <w:sz w:val="64"/>
          <w:szCs w:val="64"/>
        </w:rPr>
        <w:t xml:space="preserve">Syndic</w:t>
      </w:r>
      <w:r>
        <w:rPr>
          <w:b/>
          <w:bCs/>
          <w:color w:val="E87722"/>
          <w:sz w:val="64"/>
          <w:szCs w:val="64"/>
        </w:rPr>
        <w:t xml:space="preserve">360</w:t>
      </w:r>
    </w:p>
    <w:p>
      <w:pPr>
        <w:spacing w:after="300"/>
        <w:jc w:val="center"/>
      </w:pPr>
      <w:r>
        <w:rPr>
          <w:i/>
          <w:iCs/>
          <w:color w:val="6B7280"/>
          <w:sz w:val="26"/>
          <w:szCs w:val="26"/>
        </w:rPr>
        <w:t xml:space="preserve">Gérez votre copropriété à 360°</w:t>
      </w:r>
    </w:p>
    <w:p>
      <w:pPr>
        <w:spacing w:after="100"/>
        <w:jc w:val="center"/>
      </w:pPr>
      <w:r>
        <w:rPr>
          <w:b/>
          <w:bCs/>
          <w:color w:val="111928"/>
          <w:sz w:val="44"/>
          <w:szCs w:val="44"/>
        </w:rPr>
        <w:t xml:space="preserve">CAHIER DES CHARGES TECHNIQUE</w:t>
      </w:r>
    </w:p>
    <w:p>
      <w:pPr>
        <w:spacing w:after="80"/>
        <w:jc w:val="center"/>
      </w:pPr>
      <w:r>
        <w:rPr>
          <w:b/>
          <w:bCs/>
          <w:color w:val="111928"/>
          <w:sz w:val="32"/>
          <w:szCs w:val="32"/>
        </w:rPr>
        <w:t xml:space="preserve">Solution de Gestion de Syndic de Copropriété</w:t>
      </w:r>
    </w:p>
    <w:p>
      <w:pPr>
        <w:spacing w:after="400"/>
        <w:jc w:val="center"/>
      </w:pPr>
      <w:r>
        <w:rPr>
          <w:i/>
          <w:iCs/>
          <w:color w:val="6B7280"/>
          <w:sz w:val="24"/>
          <w:szCs w:val="24"/>
        </w:rPr>
        <w:t xml:space="preserve">Multi-Copropriété · Professionnelle &amp; Bénévole · Marché Marocain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shd w:fill="F4F7FC" w:color="auto" w:val="clear"/>
            <w:tcMar>
              <w:top w:type="dxa" w:w="80"/>
              <w:left w:type="dxa" w:w="100"/>
              <w:bottom w:type="dxa" w:w="80"/>
              <w:right w:type="dxa" w:w="100"/>
            </w:tcMar>
          </w:tcPr>
          <w:p>
            <w:pPr>
              <w:jc w:val="left"/>
            </w:pPr>
            <w:r>
              <w:rPr>
                <w:b/>
                <w:bCs/>
                <w:color w:val="111928"/>
                <w:sz w:val="20"/>
                <w:szCs w:val="20"/>
              </w:rPr>
              <w:t xml:space="preserve">Projet</w:t>
            </w:r>
          </w:p>
        </w:tc>
        <w:tc>
          <w:tcPr>
            <w:tcW w:type="dxa" w:w="4536"/>
            <w:shd w:fill="FFFFFF" w:color="auto" w:val="clear"/>
            <w:tcMar>
              <w:top w:type="dxa" w:w="80"/>
              <w:left w:type="dxa" w:w="100"/>
              <w:bottom w:type="dxa" w:w="80"/>
              <w:right w:type="dxa" w:w="100"/>
            </w:tcMar>
          </w:tcPr>
          <w:p>
            <w:pPr>
              <w:jc w:val="left"/>
            </w:pPr>
            <w:r>
              <w:rPr>
                <w:b/>
                <w:bCs/>
                <w:color w:val="0F4C81"/>
                <w:sz w:val="20"/>
                <w:szCs w:val="20"/>
              </w:rPr>
              <w:t xml:space="preserve">Syndic360</w:t>
            </w:r>
          </w:p>
        </w:tc>
      </w:tr>
      <w:tr>
        <w:tc>
          <w:tcPr>
            <w:tcW w:type="dxa" w:w="4536"/>
            <w:shd w:fill="F4F7FC" w:color="auto" w:val="clear"/>
            <w:tcMar>
              <w:top w:type="dxa" w:w="80"/>
              <w:left w:type="dxa" w:w="100"/>
              <w:bottom w:type="dxa" w:w="80"/>
              <w:right w:type="dxa" w:w="100"/>
            </w:tcMar>
          </w:tcPr>
          <w:p>
            <w:pPr>
              <w:jc w:val="left"/>
            </w:pPr>
            <w:r>
              <w:rPr>
                <w:b/>
                <w:bCs/>
                <w:color w:val="111928"/>
                <w:sz w:val="20"/>
                <w:szCs w:val="20"/>
              </w:rPr>
              <w:t xml:space="preserve">Version</w:t>
            </w:r>
          </w:p>
        </w:tc>
        <w:tc>
          <w:tcPr>
            <w:tcW w:type="dxa" w:w="4536"/>
            <w:shd w:fill="FFFFFF" w:color="auto" w:val="clear"/>
            <w:tcMar>
              <w:top w:type="dxa" w:w="80"/>
              <w:left w:type="dxa" w:w="100"/>
              <w:bottom w:type="dxa" w:w="80"/>
              <w:right w:type="dxa" w:w="100"/>
            </w:tcMar>
          </w:tcPr>
          <w:p>
            <w:pPr>
              <w:jc w:val="left"/>
            </w:pPr>
            <w:r>
              <w:rPr>
                <w:b w:val="false"/>
                <w:bCs w:val="false"/>
                <w:color w:val="111928"/>
                <w:sz w:val="20"/>
                <w:szCs w:val="20"/>
              </w:rPr>
              <w:t xml:space="preserve">2.0 — Document destiné à Claude Code</w:t>
            </w:r>
          </w:p>
        </w:tc>
      </w:tr>
      <w:tr>
        <w:tc>
          <w:tcPr>
            <w:tcW w:type="dxa" w:w="4536"/>
            <w:shd w:fill="F4F7FC" w:color="auto" w:val="clear"/>
            <w:tcMar>
              <w:top w:type="dxa" w:w="80"/>
              <w:left w:type="dxa" w:w="100"/>
              <w:bottom w:type="dxa" w:w="80"/>
              <w:right w:type="dxa" w:w="100"/>
            </w:tcMar>
          </w:tcPr>
          <w:p>
            <w:pPr>
              <w:jc w:val="left"/>
            </w:pPr>
            <w:r>
              <w:rPr>
                <w:b/>
                <w:bCs/>
                <w:color w:val="111928"/>
                <w:sz w:val="20"/>
                <w:szCs w:val="20"/>
              </w:rPr>
              <w:t xml:space="preserve">Date</w:t>
            </w:r>
          </w:p>
        </w:tc>
        <w:tc>
          <w:tcPr>
            <w:tcW w:type="dxa" w:w="4536"/>
            <w:shd w:fill="FFFFFF" w:color="auto" w:val="clear"/>
            <w:tcMar>
              <w:top w:type="dxa" w:w="80"/>
              <w:left w:type="dxa" w:w="100"/>
              <w:bottom w:type="dxa" w:w="80"/>
              <w:right w:type="dxa" w:w="100"/>
            </w:tcMar>
          </w:tcPr>
          <w:p>
            <w:pPr>
              <w:jc w:val="left"/>
            </w:pPr>
            <w:r>
              <w:rPr>
                <w:b w:val="false"/>
                <w:bCs w:val="false"/>
                <w:color w:val="111928"/>
                <w:sz w:val="20"/>
                <w:szCs w:val="20"/>
              </w:rPr>
              <w:t xml:space="preserve">Juillet 2025</w:t>
            </w:r>
          </w:p>
        </w:tc>
      </w:tr>
      <w:tr>
        <w:tc>
          <w:tcPr>
            <w:tcW w:type="dxa" w:w="4536"/>
            <w:shd w:fill="F4F7FC" w:color="auto" w:val="clear"/>
            <w:tcMar>
              <w:top w:type="dxa" w:w="80"/>
              <w:left w:type="dxa" w:w="100"/>
              <w:bottom w:type="dxa" w:w="80"/>
              <w:right w:type="dxa" w:w="100"/>
            </w:tcMar>
          </w:tcPr>
          <w:p>
            <w:pPr>
              <w:jc w:val="left"/>
            </w:pPr>
            <w:r>
              <w:rPr>
                <w:b/>
                <w:bCs/>
                <w:color w:val="111928"/>
                <w:sz w:val="20"/>
                <w:szCs w:val="20"/>
              </w:rPr>
              <w:t xml:space="preserve">Domaine</w:t>
            </w:r>
          </w:p>
        </w:tc>
        <w:tc>
          <w:tcPr>
            <w:tcW w:type="dxa" w:w="4536"/>
            <w:shd w:fill="FFFFFF" w:color="auto" w:val="clear"/>
            <w:tcMar>
              <w:top w:type="dxa" w:w="80"/>
              <w:left w:type="dxa" w:w="100"/>
              <w:bottom w:type="dxa" w:w="80"/>
              <w:right w:type="dxa" w:w="100"/>
            </w:tcMar>
          </w:tcPr>
          <w:p>
            <w:pPr>
              <w:jc w:val="left"/>
            </w:pPr>
            <w:r>
              <w:rPr>
                <w:b w:val="false"/>
                <w:bCs w:val="false"/>
                <w:color w:val="111928"/>
                <w:sz w:val="20"/>
                <w:szCs w:val="20"/>
              </w:rPr>
              <w:t xml:space="preserve">syndic360.ma · syndic360.com</w:t>
            </w:r>
          </w:p>
        </w:tc>
      </w:tr>
      <w:tr>
        <w:tc>
          <w:tcPr>
            <w:tcW w:type="dxa" w:w="4536"/>
            <w:shd w:fill="F4F7FC" w:color="auto" w:val="clear"/>
            <w:tcMar>
              <w:top w:type="dxa" w:w="80"/>
              <w:left w:type="dxa" w:w="100"/>
              <w:bottom w:type="dxa" w:w="80"/>
              <w:right w:type="dxa" w:w="100"/>
            </w:tcMar>
          </w:tcPr>
          <w:p>
            <w:pPr>
              <w:jc w:val="left"/>
            </w:pPr>
            <w:r>
              <w:rPr>
                <w:b/>
                <w:bCs/>
                <w:color w:val="111928"/>
                <w:sz w:val="20"/>
                <w:szCs w:val="20"/>
              </w:rPr>
              <w:t xml:space="preserve">Marché cible</w:t>
            </w:r>
          </w:p>
        </w:tc>
        <w:tc>
          <w:tcPr>
            <w:tcW w:type="dxa" w:w="4536"/>
            <w:shd w:fill="FFFFFF" w:color="auto" w:val="clear"/>
            <w:tcMar>
              <w:top w:type="dxa" w:w="80"/>
              <w:left w:type="dxa" w:w="100"/>
              <w:bottom w:type="dxa" w:w="80"/>
              <w:right w:type="dxa" w:w="100"/>
            </w:tcMar>
          </w:tcPr>
          <w:p>
            <w:pPr>
              <w:jc w:val="left"/>
            </w:pPr>
            <w:r>
              <w:rPr>
                <w:b w:val="false"/>
                <w:bCs w:val="false"/>
                <w:color w:val="111928"/>
                <w:sz w:val="20"/>
                <w:szCs w:val="20"/>
              </w:rPr>
              <w:t xml:space="preserve">Maroc · Maghreb · Afrique francophone</w:t>
            </w:r>
          </w:p>
        </w:tc>
      </w:tr>
      <w:tr>
        <w:tc>
          <w:tcPr>
            <w:tcW w:type="dxa" w:w="4536"/>
            <w:shd w:fill="F4F7FC" w:color="auto" w:val="clear"/>
            <w:tcMar>
              <w:top w:type="dxa" w:w="80"/>
              <w:left w:type="dxa" w:w="100"/>
              <w:bottom w:type="dxa" w:w="80"/>
              <w:right w:type="dxa" w:w="100"/>
            </w:tcMar>
          </w:tcPr>
          <w:p>
            <w:pPr>
              <w:jc w:val="left"/>
            </w:pPr>
            <w:r>
              <w:rPr>
                <w:b/>
                <w:bCs/>
                <w:color w:val="111928"/>
                <w:sz w:val="20"/>
                <w:szCs w:val="20"/>
              </w:rPr>
              <w:t xml:space="preserve">Public cible</w:t>
            </w:r>
          </w:p>
        </w:tc>
        <w:tc>
          <w:tcPr>
            <w:tcW w:type="dxa" w:w="4536"/>
            <w:shd w:fill="FFFFFF" w:color="auto" w:val="clear"/>
            <w:tcMar>
              <w:top w:type="dxa" w:w="80"/>
              <w:left w:type="dxa" w:w="100"/>
              <w:bottom w:type="dxa" w:w="80"/>
              <w:right w:type="dxa" w:w="100"/>
            </w:tcMar>
          </w:tcPr>
          <w:p>
            <w:pPr>
              <w:jc w:val="left"/>
            </w:pPr>
            <w:r>
              <w:rPr>
                <w:b w:val="false"/>
                <w:bCs w:val="false"/>
                <w:color w:val="111928"/>
                <w:sz w:val="20"/>
                <w:szCs w:val="20"/>
              </w:rPr>
              <w:t xml:space="preserve">Syndics professionnels &amp; bénévoles</w:t>
            </w:r>
          </w:p>
        </w:tc>
      </w:tr>
      <w:tr>
        <w:tc>
          <w:tcPr>
            <w:tcW w:type="dxa" w:w="4536"/>
            <w:shd w:fill="F4F7FC" w:color="auto" w:val="clear"/>
            <w:tcMar>
              <w:top w:type="dxa" w:w="80"/>
              <w:left w:type="dxa" w:w="100"/>
              <w:bottom w:type="dxa" w:w="80"/>
              <w:right w:type="dxa" w:w="100"/>
            </w:tcMar>
          </w:tcPr>
          <w:p>
            <w:pPr>
              <w:jc w:val="left"/>
            </w:pPr>
            <w:r>
              <w:rPr>
                <w:b/>
                <w:bCs/>
                <w:color w:val="111928"/>
                <w:sz w:val="20"/>
                <w:szCs w:val="20"/>
              </w:rPr>
              <w:t xml:space="preserve">Type de livrable</w:t>
            </w:r>
          </w:p>
        </w:tc>
        <w:tc>
          <w:tcPr>
            <w:tcW w:type="dxa" w:w="4536"/>
            <w:shd w:fill="FFFFFF" w:color="auto" w:val="clear"/>
            <w:tcMar>
              <w:top w:type="dxa" w:w="80"/>
              <w:left w:type="dxa" w:w="100"/>
              <w:bottom w:type="dxa" w:w="80"/>
              <w:right w:type="dxa" w:w="100"/>
            </w:tcMar>
          </w:tcPr>
          <w:p>
            <w:pPr>
              <w:jc w:val="left"/>
            </w:pPr>
            <w:r>
              <w:rPr>
                <w:b w:val="false"/>
                <w:bCs w:val="false"/>
                <w:color w:val="111928"/>
                <w:sz w:val="20"/>
                <w:szCs w:val="20"/>
              </w:rPr>
              <w:t xml:space="preserve">Application web SaaS + Mobile iOS/Android</w:t>
            </w:r>
          </w:p>
        </w:tc>
      </w:tr>
      <w:tr>
        <w:tc>
          <w:tcPr>
            <w:tcW w:type="dxa" w:w="4536"/>
            <w:shd w:fill="E87722" w:color="auto" w:val="clear"/>
            <w:tcMar>
              <w:top w:type="dxa" w:w="80"/>
              <w:left w:type="dxa" w:w="100"/>
              <w:bottom w:type="dxa" w:w="80"/>
              <w:right w:type="dxa" w:w="100"/>
            </w:tcMar>
          </w:tcPr>
          <w:p>
            <w:pPr>
              <w:jc w:val="left"/>
            </w:pPr>
            <w:r>
              <w:rPr>
                <w:b/>
                <w:bCs/>
                <w:color w:val="FFFFFF"/>
                <w:sz w:val="20"/>
                <w:szCs w:val="20"/>
              </w:rPr>
              <w:t xml:space="preserve">Destinataire</w:t>
            </w:r>
          </w:p>
        </w:tc>
        <w:tc>
          <w:tcPr>
            <w:tcW w:type="dxa" w:w="4536"/>
            <w:shd w:fill="FFFFFF" w:color="auto" w:val="clear"/>
            <w:tcMar>
              <w:top w:type="dxa" w:w="80"/>
              <w:left w:type="dxa" w:w="100"/>
              <w:bottom w:type="dxa" w:w="80"/>
              <w:right w:type="dxa" w:w="100"/>
            </w:tcMar>
          </w:tcPr>
          <w:p>
            <w:pPr>
              <w:jc w:val="left"/>
            </w:pPr>
            <w:r>
              <w:rPr>
                <w:b/>
                <w:bCs/>
                <w:color w:val="E87722"/>
                <w:sz w:val="20"/>
                <w:szCs w:val="20"/>
              </w:rPr>
              <w:t xml:space="preserve">Claude Code — Développement complet</w:t>
            </w:r>
          </w:p>
        </w:tc>
      </w:tr>
    </w:tbl>
    <w:p>
      <w:pPr>
        <w:spacing w:after="80"/>
      </w:pPr>
      <w:r>
        <w:t xml:space="preserve"/>
      </w:r>
    </w:p>
    <w:p>
      <w:pPr>
        <w:spacing w:after="80"/>
      </w:pPr>
      <w:r>
        <w:t xml:space="preserve"/>
      </w:r>
    </w:p>
    <w:p>
      <w:pPr>
        <w:jc w:val="center"/>
      </w:pPr>
      <w:r>
        <w:rPr>
          <w:i/>
          <w:iCs/>
          <w:color w:val="6B7280"/>
          <w:sz w:val="18"/>
          <w:szCs w:val="18"/>
        </w:rPr>
        <w:t xml:space="preserve">Document confidentiel — Usage interne développement</w:t>
      </w:r>
    </w:p>
    <w:p>
      <w:r>
        <w:br w:type="page"/>
      </w:r>
    </w:p>
    <w:p>
      <w:pPr>
        <w:pStyle w:val="Heading1"/>
        <w:spacing w:after="200" w:before="440"/>
      </w:pPr>
      <w:r>
        <w:t xml:space="preserve">Table des matières</w:t>
      </w:r>
    </w:p>
    <w:p>
      <w:pPr>
        <w:spacing w:after="120"/>
      </w:pPr>
      <w:r>
        <w:rPr>
          <w:color w:val="111928"/>
          <w:sz w:val="22"/>
          <w:szCs w:val="22"/>
        </w:rPr>
        <w:t xml:space="preserve">1. Vision &amp; objectifs du projet</w:t>
      </w:r>
    </w:p>
    <w:p>
      <w:pPr>
        <w:spacing w:after="120"/>
      </w:pPr>
      <w:r>
        <w:rPr>
          <w:color w:val="111928"/>
          <w:sz w:val="22"/>
          <w:szCs w:val="22"/>
        </w:rPr>
        <w:t xml:space="preserve">2. Identité de marque Syndic360</w:t>
      </w:r>
    </w:p>
    <w:p>
      <w:pPr>
        <w:spacing w:after="120"/>
      </w:pPr>
      <w:r>
        <w:rPr>
          <w:color w:val="111928"/>
          <w:sz w:val="22"/>
          <w:szCs w:val="22"/>
        </w:rPr>
        <w:t xml:space="preserve">3. Parties prenantes &amp; personas</w:t>
      </w:r>
    </w:p>
    <w:p>
      <w:pPr>
        <w:spacing w:after="120"/>
      </w:pPr>
      <w:r>
        <w:rPr>
          <w:color w:val="111928"/>
          <w:sz w:val="22"/>
          <w:szCs w:val="22"/>
        </w:rPr>
        <w:t xml:space="preserve">4. Architecture technique détaillée</w:t>
      </w:r>
    </w:p>
    <w:p>
      <w:pPr>
        <w:spacing w:after="120"/>
      </w:pPr>
      <w:r>
        <w:rPr>
          <w:color w:val="111928"/>
          <w:sz w:val="22"/>
          <w:szCs w:val="22"/>
        </w:rPr>
        <w:t xml:space="preserve">5. Modèle de données</w:t>
      </w:r>
    </w:p>
    <w:p>
      <w:pPr>
        <w:spacing w:after="120"/>
      </w:pPr>
      <w:r>
        <w:rPr>
          <w:color w:val="111928"/>
          <w:sz w:val="22"/>
          <w:szCs w:val="22"/>
        </w:rPr>
        <w:t xml:space="preserve">6. Périmètre fonctionnel — 10 modules</w:t>
      </w:r>
    </w:p>
    <w:p>
      <w:pPr>
        <w:spacing w:after="120"/>
      </w:pPr>
      <w:r>
        <w:rPr>
          <w:color w:val="111928"/>
          <w:sz w:val="22"/>
          <w:szCs w:val="22"/>
        </w:rPr>
        <w:t xml:space="preserve">   6.1  Authentification &amp; gestion des accès</w:t>
      </w:r>
    </w:p>
    <w:p>
      <w:pPr>
        <w:spacing w:after="120"/>
      </w:pPr>
      <w:r>
        <w:rPr>
          <w:color w:val="111928"/>
          <w:sz w:val="22"/>
          <w:szCs w:val="22"/>
        </w:rPr>
        <w:t xml:space="preserve">   6.2  Tableau de bord multi-copropriété</w:t>
      </w:r>
    </w:p>
    <w:p>
      <w:pPr>
        <w:spacing w:after="120"/>
      </w:pPr>
      <w:r>
        <w:rPr>
          <w:color w:val="111928"/>
          <w:sz w:val="22"/>
          <w:szCs w:val="22"/>
        </w:rPr>
        <w:t xml:space="preserve">   6.3  Copropriétaires &amp; lots</w:t>
      </w:r>
    </w:p>
    <w:p>
      <w:pPr>
        <w:spacing w:after="120"/>
      </w:pPr>
      <w:r>
        <w:rPr>
          <w:color w:val="111928"/>
          <w:sz w:val="22"/>
          <w:szCs w:val="22"/>
        </w:rPr>
        <w:t xml:space="preserve">   6.4  Finances &amp; comptabilité</w:t>
      </w:r>
    </w:p>
    <w:p>
      <w:pPr>
        <w:spacing w:after="120"/>
      </w:pPr>
      <w:r>
        <w:rPr>
          <w:color w:val="111928"/>
          <w:sz w:val="22"/>
          <w:szCs w:val="22"/>
        </w:rPr>
        <w:t xml:space="preserve">   6.5  Assemblées générales &amp; vote en ligne</w:t>
      </w:r>
    </w:p>
    <w:p>
      <w:pPr>
        <w:spacing w:after="120"/>
      </w:pPr>
      <w:r>
        <w:rPr>
          <w:color w:val="111928"/>
          <w:sz w:val="22"/>
          <w:szCs w:val="22"/>
        </w:rPr>
        <w:t xml:space="preserve">   6.6  Travaux &amp; incidents</w:t>
      </w:r>
    </w:p>
    <w:p>
      <w:pPr>
        <w:spacing w:after="120"/>
      </w:pPr>
      <w:r>
        <w:rPr>
          <w:color w:val="111928"/>
          <w:sz w:val="22"/>
          <w:szCs w:val="22"/>
        </w:rPr>
        <w:t xml:space="preserve">   6.7  GED documentaire</w:t>
      </w:r>
    </w:p>
    <w:p>
      <w:pPr>
        <w:spacing w:after="120"/>
      </w:pPr>
      <w:r>
        <w:rPr>
          <w:color w:val="111928"/>
          <w:sz w:val="22"/>
          <w:szCs w:val="22"/>
        </w:rPr>
        <w:t xml:space="preserve">   6.8  Communication &amp; notifications</w:t>
      </w:r>
    </w:p>
    <w:p>
      <w:pPr>
        <w:spacing w:after="120"/>
      </w:pPr>
      <w:r>
        <w:rPr>
          <w:color w:val="111928"/>
          <w:sz w:val="22"/>
          <w:szCs w:val="22"/>
        </w:rPr>
        <w:t xml:space="preserve">   6.9  Conformité légale</w:t>
      </w:r>
    </w:p>
    <w:p>
      <w:pPr>
        <w:spacing w:after="120"/>
      </w:pPr>
      <w:r>
        <w:rPr>
          <w:color w:val="111928"/>
          <w:sz w:val="22"/>
          <w:szCs w:val="22"/>
        </w:rPr>
        <w:t xml:space="preserve">   6.10 Mode bénévole</w:t>
      </w:r>
    </w:p>
    <w:p>
      <w:pPr>
        <w:spacing w:after="120"/>
      </w:pPr>
      <w:r>
        <w:rPr>
          <w:color w:val="111928"/>
          <w:sz w:val="22"/>
          <w:szCs w:val="22"/>
        </w:rPr>
        <w:t xml:space="preserve">7. API &amp; intégrations tierces</w:t>
      </w:r>
    </w:p>
    <w:p>
      <w:pPr>
        <w:spacing w:after="120"/>
      </w:pPr>
      <w:r>
        <w:rPr>
          <w:color w:val="111928"/>
          <w:sz w:val="22"/>
          <w:szCs w:val="22"/>
        </w:rPr>
        <w:t xml:space="preserve">8. Application mobile React Native</w:t>
      </w:r>
    </w:p>
    <w:p>
      <w:pPr>
        <w:spacing w:after="120"/>
      </w:pPr>
      <w:r>
        <w:rPr>
          <w:color w:val="111928"/>
          <w:sz w:val="22"/>
          <w:szCs w:val="22"/>
        </w:rPr>
        <w:t xml:space="preserve">9. Sécurité &amp; RGPD</w:t>
      </w:r>
    </w:p>
    <w:p>
      <w:pPr>
        <w:spacing w:after="120"/>
      </w:pPr>
      <w:r>
        <w:rPr>
          <w:color w:val="111928"/>
          <w:sz w:val="22"/>
          <w:szCs w:val="22"/>
        </w:rPr>
        <w:t xml:space="preserve">10. Exigences non fonctionnelles</w:t>
      </w:r>
    </w:p>
    <w:p>
      <w:pPr>
        <w:spacing w:after="120"/>
      </w:pPr>
      <w:r>
        <w:rPr>
          <w:color w:val="111928"/>
          <w:sz w:val="22"/>
          <w:szCs w:val="22"/>
        </w:rPr>
        <w:t xml:space="preserve">11. Charte graphique &amp; design system</w:t>
      </w:r>
    </w:p>
    <w:p>
      <w:pPr>
        <w:spacing w:after="120"/>
      </w:pPr>
      <w:r>
        <w:rPr>
          <w:color w:val="111928"/>
          <w:sz w:val="22"/>
          <w:szCs w:val="22"/>
        </w:rPr>
        <w:t xml:space="preserve">12. Modèle économique &amp; plans tarifaires</w:t>
      </w:r>
    </w:p>
    <w:p>
      <w:pPr>
        <w:spacing w:after="120"/>
      </w:pPr>
      <w:r>
        <w:rPr>
          <w:color w:val="111928"/>
          <w:sz w:val="22"/>
          <w:szCs w:val="22"/>
        </w:rPr>
        <w:t xml:space="preserve">13. Roadmap &amp; phasage (18 mois)</w:t>
      </w:r>
    </w:p>
    <w:p>
      <w:pPr>
        <w:spacing w:after="120"/>
      </w:pPr>
      <w:r>
        <w:rPr>
          <w:color w:val="111928"/>
          <w:sz w:val="22"/>
          <w:szCs w:val="22"/>
        </w:rPr>
        <w:t xml:space="preserve">14. Instructions pour Claude Code</w:t>
      </w:r>
    </w:p>
    <w:p>
      <w:pPr>
        <w:spacing w:after="120"/>
      </w:pPr>
      <w:r>
        <w:rPr>
          <w:color w:val="111928"/>
          <w:sz w:val="22"/>
          <w:szCs w:val="22"/>
        </w:rPr>
        <w:t xml:space="preserve">15. Critères de qualité &amp; tests</w:t>
      </w:r>
    </w:p>
    <w:p>
      <w:pPr>
        <w:spacing w:after="120"/>
      </w:pPr>
      <w:r>
        <w:rPr>
          <w:color w:val="111928"/>
          <w:sz w:val="22"/>
          <w:szCs w:val="22"/>
        </w:rPr>
        <w:t xml:space="preserve">16. Glossaire</w:t>
      </w:r>
    </w:p>
    <w:p>
      <w:r>
        <w:br w:type="page"/>
      </w:r>
    </w:p>
    <w:p>
      <w:pPr>
        <w:pStyle w:val="Heading1"/>
        <w:spacing w:after="200" w:before="440"/>
      </w:pPr>
      <w:r>
        <w:t xml:space="preserve">1. Vision &amp; objectifs du projet</w:t>
      </w:r>
    </w:p>
    <w:p>
      <w:pPr>
        <w:pStyle w:val="Heading2"/>
        <w:spacing w:after="150" w:before="300"/>
      </w:pPr>
      <w:r>
        <w:t xml:space="preserve">1.1 Contexte marché</w:t>
      </w:r>
    </w:p>
    <w:p>
      <w:pPr>
        <w:spacing w:after="120"/>
      </w:pPr>
      <w:r>
        <w:rPr>
          <w:color w:val="111928"/>
          <w:sz w:val="22"/>
          <w:szCs w:val="22"/>
        </w:rPr>
        <w:t xml:space="preserve">Le Maroc compte plus de 30 000 copropriétés dont la gestion est souvent artisanale : fichiers Excel, cahiers papier, emails non tracés. La loi 18-00 relative à la copropriété des immeubles bâtis (modifiée en 2016) impose des obligations précises aux syndics, mais les outils numériques adaptés au marché marocain sont quasi-inexistants.</w:t>
      </w:r>
    </w:p>
    <w:p>
      <w:pPr>
        <w:spacing w:after="120"/>
      </w:pPr>
      <w:r>
        <w:rPr>
          <w:color w:val="111928"/>
          <w:sz w:val="22"/>
          <w:szCs w:val="22"/>
        </w:rPr>
        <w:t xml:space="preserve">Syndic360 se positionne comme la première solution SaaS marocaine de gestion de copropriété, couvrant aussi bien les syndics professionnels (cabinets gérant plusieurs résidences) que les syndics bénévoles (conseil syndical gérant son propre immeuble).</w:t>
      </w:r>
    </w:p>
    <w:p>
      <w:pPr>
        <w:pStyle w:val="Heading2"/>
        <w:spacing w:after="150" w:before="300"/>
      </w:pPr>
      <w:r>
        <w:t xml:space="preserve">1.2 Objectifs business</w:t>
      </w:r>
    </w:p>
    <w:p>
      <w:pPr>
        <w:pStyle w:val="ListParagraph"/>
        <w:numPr>
          <w:ilvl w:val="0"/>
          <w:numId w:val="2"/>
        </w:numPr>
        <w:spacing w:after="80"/>
      </w:pPr>
      <w:r>
        <w:rPr>
          <w:color w:val="111928"/>
          <w:sz w:val="22"/>
          <w:szCs w:val="22"/>
        </w:rPr>
        <w:t xml:space="preserve">Devenir la référence numérique de la gestion de copropriété au Maroc d'ici 18 mois</w:t>
      </w:r>
    </w:p>
    <w:p>
      <w:pPr>
        <w:pStyle w:val="ListParagraph"/>
        <w:numPr>
          <w:ilvl w:val="0"/>
          <w:numId w:val="2"/>
        </w:numPr>
        <w:spacing w:after="80"/>
      </w:pPr>
      <w:r>
        <w:rPr>
          <w:color w:val="111928"/>
          <w:sz w:val="22"/>
          <w:szCs w:val="22"/>
        </w:rPr>
        <w:t xml:space="preserve">Acquérir 500 copropriétés en gestion dans les 12 premiers mois</w:t>
      </w:r>
    </w:p>
    <w:p>
      <w:pPr>
        <w:pStyle w:val="ListParagraph"/>
        <w:numPr>
          <w:ilvl w:val="0"/>
          <w:numId w:val="2"/>
        </w:numPr>
        <w:spacing w:after="80"/>
      </w:pPr>
      <w:r>
        <w:rPr>
          <w:color w:val="111928"/>
          <w:sz w:val="22"/>
          <w:szCs w:val="22"/>
        </w:rPr>
        <w:t xml:space="preserve">Atteindre 50 000 MAD de MRR à fin de la première année</w:t>
      </w:r>
    </w:p>
    <w:p>
      <w:pPr>
        <w:pStyle w:val="ListParagraph"/>
        <w:numPr>
          <w:ilvl w:val="0"/>
          <w:numId w:val="2"/>
        </w:numPr>
        <w:spacing w:after="80"/>
      </w:pPr>
      <w:r>
        <w:rPr>
          <w:color w:val="111928"/>
          <w:sz w:val="22"/>
          <w:szCs w:val="22"/>
        </w:rPr>
        <w:t xml:space="preserve">Couvrir le marché MENA et l'Afrique francophone en phase 2</w:t>
      </w:r>
    </w:p>
    <w:p>
      <w:pPr>
        <w:pStyle w:val="Heading2"/>
        <w:spacing w:after="150" w:before="300"/>
      </w:pPr>
      <w:r>
        <w:t xml:space="preserve">1.3 Objectifs produit</w:t>
      </w:r>
    </w:p>
    <w:p>
      <w:pPr>
        <w:pStyle w:val="ListParagraph"/>
        <w:numPr>
          <w:ilvl w:val="0"/>
          <w:numId w:val="2"/>
        </w:numPr>
        <w:spacing w:after="80"/>
      </w:pPr>
      <w:r>
        <w:rPr>
          <w:color w:val="111928"/>
          <w:sz w:val="22"/>
          <w:szCs w:val="22"/>
        </w:rPr>
        <w:t xml:space="preserve">Interface web responsive + application mobile iOS &amp; Android</w:t>
      </w:r>
    </w:p>
    <w:p>
      <w:pPr>
        <w:pStyle w:val="ListParagraph"/>
        <w:numPr>
          <w:ilvl w:val="0"/>
          <w:numId w:val="2"/>
        </w:numPr>
        <w:spacing w:after="80"/>
      </w:pPr>
      <w:r>
        <w:rPr>
          <w:color w:val="111928"/>
          <w:sz w:val="22"/>
          <w:szCs w:val="22"/>
        </w:rPr>
        <w:t xml:space="preserve">Gestion simultanée de N copropriétés depuis un tableau de bord unique</w:t>
      </w:r>
    </w:p>
    <w:p>
      <w:pPr>
        <w:pStyle w:val="ListParagraph"/>
        <w:numPr>
          <w:ilvl w:val="0"/>
          <w:numId w:val="2"/>
        </w:numPr>
        <w:spacing w:after="80"/>
      </w:pPr>
      <w:r>
        <w:rPr>
          <w:color w:val="111928"/>
          <w:sz w:val="22"/>
          <w:szCs w:val="22"/>
        </w:rPr>
        <w:t xml:space="preserve">Conformité totale loi 18-00 Maroc + RGPD</w:t>
      </w:r>
    </w:p>
    <w:p>
      <w:pPr>
        <w:pStyle w:val="ListParagraph"/>
        <w:numPr>
          <w:ilvl w:val="0"/>
          <w:numId w:val="2"/>
        </w:numPr>
        <w:spacing w:after="80"/>
      </w:pPr>
      <w:r>
        <w:rPr>
          <w:color w:val="111928"/>
          <w:sz w:val="22"/>
          <w:szCs w:val="22"/>
        </w:rPr>
        <w:t xml:space="preserve">Automatisation des tâches récurrentes : appels de charges, convocations, PV, relances</w:t>
      </w:r>
    </w:p>
    <w:p>
      <w:pPr>
        <w:pStyle w:val="ListParagraph"/>
        <w:numPr>
          <w:ilvl w:val="0"/>
          <w:numId w:val="2"/>
        </w:numPr>
        <w:spacing w:after="80"/>
      </w:pPr>
      <w:r>
        <w:rPr>
          <w:color w:val="111928"/>
          <w:sz w:val="22"/>
          <w:szCs w:val="22"/>
        </w:rPr>
        <w:t xml:space="preserve">Paiement des charges en ligne (CMI, Stripe, virement)</w:t>
      </w:r>
    </w:p>
    <w:p>
      <w:pPr>
        <w:pStyle w:val="ListParagraph"/>
        <w:numPr>
          <w:ilvl w:val="0"/>
          <w:numId w:val="2"/>
        </w:numPr>
        <w:spacing w:after="80"/>
      </w:pPr>
      <w:r>
        <w:rPr>
          <w:color w:val="111928"/>
          <w:sz w:val="22"/>
          <w:szCs w:val="22"/>
        </w:rPr>
        <w:t xml:space="preserve">Vote en ligne lors des assemblées générales</w:t>
      </w:r>
    </w:p>
    <w:p>
      <w:pPr>
        <w:pStyle w:val="ListParagraph"/>
        <w:numPr>
          <w:ilvl w:val="0"/>
          <w:numId w:val="2"/>
        </w:numPr>
        <w:spacing w:after="80"/>
      </w:pPr>
      <w:r>
        <w:rPr>
          <w:color w:val="111928"/>
          <w:sz w:val="22"/>
          <w:szCs w:val="22"/>
        </w:rPr>
        <w:t xml:space="preserve">Mode bénévole simplifié avec guides et modèles légaux marocains</w:t>
      </w:r>
    </w:p>
    <w:p>
      <w:pPr>
        <w:pStyle w:val="Heading2"/>
        <w:spacing w:after="150" w:before="300"/>
      </w:pPr>
      <w:r>
        <w:t xml:space="preserve">1.4 Vision à long terme</w:t>
      </w:r>
    </w:p>
    <w:p>
      <w:pPr>
        <w:spacing w:after="120"/>
      </w:pPr>
      <w:r>
        <w:rPr>
          <w:color w:val="111928"/>
          <w:sz w:val="22"/>
          <w:szCs w:val="22"/>
        </w:rPr>
        <w:t xml:space="preserve">Syndic360 évoluera vers une marketplace de services de copropriété : annuaire de prestataires certifiés, assurances groupées, financement de travaux, conseil juridique en ligne — un véritable écosystème autour de la copropriété marocaine.</w:t>
      </w:r>
    </w:p>
    <w:p>
      <w:r>
        <w:br w:type="page"/>
      </w:r>
    </w:p>
    <w:p>
      <w:pPr>
        <w:pStyle w:val="Heading1"/>
        <w:spacing w:after="200" w:before="440"/>
      </w:pPr>
      <w:r>
        <w:t xml:space="preserve">2. Identité de marque Syndic360</w:t>
      </w:r>
    </w:p>
    <w:p>
      <w:pPr>
        <w:pStyle w:val="Heading2"/>
        <w:spacing w:after="150" w:before="300"/>
      </w:pPr>
      <w:r>
        <w:t xml:space="preserve">2.1 Nom &amp; signification</w:t>
      </w:r>
    </w:p>
    <w:p>
      <w:pPr>
        <w:spacing w:after="120"/>
      </w:pPr>
      <w:r>
        <w:rPr>
          <w:color w:val="111928"/>
          <w:sz w:val="22"/>
          <w:szCs w:val="22"/>
        </w:rPr>
        <w:t xml:space="preserve">Syndic360 combine "Syndic" (terme universel de la gestion de copropriété en français et en arabe) et "360°" (vision complète, gestion à 360 degrés, aucun angle mort). Le nom est mémorable, bilingue, et évoque immédiatement la complétude de la solution.</w:t>
      </w:r>
    </w:p>
    <w:p>
      <w:pPr>
        <w:pStyle w:val="Heading2"/>
        <w:spacing w:after="150" w:before="300"/>
      </w:pPr>
      <w:r>
        <w:t xml:space="preserve">2.2 Slogan principal</w:t>
      </w:r>
    </w:p>
    <w:p>
      <w:pPr>
        <w:spacing w:after="120"/>
      </w:pPr>
      <w:r>
        <w:rPr>
          <w:color w:val="111928"/>
          <w:sz w:val="22"/>
          <w:szCs w:val="22"/>
        </w:rPr>
        <w:t xml:space="preserve">"Gérez votre copropriété à 360°" — version arabe : "إدارة الملكية المشتركة بـ 360°"</w:t>
      </w:r>
    </w:p>
    <w:p>
      <w:pPr>
        <w:pStyle w:val="Heading2"/>
        <w:spacing w:after="150" w:before="300"/>
      </w:pPr>
      <w:r>
        <w:t xml:space="preserve">2.3 Charte graphique (à implémenter dans le code)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72"/>
      </w:tblGrid>
      <w:tr>
        <w:trPr>
          <w:tblHeader/>
        </w:trPr>
        <w:tc>
          <w:tcPr>
            <w:tcW w:type="dxa" w:w="2800"/>
            <w:shd w:fill="0F4C81" w:color="auto" w:val="clear"/>
            <w:tcMar>
              <w:top w:type="dxa" w:w="80"/>
              <w:left w:type="dxa" w:w="100"/>
              <w:bottom w:type="dxa" w:w="80"/>
              <w:right w:type="dxa" w:w="100"/>
            </w:tcMar>
          </w:tcPr>
          <w:p>
            <w:pPr>
              <w:jc w:val="left"/>
            </w:pPr>
            <w:r>
              <w:rPr>
                <w:b/>
                <w:bCs/>
                <w:color w:val="FFFFFF"/>
                <w:sz w:val="20"/>
                <w:szCs w:val="20"/>
              </w:rPr>
              <w:t xml:space="preserve">Élément</w:t>
            </w:r>
          </w:p>
        </w:tc>
        <w:tc>
          <w:tcPr>
            <w:tcW w:type="dxa" w:w="2600"/>
            <w:shd w:fill="0F4C81" w:color="auto" w:val="clear"/>
            <w:tcMar>
              <w:top w:type="dxa" w:w="80"/>
              <w:left w:type="dxa" w:w="100"/>
              <w:bottom w:type="dxa" w:w="80"/>
              <w:right w:type="dxa" w:w="100"/>
            </w:tcMar>
          </w:tcPr>
          <w:p>
            <w:pPr>
              <w:jc w:val="left"/>
            </w:pPr>
            <w:r>
              <w:rPr>
                <w:b/>
                <w:bCs/>
                <w:color w:val="FFFFFF"/>
                <w:sz w:val="20"/>
                <w:szCs w:val="20"/>
              </w:rPr>
              <w:t xml:space="preserve">Valeur</w:t>
            </w:r>
          </w:p>
        </w:tc>
        <w:tc>
          <w:tcPr>
            <w:tcW w:type="dxa" w:w="3672"/>
            <w:shd w:fill="0F4C81" w:color="auto" w:val="clear"/>
            <w:tcMar>
              <w:top w:type="dxa" w:w="80"/>
              <w:left w:type="dxa" w:w="100"/>
              <w:bottom w:type="dxa" w:w="80"/>
              <w:right w:type="dxa" w:w="100"/>
            </w:tcMar>
          </w:tcPr>
          <w:p>
            <w:pPr>
              <w:jc w:val="left"/>
            </w:pPr>
            <w:r>
              <w:rPr>
                <w:b/>
                <w:bCs/>
                <w:color w:val="FFFFFF"/>
                <w:sz w:val="20"/>
                <w:szCs w:val="20"/>
              </w:rPr>
              <w:t xml:space="preserve">Usage</w:t>
            </w:r>
          </w:p>
        </w:tc>
      </w:tr>
      <w:tr>
        <w:tc>
          <w:tcPr>
            <w:tcW w:type="dxa" w:w="2800"/>
            <w:shd w:fill="FFFFFF" w:color="auto" w:val="clear"/>
            <w:tcMar>
              <w:top w:type="dxa" w:w="80"/>
              <w:left w:type="dxa" w:w="100"/>
              <w:bottom w:type="dxa" w:w="80"/>
              <w:right w:type="dxa" w:w="100"/>
            </w:tcMar>
          </w:tcPr>
          <w:p>
            <w:pPr>
              <w:jc w:val="left"/>
            </w:pPr>
            <w:r>
              <w:rPr>
                <w:b w:val="false"/>
                <w:bCs w:val="false"/>
                <w:color w:val="111928"/>
                <w:sz w:val="20"/>
                <w:szCs w:val="20"/>
              </w:rPr>
              <w:t xml:space="preserve">Couleur primaire</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#0F4C81 — Bleu marine</w:t>
            </w:r>
          </w:p>
        </w:tc>
        <w:tc>
          <w:tcPr>
            <w:tcW w:type="dxa" w:w="3672"/>
            <w:shd w:fill="FFFFFF" w:color="auto" w:val="clear"/>
            <w:tcMar>
              <w:top w:type="dxa" w:w="80"/>
              <w:left w:type="dxa" w:w="100"/>
              <w:bottom w:type="dxa" w:w="80"/>
              <w:right w:type="dxa" w:w="100"/>
            </w:tcMar>
          </w:tcPr>
          <w:p>
            <w:pPr>
              <w:jc w:val="left"/>
            </w:pPr>
            <w:r>
              <w:rPr>
                <w:b w:val="false"/>
                <w:bCs w:val="false"/>
                <w:color w:val="111928"/>
                <w:sz w:val="20"/>
                <w:szCs w:val="20"/>
              </w:rPr>
              <w:t xml:space="preserve">Header, boutons CTA, titres, logo "Syndic"</w:t>
            </w:r>
          </w:p>
        </w:tc>
      </w:tr>
      <w:tr>
        <w:tc>
          <w:tcPr>
            <w:tcW w:type="dxa" w:w="2800"/>
            <w:shd w:fill="F4F7FC" w:color="auto" w:val="clear"/>
            <w:tcMar>
              <w:top w:type="dxa" w:w="80"/>
              <w:left w:type="dxa" w:w="100"/>
              <w:bottom w:type="dxa" w:w="80"/>
              <w:right w:type="dxa" w:w="100"/>
            </w:tcMar>
          </w:tcPr>
          <w:p>
            <w:pPr>
              <w:jc w:val="left"/>
            </w:pPr>
            <w:r>
              <w:rPr>
                <w:b w:val="false"/>
                <w:bCs w:val="false"/>
                <w:color w:val="111928"/>
                <w:sz w:val="20"/>
                <w:szCs w:val="20"/>
              </w:rPr>
              <w:t xml:space="preserve">Couleur secondaire</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#E87722 — Orange Maroc</w:t>
            </w:r>
          </w:p>
        </w:tc>
        <w:tc>
          <w:tcPr>
            <w:tcW w:type="dxa" w:w="3672"/>
            <w:shd w:fill="F4F7FC" w:color="auto" w:val="clear"/>
            <w:tcMar>
              <w:top w:type="dxa" w:w="80"/>
              <w:left w:type="dxa" w:w="100"/>
              <w:bottom w:type="dxa" w:w="80"/>
              <w:right w:type="dxa" w:w="100"/>
            </w:tcMar>
          </w:tcPr>
          <w:p>
            <w:pPr>
              <w:jc w:val="left"/>
            </w:pPr>
            <w:r>
              <w:rPr>
                <w:b w:val="false"/>
                <w:bCs w:val="false"/>
                <w:color w:val="111928"/>
                <w:sz w:val="20"/>
                <w:szCs w:val="20"/>
              </w:rPr>
              <w:t xml:space="preserve">Logo "360", accents, KPIs importants, CTA secondaires</w:t>
            </w:r>
          </w:p>
        </w:tc>
      </w:tr>
      <w:tr>
        <w:tc>
          <w:tcPr>
            <w:tcW w:type="dxa" w:w="2800"/>
            <w:shd w:fill="FFFFFF" w:color="auto" w:val="clear"/>
            <w:tcMar>
              <w:top w:type="dxa" w:w="80"/>
              <w:left w:type="dxa" w:w="100"/>
              <w:bottom w:type="dxa" w:w="80"/>
              <w:right w:type="dxa" w:w="100"/>
            </w:tcMar>
          </w:tcPr>
          <w:p>
            <w:pPr>
              <w:jc w:val="left"/>
            </w:pPr>
            <w:r>
              <w:rPr>
                <w:b w:val="false"/>
                <w:bCs w:val="false"/>
                <w:color w:val="111928"/>
                <w:sz w:val="20"/>
                <w:szCs w:val="20"/>
              </w:rPr>
              <w:t xml:space="preserve">Couleur succès</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#1A6B4A — Vert menthe</w:t>
            </w:r>
          </w:p>
        </w:tc>
        <w:tc>
          <w:tcPr>
            <w:tcW w:type="dxa" w:w="3672"/>
            <w:shd w:fill="FFFFFF" w:color="auto" w:val="clear"/>
            <w:tcMar>
              <w:top w:type="dxa" w:w="80"/>
              <w:left w:type="dxa" w:w="100"/>
              <w:bottom w:type="dxa" w:w="80"/>
              <w:right w:type="dxa" w:w="100"/>
            </w:tcMar>
          </w:tcPr>
          <w:p>
            <w:pPr>
              <w:jc w:val="left"/>
            </w:pPr>
            <w:r>
              <w:rPr>
                <w:b w:val="false"/>
                <w:bCs w:val="false"/>
                <w:color w:val="111928"/>
                <w:sz w:val="20"/>
                <w:szCs w:val="20"/>
              </w:rPr>
              <w:t xml:space="preserve">Paiements reçus, statuts OK, graphiques positifs</w:t>
            </w:r>
          </w:p>
        </w:tc>
      </w:tr>
      <w:tr>
        <w:tc>
          <w:tcPr>
            <w:tcW w:type="dxa" w:w="2800"/>
            <w:shd w:fill="F4F7FC" w:color="auto" w:val="clear"/>
            <w:tcMar>
              <w:top w:type="dxa" w:w="80"/>
              <w:left w:type="dxa" w:w="100"/>
              <w:bottom w:type="dxa" w:w="80"/>
              <w:right w:type="dxa" w:w="100"/>
            </w:tcMar>
          </w:tcPr>
          <w:p>
            <w:pPr>
              <w:jc w:val="left"/>
            </w:pPr>
            <w:r>
              <w:rPr>
                <w:b w:val="false"/>
                <w:bCs w:val="false"/>
                <w:color w:val="111928"/>
                <w:sz w:val="20"/>
                <w:szCs w:val="20"/>
              </w:rPr>
              <w:t xml:space="preserve">Couleur danger</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#DC2626 — Rouge</w:t>
            </w:r>
          </w:p>
        </w:tc>
        <w:tc>
          <w:tcPr>
            <w:tcW w:type="dxa" w:w="3672"/>
            <w:shd w:fill="F4F7FC" w:color="auto" w:val="clear"/>
            <w:tcMar>
              <w:top w:type="dxa" w:w="80"/>
              <w:left w:type="dxa" w:w="100"/>
              <w:bottom w:type="dxa" w:w="80"/>
              <w:right w:type="dxa" w:w="100"/>
            </w:tcMar>
          </w:tcPr>
          <w:p>
            <w:pPr>
              <w:jc w:val="left"/>
            </w:pPr>
            <w:r>
              <w:rPr>
                <w:b w:val="false"/>
                <w:bCs w:val="false"/>
                <w:color w:val="111928"/>
                <w:sz w:val="20"/>
                <w:szCs w:val="20"/>
              </w:rPr>
              <w:t xml:space="preserve">Impayés, alertes, erreurs</w:t>
            </w:r>
          </w:p>
        </w:tc>
      </w:tr>
      <w:tr>
        <w:tc>
          <w:tcPr>
            <w:tcW w:type="dxa" w:w="2800"/>
            <w:shd w:fill="FFFFFF" w:color="auto" w:val="clear"/>
            <w:tcMar>
              <w:top w:type="dxa" w:w="80"/>
              <w:left w:type="dxa" w:w="100"/>
              <w:bottom w:type="dxa" w:w="80"/>
              <w:right w:type="dxa" w:w="100"/>
            </w:tcMar>
          </w:tcPr>
          <w:p>
            <w:pPr>
              <w:jc w:val="left"/>
            </w:pPr>
            <w:r>
              <w:rPr>
                <w:b w:val="false"/>
                <w:bCs w:val="false"/>
                <w:color w:val="111928"/>
                <w:sz w:val="20"/>
                <w:szCs w:val="20"/>
              </w:rPr>
              <w:t xml:space="preserve">Couleur warning</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#D97706 — Ambre</w:t>
            </w:r>
          </w:p>
        </w:tc>
        <w:tc>
          <w:tcPr>
            <w:tcW w:type="dxa" w:w="3672"/>
            <w:shd w:fill="FFFFFF" w:color="auto" w:val="clear"/>
            <w:tcMar>
              <w:top w:type="dxa" w:w="80"/>
              <w:left w:type="dxa" w:w="100"/>
              <w:bottom w:type="dxa" w:w="80"/>
              <w:right w:type="dxa" w:w="100"/>
            </w:tcMar>
          </w:tcPr>
          <w:p>
            <w:pPr>
              <w:jc w:val="left"/>
            </w:pPr>
            <w:r>
              <w:rPr>
                <w:b w:val="false"/>
                <w:bCs w:val="false"/>
                <w:color w:val="111928"/>
                <w:sz w:val="20"/>
                <w:szCs w:val="20"/>
              </w:rPr>
              <w:t xml:space="preserve">En attente, incidents, délais proches</w:t>
            </w:r>
          </w:p>
        </w:tc>
      </w:tr>
      <w:tr>
        <w:tc>
          <w:tcPr>
            <w:tcW w:type="dxa" w:w="2800"/>
            <w:shd w:fill="F4F7FC" w:color="auto" w:val="clear"/>
            <w:tcMar>
              <w:top w:type="dxa" w:w="80"/>
              <w:left w:type="dxa" w:w="100"/>
              <w:bottom w:type="dxa" w:w="80"/>
              <w:right w:type="dxa" w:w="100"/>
            </w:tcMar>
          </w:tcPr>
          <w:p>
            <w:pPr>
              <w:jc w:val="left"/>
            </w:pPr>
            <w:r>
              <w:rPr>
                <w:b w:val="false"/>
                <w:bCs w:val="false"/>
                <w:color w:val="111928"/>
                <w:sz w:val="20"/>
                <w:szCs w:val="20"/>
              </w:rPr>
              <w:t xml:space="preserve">Fond de page</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#F4F7FC — Gris bleuté</w:t>
            </w:r>
          </w:p>
        </w:tc>
        <w:tc>
          <w:tcPr>
            <w:tcW w:type="dxa" w:w="3672"/>
            <w:shd w:fill="F4F7FC" w:color="auto" w:val="clear"/>
            <w:tcMar>
              <w:top w:type="dxa" w:w="80"/>
              <w:left w:type="dxa" w:w="100"/>
              <w:bottom w:type="dxa" w:w="80"/>
              <w:right w:type="dxa" w:w="100"/>
            </w:tcMar>
          </w:tcPr>
          <w:p>
            <w:pPr>
              <w:jc w:val="left"/>
            </w:pPr>
            <w:r>
              <w:rPr>
                <w:b w:val="false"/>
                <w:bCs w:val="false"/>
                <w:color w:val="111928"/>
                <w:sz w:val="20"/>
                <w:szCs w:val="20"/>
              </w:rPr>
              <w:t xml:space="preserve">Background principal des dashboards</w:t>
            </w:r>
          </w:p>
        </w:tc>
      </w:tr>
      <w:tr>
        <w:tc>
          <w:tcPr>
            <w:tcW w:type="dxa" w:w="2800"/>
            <w:shd w:fill="FFFFFF" w:color="auto" w:val="clear"/>
            <w:tcMar>
              <w:top w:type="dxa" w:w="80"/>
              <w:left w:type="dxa" w:w="100"/>
              <w:bottom w:type="dxa" w:w="80"/>
              <w:right w:type="dxa" w:w="100"/>
            </w:tcMar>
          </w:tcPr>
          <w:p>
            <w:pPr>
              <w:jc w:val="left"/>
            </w:pPr>
            <w:r>
              <w:rPr>
                <w:b w:val="false"/>
                <w:bCs w:val="false"/>
                <w:color w:val="111928"/>
                <w:sz w:val="20"/>
                <w:szCs w:val="20"/>
              </w:rPr>
              <w:t xml:space="preserve">Fond carte</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#FFFFFF — Blanc</w:t>
            </w:r>
          </w:p>
        </w:tc>
        <w:tc>
          <w:tcPr>
            <w:tcW w:type="dxa" w:w="3672"/>
            <w:shd w:fill="FFFFFF" w:color="auto" w:val="clear"/>
            <w:tcMar>
              <w:top w:type="dxa" w:w="80"/>
              <w:left w:type="dxa" w:w="100"/>
              <w:bottom w:type="dxa" w:w="80"/>
              <w:right w:type="dxa" w:w="100"/>
            </w:tcMar>
          </w:tcPr>
          <w:p>
            <w:pPr>
              <w:jc w:val="left"/>
            </w:pPr>
            <w:r>
              <w:rPr>
                <w:b w:val="false"/>
                <w:bCs w:val="false"/>
                <w:color w:val="111928"/>
                <w:sz w:val="20"/>
                <w:szCs w:val="20"/>
              </w:rPr>
              <w:t xml:space="preserve">Cards, modales, panels</w:t>
            </w:r>
          </w:p>
        </w:tc>
      </w:tr>
      <w:tr>
        <w:tc>
          <w:tcPr>
            <w:tcW w:type="dxa" w:w="2800"/>
            <w:shd w:fill="F4F7FC" w:color="auto" w:val="clear"/>
            <w:tcMar>
              <w:top w:type="dxa" w:w="80"/>
              <w:left w:type="dxa" w:w="100"/>
              <w:bottom w:type="dxa" w:w="80"/>
              <w:right w:type="dxa" w:w="100"/>
            </w:tcMar>
          </w:tcPr>
          <w:p>
            <w:pPr>
              <w:jc w:val="left"/>
            </w:pPr>
            <w:r>
              <w:rPr>
                <w:b w:val="false"/>
                <w:bCs w:val="false"/>
                <w:color w:val="111928"/>
                <w:sz w:val="20"/>
                <w:szCs w:val="20"/>
              </w:rPr>
              <w:t xml:space="preserve">Texte principal</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#111928 — Quasi-noir</w:t>
            </w:r>
          </w:p>
        </w:tc>
        <w:tc>
          <w:tcPr>
            <w:tcW w:type="dxa" w:w="3672"/>
            <w:shd w:fill="F4F7FC" w:color="auto" w:val="clear"/>
            <w:tcMar>
              <w:top w:type="dxa" w:w="80"/>
              <w:left w:type="dxa" w:w="100"/>
              <w:bottom w:type="dxa" w:w="80"/>
              <w:right w:type="dxa" w:w="100"/>
            </w:tcMar>
          </w:tcPr>
          <w:p>
            <w:pPr>
              <w:jc w:val="left"/>
            </w:pPr>
            <w:r>
              <w:rPr>
                <w:b w:val="false"/>
                <w:bCs w:val="false"/>
                <w:color w:val="111928"/>
                <w:sz w:val="20"/>
                <w:szCs w:val="20"/>
              </w:rPr>
              <w:t xml:space="preserve">Corps de texte, titres</w:t>
            </w:r>
          </w:p>
        </w:tc>
      </w:tr>
      <w:tr>
        <w:tc>
          <w:tcPr>
            <w:tcW w:type="dxa" w:w="2800"/>
            <w:shd w:fill="FFFFFF" w:color="auto" w:val="clear"/>
            <w:tcMar>
              <w:top w:type="dxa" w:w="80"/>
              <w:left w:type="dxa" w:w="100"/>
              <w:bottom w:type="dxa" w:w="80"/>
              <w:right w:type="dxa" w:w="100"/>
            </w:tcMar>
          </w:tcPr>
          <w:p>
            <w:pPr>
              <w:jc w:val="left"/>
            </w:pPr>
            <w:r>
              <w:rPr>
                <w:b w:val="false"/>
                <w:bCs w:val="false"/>
                <w:color w:val="111928"/>
                <w:sz w:val="20"/>
                <w:szCs w:val="20"/>
              </w:rPr>
              <w:t xml:space="preserve">Texte secondaire</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#6B7280 — Gris</w:t>
            </w:r>
          </w:p>
        </w:tc>
        <w:tc>
          <w:tcPr>
            <w:tcW w:type="dxa" w:w="3672"/>
            <w:shd w:fill="FFFFFF" w:color="auto" w:val="clear"/>
            <w:tcMar>
              <w:top w:type="dxa" w:w="80"/>
              <w:left w:type="dxa" w:w="100"/>
              <w:bottom w:type="dxa" w:w="80"/>
              <w:right w:type="dxa" w:w="100"/>
            </w:tcMar>
          </w:tcPr>
          <w:p>
            <w:pPr>
              <w:jc w:val="left"/>
            </w:pPr>
            <w:r>
              <w:rPr>
                <w:b w:val="false"/>
                <w:bCs w:val="false"/>
                <w:color w:val="111928"/>
                <w:sz w:val="20"/>
                <w:szCs w:val="20"/>
              </w:rPr>
              <w:t xml:space="preserve">Labels, métadonnées, placeholders</w:t>
            </w:r>
          </w:p>
        </w:tc>
      </w:tr>
      <w:tr>
        <w:tc>
          <w:tcPr>
            <w:tcW w:type="dxa" w:w="2800"/>
            <w:shd w:fill="F4F7FC" w:color="auto" w:val="clear"/>
            <w:tcMar>
              <w:top w:type="dxa" w:w="80"/>
              <w:left w:type="dxa" w:w="100"/>
              <w:bottom w:type="dxa" w:w="80"/>
              <w:right w:type="dxa" w:w="100"/>
            </w:tcMar>
          </w:tcPr>
          <w:p>
            <w:pPr>
              <w:jc w:val="left"/>
            </w:pPr>
            <w:r>
              <w:rPr>
                <w:b w:val="false"/>
                <w:bCs w:val="false"/>
                <w:color w:val="111928"/>
                <w:sz w:val="20"/>
                <w:szCs w:val="20"/>
              </w:rPr>
              <w:t xml:space="preserve">Bordures</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#E2EAF4 — Gris bleu clair</w:t>
            </w:r>
          </w:p>
        </w:tc>
        <w:tc>
          <w:tcPr>
            <w:tcW w:type="dxa" w:w="3672"/>
            <w:shd w:fill="F4F7FC" w:color="auto" w:val="clear"/>
            <w:tcMar>
              <w:top w:type="dxa" w:w="80"/>
              <w:left w:type="dxa" w:w="100"/>
              <w:bottom w:type="dxa" w:w="80"/>
              <w:right w:type="dxa" w:w="100"/>
            </w:tcMar>
          </w:tcPr>
          <w:p>
            <w:pPr>
              <w:jc w:val="left"/>
            </w:pPr>
            <w:r>
              <w:rPr>
                <w:b w:val="false"/>
                <w:bCs w:val="false"/>
                <w:color w:val="111928"/>
                <w:sz w:val="20"/>
                <w:szCs w:val="20"/>
              </w:rPr>
              <w:t xml:space="preserve">Séparateurs, bordures de cartes</w:t>
            </w:r>
          </w:p>
        </w:tc>
      </w:tr>
      <w:tr>
        <w:tc>
          <w:tcPr>
            <w:tcW w:type="dxa" w:w="2800"/>
            <w:shd w:fill="FFFFFF" w:color="auto" w:val="clear"/>
            <w:tcMar>
              <w:top w:type="dxa" w:w="80"/>
              <w:left w:type="dxa" w:w="100"/>
              <w:bottom w:type="dxa" w:w="80"/>
              <w:right w:type="dxa" w:w="100"/>
            </w:tcMar>
          </w:tcPr>
          <w:p>
            <w:pPr>
              <w:jc w:val="left"/>
            </w:pPr>
            <w:r>
              <w:rPr>
                <w:b w:val="false"/>
                <w:bCs w:val="false"/>
                <w:color w:val="111928"/>
                <w:sz w:val="20"/>
                <w:szCs w:val="20"/>
              </w:rPr>
              <w:t xml:space="preserve">Police</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Inter (web) / SF Pro (mobile)</w:t>
            </w:r>
          </w:p>
        </w:tc>
        <w:tc>
          <w:tcPr>
            <w:tcW w:type="dxa" w:w="3672"/>
            <w:shd w:fill="FFFFFF" w:color="auto" w:val="clear"/>
            <w:tcMar>
              <w:top w:type="dxa" w:w="80"/>
              <w:left w:type="dxa" w:w="100"/>
              <w:bottom w:type="dxa" w:w="80"/>
              <w:right w:type="dxa" w:w="100"/>
            </w:tcMar>
          </w:tcPr>
          <w:p>
            <w:pPr>
              <w:jc w:val="left"/>
            </w:pPr>
            <w:r>
              <w:rPr>
                <w:b w:val="false"/>
                <w:bCs w:val="false"/>
                <w:color w:val="111928"/>
                <w:sz w:val="20"/>
                <w:szCs w:val="20"/>
              </w:rPr>
              <w:t xml:space="preserve">Tous les textes de l'interface</w:t>
            </w:r>
          </w:p>
        </w:tc>
      </w:tr>
      <w:tr>
        <w:tc>
          <w:tcPr>
            <w:tcW w:type="dxa" w:w="2800"/>
            <w:shd w:fill="F4F7FC" w:color="auto" w:val="clear"/>
            <w:tcMar>
              <w:top w:type="dxa" w:w="80"/>
              <w:left w:type="dxa" w:w="100"/>
              <w:bottom w:type="dxa" w:w="80"/>
              <w:right w:type="dxa" w:w="100"/>
            </w:tcMar>
          </w:tcPr>
          <w:p>
            <w:pPr>
              <w:jc w:val="left"/>
            </w:pPr>
            <w:r>
              <w:rPr>
                <w:b w:val="false"/>
                <w:bCs w:val="false"/>
                <w:color w:val="111928"/>
                <w:sz w:val="20"/>
                <w:szCs w:val="20"/>
              </w:rPr>
              <w:t xml:space="preserve">Border radius carte</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12px</w:t>
            </w:r>
          </w:p>
        </w:tc>
        <w:tc>
          <w:tcPr>
            <w:tcW w:type="dxa" w:w="3672"/>
            <w:shd w:fill="F4F7FC" w:color="auto" w:val="clear"/>
            <w:tcMar>
              <w:top w:type="dxa" w:w="80"/>
              <w:left w:type="dxa" w:w="100"/>
              <w:bottom w:type="dxa" w:w="80"/>
              <w:right w:type="dxa" w:w="100"/>
            </w:tcMar>
          </w:tcPr>
          <w:p>
            <w:pPr>
              <w:jc w:val="left"/>
            </w:pPr>
            <w:r>
              <w:rPr>
                <w:b w:val="false"/>
                <w:bCs w:val="false"/>
                <w:color w:val="111928"/>
                <w:sz w:val="20"/>
                <w:szCs w:val="20"/>
              </w:rPr>
              <w:t xml:space="preserve">Cards, panels, modales</w:t>
            </w:r>
          </w:p>
        </w:tc>
      </w:tr>
      <w:tr>
        <w:tc>
          <w:tcPr>
            <w:tcW w:type="dxa" w:w="2800"/>
            <w:shd w:fill="FFFFFF" w:color="auto" w:val="clear"/>
            <w:tcMar>
              <w:top w:type="dxa" w:w="80"/>
              <w:left w:type="dxa" w:w="100"/>
              <w:bottom w:type="dxa" w:w="80"/>
              <w:right w:type="dxa" w:w="100"/>
            </w:tcMar>
          </w:tcPr>
          <w:p>
            <w:pPr>
              <w:jc w:val="left"/>
            </w:pPr>
            <w:r>
              <w:rPr>
                <w:b w:val="false"/>
                <w:bCs w:val="false"/>
                <w:color w:val="111928"/>
                <w:sz w:val="20"/>
                <w:szCs w:val="20"/>
              </w:rPr>
              <w:t xml:space="preserve">Border radius bouton</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8px</w:t>
            </w:r>
          </w:p>
        </w:tc>
        <w:tc>
          <w:tcPr>
            <w:tcW w:type="dxa" w:w="3672"/>
            <w:shd w:fill="FFFFFF" w:color="auto" w:val="clear"/>
            <w:tcMar>
              <w:top w:type="dxa" w:w="80"/>
              <w:left w:type="dxa" w:w="100"/>
              <w:bottom w:type="dxa" w:w="80"/>
              <w:right w:type="dxa" w:w="100"/>
            </w:tcMar>
          </w:tcPr>
          <w:p>
            <w:pPr>
              <w:jc w:val="left"/>
            </w:pPr>
            <w:r>
              <w:rPr>
                <w:b w:val="false"/>
                <w:bCs w:val="false"/>
                <w:color w:val="111928"/>
                <w:sz w:val="20"/>
                <w:szCs w:val="20"/>
              </w:rPr>
              <w:t xml:space="preserve">Boutons, inputs, badges</w:t>
            </w:r>
          </w:p>
        </w:tc>
      </w:tr>
    </w:tbl>
    <w:p>
      <w:pPr>
        <w:spacing w:after="80"/>
      </w:pPr>
      <w:r>
        <w:t xml:space="preserve"/>
      </w:r>
    </w:p>
    <w:p>
      <w:pPr>
        <w:pStyle w:val="Heading2"/>
        <w:spacing w:after="150" w:before="300"/>
      </w:pPr>
      <w:r>
        <w:t xml:space="preserve">2.4 Logo en code SVG (à intégrer)</w:t>
      </w:r>
    </w:p>
    <w:p>
      <w:pPr>
        <w:spacing w:after="120"/>
      </w:pPr>
      <w:r>
        <w:rPr>
          <w:color w:val="111928"/>
          <w:sz w:val="22"/>
          <w:szCs w:val="22"/>
        </w:rPr>
        <w:t xml:space="preserve">Le logo SVG utilise un cercle partiel (arc 270°) représentant le "360°", avec un point central orange. Le mot "Syndic" est en bleu #0F4C81 et "360" en orange #E87722, police Inter Bold.</w:t>
      </w:r>
    </w:p>
    <w:p>
      <w:r>
        <w:br w:type="page"/>
      </w:r>
    </w:p>
    <w:p>
      <w:pPr>
        <w:pStyle w:val="Heading1"/>
        <w:spacing w:after="200" w:before="440"/>
      </w:pPr>
      <w:r>
        <w:t xml:space="preserve">3. Parties prenantes &amp; personas</w:t>
      </w:r>
    </w:p>
    <w:p>
      <w:pPr>
        <w:pStyle w:val="Heading2"/>
        <w:spacing w:after="150" w:before="300"/>
      </w:pPr>
      <w:r>
        <w:t xml:space="preserve">3.1 Personas utilisateurs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00"/>
        <w:gridCol w:w="2572"/>
      </w:tblGrid>
      <w:tr>
        <w:trPr>
          <w:tblHeader/>
        </w:trPr>
        <w:tc>
          <w:tcPr>
            <w:tcW w:type="dxa" w:w="2000"/>
            <w:shd w:fill="0F4C81" w:color="auto" w:val="clear"/>
            <w:tcMar>
              <w:top w:type="dxa" w:w="80"/>
              <w:left w:type="dxa" w:w="100"/>
              <w:bottom w:type="dxa" w:w="80"/>
              <w:right w:type="dxa" w:w="100"/>
            </w:tcMar>
          </w:tcPr>
          <w:p>
            <w:pPr>
              <w:jc w:val="left"/>
            </w:pPr>
            <w:r>
              <w:rPr>
                <w:b/>
                <w:bCs/>
                <w:color w:val="FFFFFF"/>
                <w:sz w:val="20"/>
                <w:szCs w:val="20"/>
              </w:rPr>
              <w:t xml:space="preserve">Persona</w:t>
            </w:r>
          </w:p>
        </w:tc>
        <w:tc>
          <w:tcPr>
            <w:tcW w:type="dxa" w:w="1800"/>
            <w:shd w:fill="0F4C81" w:color="auto" w:val="clear"/>
            <w:tcMar>
              <w:top w:type="dxa" w:w="80"/>
              <w:left w:type="dxa" w:w="100"/>
              <w:bottom w:type="dxa" w:w="80"/>
              <w:right w:type="dxa" w:w="100"/>
            </w:tcMar>
          </w:tcPr>
          <w:p>
            <w:pPr>
              <w:jc w:val="left"/>
            </w:pPr>
            <w:r>
              <w:rPr>
                <w:b/>
                <w:bCs/>
                <w:color w:val="FFFFFF"/>
                <w:sz w:val="20"/>
                <w:szCs w:val="20"/>
              </w:rPr>
              <w:t xml:space="preserve">Rôle</w:t>
            </w:r>
          </w:p>
        </w:tc>
        <w:tc>
          <w:tcPr>
            <w:tcW w:type="dxa" w:w="2700"/>
            <w:shd w:fill="0F4C81" w:color="auto" w:val="clear"/>
            <w:tcMar>
              <w:top w:type="dxa" w:w="80"/>
              <w:left w:type="dxa" w:w="100"/>
              <w:bottom w:type="dxa" w:w="80"/>
              <w:right w:type="dxa" w:w="100"/>
            </w:tcMar>
          </w:tcPr>
          <w:p>
            <w:pPr>
              <w:jc w:val="left"/>
            </w:pPr>
            <w:r>
              <w:rPr>
                <w:b/>
                <w:bCs/>
                <w:color w:val="FFFFFF"/>
                <w:sz w:val="20"/>
                <w:szCs w:val="20"/>
              </w:rPr>
              <w:t xml:space="preserve">Besoins clés</w:t>
            </w:r>
          </w:p>
        </w:tc>
        <w:tc>
          <w:tcPr>
            <w:tcW w:type="dxa" w:w="2572"/>
            <w:shd w:fill="0F4C81" w:color="auto" w:val="clear"/>
            <w:tcMar>
              <w:top w:type="dxa" w:w="80"/>
              <w:left w:type="dxa" w:w="100"/>
              <w:bottom w:type="dxa" w:w="80"/>
              <w:right w:type="dxa" w:w="100"/>
            </w:tcMar>
          </w:tcPr>
          <w:p>
            <w:pPr>
              <w:jc w:val="left"/>
            </w:pPr>
            <w:r>
              <w:rPr>
                <w:b/>
                <w:bCs/>
                <w:color w:val="FFFFFF"/>
                <w:sz w:val="20"/>
                <w:szCs w:val="20"/>
              </w:rPr>
              <w:t xml:space="preserve">Douleurs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Syndic professionnel</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Cabinet syndic, gestionnaire</w:t>
            </w:r>
          </w:p>
        </w:tc>
        <w:tc>
          <w:tcPr>
            <w:tcW w:type="dxa" w:w="2700"/>
            <w:shd w:fill="FFFFFF" w:color="auto" w:val="clear"/>
            <w:tcMar>
              <w:top w:type="dxa" w:w="80"/>
              <w:left w:type="dxa" w:w="100"/>
              <w:bottom w:type="dxa" w:w="80"/>
              <w:right w:type="dxa" w:w="100"/>
            </w:tcMar>
          </w:tcPr>
          <w:p>
            <w:pPr>
              <w:jc w:val="left"/>
            </w:pPr>
            <w:r>
              <w:rPr>
                <w:b w:val="false"/>
                <w:bCs w:val="false"/>
                <w:color w:val="111928"/>
                <w:sz w:val="20"/>
                <w:szCs w:val="20"/>
              </w:rPr>
              <w:t xml:space="preserve">Vue multi-résidences, automatisation, rapports</w:t>
            </w:r>
          </w:p>
        </w:tc>
        <w:tc>
          <w:tcPr>
            <w:tcW w:type="dxa" w:w="2572"/>
            <w:shd w:fill="FFFFFF" w:color="auto" w:val="clear"/>
            <w:tcMar>
              <w:top w:type="dxa" w:w="80"/>
              <w:left w:type="dxa" w:w="100"/>
              <w:bottom w:type="dxa" w:w="80"/>
              <w:right w:type="dxa" w:w="100"/>
            </w:tcMar>
          </w:tcPr>
          <w:p>
            <w:pPr>
              <w:jc w:val="left"/>
            </w:pPr>
            <w:r>
              <w:rPr>
                <w:b w:val="false"/>
                <w:bCs w:val="false"/>
                <w:color w:val="111928"/>
                <w:sz w:val="20"/>
                <w:szCs w:val="20"/>
              </w:rPr>
              <w:t xml:space="preserve">Logiciels vieillissants, saisie manuelle</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Conseil syndical bénévole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Copropriétaire élu président</w:t>
            </w:r>
          </w:p>
        </w:tc>
        <w:tc>
          <w:tcPr>
            <w:tcW w:type="dxa" w:w="2700"/>
            <w:shd w:fill="F4F7FC" w:color="auto" w:val="clear"/>
            <w:tcMar>
              <w:top w:type="dxa" w:w="80"/>
              <w:left w:type="dxa" w:w="100"/>
              <w:bottom w:type="dxa" w:w="80"/>
              <w:right w:type="dxa" w:w="100"/>
            </w:tcMar>
          </w:tcPr>
          <w:p>
            <w:pPr>
              <w:jc w:val="left"/>
            </w:pPr>
            <w:r>
              <w:rPr>
                <w:b w:val="false"/>
                <w:bCs w:val="false"/>
                <w:color w:val="111928"/>
                <w:sz w:val="20"/>
                <w:szCs w:val="20"/>
              </w:rPr>
              <w:t xml:space="preserve">Simplicité, guides loi 18-00, modèles</w:t>
            </w:r>
          </w:p>
        </w:tc>
        <w:tc>
          <w:tcPr>
            <w:tcW w:type="dxa" w:w="2572"/>
            <w:shd w:fill="F4F7FC" w:color="auto" w:val="clear"/>
            <w:tcMar>
              <w:top w:type="dxa" w:w="80"/>
              <w:left w:type="dxa" w:w="100"/>
              <w:bottom w:type="dxa" w:w="80"/>
              <w:right w:type="dxa" w:w="100"/>
            </w:tcMar>
          </w:tcPr>
          <w:p>
            <w:pPr>
              <w:jc w:val="left"/>
            </w:pPr>
            <w:r>
              <w:rPr>
                <w:b w:val="false"/>
                <w:bCs w:val="false"/>
                <w:color w:val="111928"/>
                <w:sz w:val="20"/>
                <w:szCs w:val="20"/>
              </w:rPr>
              <w:t xml:space="preserve">Manque de formation, outils complexes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Copropriétaire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Propriétaire d'un appartement</w:t>
            </w:r>
          </w:p>
        </w:tc>
        <w:tc>
          <w:tcPr>
            <w:tcW w:type="dxa" w:w="2700"/>
            <w:shd w:fill="FFFFFF" w:color="auto" w:val="clear"/>
            <w:tcMar>
              <w:top w:type="dxa" w:w="80"/>
              <w:left w:type="dxa" w:w="100"/>
              <w:bottom w:type="dxa" w:w="80"/>
              <w:right w:type="dxa" w:w="100"/>
            </w:tcMar>
          </w:tcPr>
          <w:p>
            <w:pPr>
              <w:jc w:val="left"/>
            </w:pPr>
            <w:r>
              <w:rPr>
                <w:b w:val="false"/>
                <w:bCs w:val="false"/>
                <w:color w:val="111928"/>
                <w:sz w:val="20"/>
                <w:szCs w:val="20"/>
              </w:rPr>
              <w:t xml:space="preserve">Voir charges, voter en AG, déposer tickets</w:t>
            </w:r>
          </w:p>
        </w:tc>
        <w:tc>
          <w:tcPr>
            <w:tcW w:type="dxa" w:w="2572"/>
            <w:shd w:fill="FFFFFF" w:color="auto" w:val="clear"/>
            <w:tcMar>
              <w:top w:type="dxa" w:w="80"/>
              <w:left w:type="dxa" w:w="100"/>
              <w:bottom w:type="dxa" w:w="80"/>
              <w:right w:type="dxa" w:w="100"/>
            </w:tcMar>
          </w:tcPr>
          <w:p>
            <w:pPr>
              <w:jc w:val="left"/>
            </w:pPr>
            <w:r>
              <w:rPr>
                <w:b w:val="false"/>
                <w:bCs w:val="false"/>
                <w:color w:val="111928"/>
                <w:sz w:val="20"/>
                <w:szCs w:val="20"/>
              </w:rPr>
              <w:t xml:space="preserve">Manque de visibilité, communication lente</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Comptable syndic</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Comptable interne ou prestataire</w:t>
            </w:r>
          </w:p>
        </w:tc>
        <w:tc>
          <w:tcPr>
            <w:tcW w:type="dxa" w:w="2700"/>
            <w:shd w:fill="F4F7FC" w:color="auto" w:val="clear"/>
            <w:tcMar>
              <w:top w:type="dxa" w:w="80"/>
              <w:left w:type="dxa" w:w="100"/>
              <w:bottom w:type="dxa" w:w="80"/>
              <w:right w:type="dxa" w:w="100"/>
            </w:tcMar>
          </w:tcPr>
          <w:p>
            <w:pPr>
              <w:jc w:val="left"/>
            </w:pPr>
            <w:r>
              <w:rPr>
                <w:b w:val="false"/>
                <w:bCs w:val="false"/>
                <w:color w:val="111928"/>
                <w:sz w:val="20"/>
                <w:szCs w:val="20"/>
              </w:rPr>
              <w:t xml:space="preserve">Saisie comptable, export, rapprochement</w:t>
            </w:r>
          </w:p>
        </w:tc>
        <w:tc>
          <w:tcPr>
            <w:tcW w:type="dxa" w:w="2572"/>
            <w:shd w:fill="F4F7FC" w:color="auto" w:val="clear"/>
            <w:tcMar>
              <w:top w:type="dxa" w:w="80"/>
              <w:left w:type="dxa" w:w="100"/>
              <w:bottom w:type="dxa" w:w="80"/>
              <w:right w:type="dxa" w:w="100"/>
            </w:tcMar>
          </w:tcPr>
          <w:p>
            <w:pPr>
              <w:jc w:val="left"/>
            </w:pPr>
            <w:r>
              <w:rPr>
                <w:b w:val="false"/>
                <w:bCs w:val="false"/>
                <w:color w:val="111928"/>
                <w:sz w:val="20"/>
                <w:szCs w:val="20"/>
              </w:rPr>
              <w:t xml:space="preserve">Double saisie, formats non standard</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Prestataire / artisan</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Gardien, plombier, électricien</w:t>
            </w:r>
          </w:p>
        </w:tc>
        <w:tc>
          <w:tcPr>
            <w:tcW w:type="dxa" w:w="2700"/>
            <w:shd w:fill="FFFFFF" w:color="auto" w:val="clear"/>
            <w:tcMar>
              <w:top w:type="dxa" w:w="80"/>
              <w:left w:type="dxa" w:w="100"/>
              <w:bottom w:type="dxa" w:w="80"/>
              <w:right w:type="dxa" w:w="100"/>
            </w:tcMar>
          </w:tcPr>
          <w:p>
            <w:pPr>
              <w:jc w:val="left"/>
            </w:pPr>
            <w:r>
              <w:rPr>
                <w:b w:val="false"/>
                <w:bCs w:val="false"/>
                <w:color w:val="111928"/>
                <w:sz w:val="20"/>
                <w:szCs w:val="20"/>
              </w:rPr>
              <w:t xml:space="preserve">Voir ses missions, déposer factures</w:t>
            </w:r>
          </w:p>
        </w:tc>
        <w:tc>
          <w:tcPr>
            <w:tcW w:type="dxa" w:w="2572"/>
            <w:shd w:fill="FFFFFF" w:color="auto" w:val="clear"/>
            <w:tcMar>
              <w:top w:type="dxa" w:w="80"/>
              <w:left w:type="dxa" w:w="100"/>
              <w:bottom w:type="dxa" w:w="80"/>
              <w:right w:type="dxa" w:w="100"/>
            </w:tcMar>
          </w:tcPr>
          <w:p>
            <w:pPr>
              <w:jc w:val="left"/>
            </w:pPr>
            <w:r>
              <w:rPr>
                <w:b w:val="false"/>
                <w:bCs w:val="false"/>
                <w:color w:val="111928"/>
                <w:sz w:val="20"/>
                <w:szCs w:val="20"/>
              </w:rPr>
              <w:t xml:space="preserve">Communication par SMS/WhatsApp uniquement</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Super Admin</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Équipe Syndic360</w:t>
            </w:r>
          </w:p>
        </w:tc>
        <w:tc>
          <w:tcPr>
            <w:tcW w:type="dxa" w:w="2700"/>
            <w:shd w:fill="F4F7FC" w:color="auto" w:val="clear"/>
            <w:tcMar>
              <w:top w:type="dxa" w:w="80"/>
              <w:left w:type="dxa" w:w="100"/>
              <w:bottom w:type="dxa" w:w="80"/>
              <w:right w:type="dxa" w:w="100"/>
            </w:tcMar>
          </w:tcPr>
          <w:p>
            <w:pPr>
              <w:jc w:val="left"/>
            </w:pPr>
            <w:r>
              <w:rPr>
                <w:b w:val="false"/>
                <w:bCs w:val="false"/>
                <w:color w:val="111928"/>
                <w:sz w:val="20"/>
                <w:szCs w:val="20"/>
              </w:rPr>
              <w:t xml:space="preserve">Gérer tenants, support, analytics</w:t>
            </w:r>
          </w:p>
        </w:tc>
        <w:tc>
          <w:tcPr>
            <w:tcW w:type="dxa" w:w="2572"/>
            <w:shd w:fill="F4F7FC" w:color="auto" w:val="clear"/>
            <w:tcMar>
              <w:top w:type="dxa" w:w="80"/>
              <w:left w:type="dxa" w:w="100"/>
              <w:bottom w:type="dxa" w:w="80"/>
              <w:right w:type="dxa" w:w="100"/>
            </w:tcMar>
          </w:tcPr>
          <w:p>
            <w:pPr>
              <w:jc w:val="left"/>
            </w:pPr>
            <w:r>
              <w:rPr>
                <w:b w:val="false"/>
                <w:bCs w:val="false"/>
                <w:color w:val="111928"/>
                <w:sz w:val="20"/>
                <w:szCs w:val="20"/>
              </w:rPr>
              <w:t xml:space="preserve">Visibilité limitée sur l'usage plateforme</w:t>
            </w:r>
          </w:p>
        </w:tc>
      </w:tr>
    </w:tbl>
    <w:p>
      <w:pPr>
        <w:spacing w:after="80"/>
      </w:pPr>
      <w:r>
        <w:t xml:space="preserve"/>
      </w:r>
    </w:p>
    <w:p>
      <w:pPr>
        <w:pStyle w:val="Heading2"/>
        <w:spacing w:after="150" w:before="300"/>
      </w:pPr>
      <w:r>
        <w:t xml:space="preserve">3.2 Matrice des rôles et permissions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950"/>
        <w:gridCol w:w="1050"/>
        <w:gridCol w:w="1150"/>
        <w:gridCol w:w="1300"/>
        <w:gridCol w:w="1200"/>
        <w:gridCol w:w="1022"/>
      </w:tblGrid>
      <w:tr>
        <w:trPr>
          <w:tblHeader/>
        </w:trPr>
        <w:tc>
          <w:tcPr>
            <w:tcW w:type="dxa" w:w="2400"/>
            <w:shd w:fill="0F4C81" w:color="auto" w:val="clear"/>
            <w:tcMar>
              <w:top w:type="dxa" w:w="80"/>
              <w:left w:type="dxa" w:w="100"/>
              <w:bottom w:type="dxa" w:w="80"/>
              <w:right w:type="dxa" w:w="100"/>
            </w:tcMar>
          </w:tcPr>
          <w:p>
            <w:pPr>
              <w:jc w:val="left"/>
            </w:pPr>
            <w:r>
              <w:rPr>
                <w:b/>
                <w:bCs/>
                <w:color w:val="FFFFFF"/>
                <w:sz w:val="20"/>
                <w:szCs w:val="20"/>
              </w:rPr>
              <w:t xml:space="preserve">Module / Action</w:t>
            </w:r>
          </w:p>
        </w:tc>
        <w:tc>
          <w:tcPr>
            <w:tcW w:type="dxa" w:w="950"/>
            <w:shd w:fill="0F4C81" w:color="auto" w:val="clear"/>
            <w:tcMar>
              <w:top w:type="dxa" w:w="80"/>
              <w:left w:type="dxa" w:w="100"/>
              <w:bottom w:type="dxa" w:w="80"/>
              <w:right w:type="dxa" w:w="100"/>
            </w:tcMar>
          </w:tcPr>
          <w:p>
            <w:pPr>
              <w:jc w:val="left"/>
            </w:pPr>
            <w:r>
              <w:rPr>
                <w:b/>
                <w:bCs/>
                <w:color w:val="FFFFFF"/>
                <w:sz w:val="20"/>
                <w:szCs w:val="20"/>
              </w:rPr>
              <w:t xml:space="preserve">SuperAdmin</w:t>
            </w:r>
          </w:p>
        </w:tc>
        <w:tc>
          <w:tcPr>
            <w:tcW w:type="dxa" w:w="1050"/>
            <w:shd w:fill="0F4C81" w:color="auto" w:val="clear"/>
            <w:tcMar>
              <w:top w:type="dxa" w:w="80"/>
              <w:left w:type="dxa" w:w="100"/>
              <w:bottom w:type="dxa" w:w="80"/>
              <w:right w:type="dxa" w:w="100"/>
            </w:tcMar>
          </w:tcPr>
          <w:p>
            <w:pPr>
              <w:jc w:val="left"/>
            </w:pPr>
            <w:r>
              <w:rPr>
                <w:b/>
                <w:bCs/>
                <w:color w:val="FFFFFF"/>
                <w:sz w:val="20"/>
                <w:szCs w:val="20"/>
              </w:rPr>
              <w:t xml:space="preserve">SyndicAdmin</w:t>
            </w:r>
          </w:p>
        </w:tc>
        <w:tc>
          <w:tcPr>
            <w:tcW w:type="dxa" w:w="1150"/>
            <w:shd w:fill="0F4C81" w:color="auto" w:val="clear"/>
            <w:tcMar>
              <w:top w:type="dxa" w:w="80"/>
              <w:left w:type="dxa" w:w="100"/>
              <w:bottom w:type="dxa" w:w="80"/>
              <w:right w:type="dxa" w:w="100"/>
            </w:tcMar>
          </w:tcPr>
          <w:p>
            <w:pPr>
              <w:jc w:val="left"/>
            </w:pPr>
            <w:r>
              <w:rPr>
                <w:b/>
                <w:bCs/>
                <w:color w:val="FFFFFF"/>
                <w:sz w:val="20"/>
                <w:szCs w:val="20"/>
              </w:rPr>
              <w:t xml:space="preserve">Gestionnaire</w:t>
            </w:r>
          </w:p>
        </w:tc>
        <w:tc>
          <w:tcPr>
            <w:tcW w:type="dxa" w:w="1300"/>
            <w:shd w:fill="0F4C81" w:color="auto" w:val="clear"/>
            <w:tcMar>
              <w:top w:type="dxa" w:w="80"/>
              <w:left w:type="dxa" w:w="100"/>
              <w:bottom w:type="dxa" w:w="80"/>
              <w:right w:type="dxa" w:w="100"/>
            </w:tcMar>
          </w:tcPr>
          <w:p>
            <w:pPr>
              <w:jc w:val="left"/>
            </w:pPr>
            <w:r>
              <w:rPr>
                <w:b/>
                <w:bCs/>
                <w:color w:val="FFFFFF"/>
                <w:sz w:val="20"/>
                <w:szCs w:val="20"/>
              </w:rPr>
              <w:t xml:space="preserve">ConseilBénévole</w:t>
            </w:r>
          </w:p>
        </w:tc>
        <w:tc>
          <w:tcPr>
            <w:tcW w:type="dxa" w:w="1200"/>
            <w:shd w:fill="0F4C81" w:color="auto" w:val="clear"/>
            <w:tcMar>
              <w:top w:type="dxa" w:w="80"/>
              <w:left w:type="dxa" w:w="100"/>
              <w:bottom w:type="dxa" w:w="80"/>
              <w:right w:type="dxa" w:w="100"/>
            </w:tcMar>
          </w:tcPr>
          <w:p>
            <w:pPr>
              <w:jc w:val="left"/>
            </w:pPr>
            <w:r>
              <w:rPr>
                <w:b/>
                <w:bCs/>
                <w:color w:val="FFFFFF"/>
                <w:sz w:val="20"/>
                <w:szCs w:val="20"/>
              </w:rPr>
              <w:t xml:space="preserve">Copropriétaire</w:t>
            </w:r>
          </w:p>
        </w:tc>
        <w:tc>
          <w:tcPr>
            <w:tcW w:type="dxa" w:w="1022"/>
            <w:shd w:fill="0F4C81" w:color="auto" w:val="clear"/>
            <w:tcMar>
              <w:top w:type="dxa" w:w="80"/>
              <w:left w:type="dxa" w:w="100"/>
              <w:bottom w:type="dxa" w:w="80"/>
              <w:right w:type="dxa" w:w="100"/>
            </w:tcMar>
          </w:tcPr>
          <w:p>
            <w:pPr>
              <w:jc w:val="left"/>
            </w:pPr>
            <w:r>
              <w:rPr>
                <w:b/>
                <w:bCs/>
                <w:color w:val="FFFFFF"/>
                <w:sz w:val="20"/>
                <w:szCs w:val="20"/>
              </w:rPr>
              <w:t xml:space="preserve">Prestataire</w:t>
            </w:r>
          </w:p>
        </w:tc>
      </w:tr>
      <w:tr>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Gérer N copropriétés</w:t>
            </w:r>
          </w:p>
        </w:tc>
        <w:tc>
          <w:tcPr>
            <w:tcW w:type="dxa" w:w="9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FFFFF" w:color="auto" w:val="clear"/>
            <w:tcMar>
              <w:top w:type="dxa" w:w="80"/>
              <w:left w:type="dxa" w:w="100"/>
              <w:bottom w:type="dxa" w:w="80"/>
              <w:right w:type="dxa" w:w="100"/>
            </w:tcMar>
          </w:tcPr>
          <w:p>
            <w:pPr>
              <w:jc w:val="left"/>
            </w:pPr>
            <w:r>
              <w:rPr>
                <w:b w:val="false"/>
                <w:bCs w:val="false"/>
                <w:color w:val="111928"/>
                <w:sz w:val="20"/>
                <w:szCs w:val="20"/>
              </w:rPr>
              <w:t xml:space="preserve">Assignées</w:t>
            </w:r>
          </w:p>
        </w:tc>
        <w:tc>
          <w:tcPr>
            <w:tcW w:type="dxa" w:w="1300"/>
            <w:shd w:fill="FFFFFF" w:color="auto" w:val="clear"/>
            <w:tcMar>
              <w:top w:type="dxa" w:w="80"/>
              <w:left w:type="dxa" w:w="100"/>
              <w:bottom w:type="dxa" w:w="80"/>
              <w:right w:type="dxa" w:w="100"/>
            </w:tcMar>
          </w:tcPr>
          <w:p>
            <w:pPr>
              <w:jc w:val="left"/>
            </w:pPr>
            <w:r>
              <w:rPr>
                <w:b w:val="false"/>
                <w:bCs w:val="false"/>
                <w:color w:val="111928"/>
                <w:sz w:val="20"/>
                <w:szCs w:val="20"/>
              </w:rPr>
              <w:t xml:space="preserve">1 seule</w:t>
            </w:r>
          </w:p>
        </w:tc>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2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Appels de charges</w:t>
            </w:r>
          </w:p>
        </w:tc>
        <w:tc>
          <w:tcPr>
            <w:tcW w:type="dxa" w:w="9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Lecture</w:t>
            </w:r>
          </w:p>
        </w:tc>
        <w:tc>
          <w:tcPr>
            <w:tcW w:type="dxa" w:w="102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Comptabilité complète</w:t>
            </w:r>
          </w:p>
        </w:tc>
        <w:tc>
          <w:tcPr>
            <w:tcW w:type="dxa" w:w="9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FFFFF" w:color="auto" w:val="clear"/>
            <w:tcMar>
              <w:top w:type="dxa" w:w="80"/>
              <w:left w:type="dxa" w:w="100"/>
              <w:bottom w:type="dxa" w:w="80"/>
              <w:right w:type="dxa" w:w="100"/>
            </w:tcMar>
          </w:tcPr>
          <w:p>
            <w:pPr>
              <w:jc w:val="left"/>
            </w:pPr>
            <w:r>
              <w:rPr>
                <w:b w:val="false"/>
                <w:bCs w:val="false"/>
                <w:color w:val="111928"/>
                <w:sz w:val="20"/>
                <w:szCs w:val="20"/>
              </w:rPr>
              <w:t xml:space="preserve">Simplifiée</w:t>
            </w:r>
          </w:p>
        </w:tc>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2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Créer/gérer une AG</w:t>
            </w:r>
          </w:p>
        </w:tc>
        <w:tc>
          <w:tcPr>
            <w:tcW w:type="dxa" w:w="9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Vote seul</w:t>
            </w:r>
          </w:p>
        </w:tc>
        <w:tc>
          <w:tcPr>
            <w:tcW w:type="dxa" w:w="102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GED — upload docs</w:t>
            </w:r>
          </w:p>
        </w:tc>
        <w:tc>
          <w:tcPr>
            <w:tcW w:type="dxa" w:w="9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Lecture</w:t>
            </w:r>
          </w:p>
        </w:tc>
        <w:tc>
          <w:tcPr>
            <w:tcW w:type="dxa" w:w="1022"/>
            <w:shd w:fill="FFFFFF" w:color="auto" w:val="clear"/>
            <w:tcMar>
              <w:top w:type="dxa" w:w="80"/>
              <w:left w:type="dxa" w:w="100"/>
              <w:bottom w:type="dxa" w:w="80"/>
              <w:right w:type="dxa" w:w="100"/>
            </w:tcMar>
          </w:tcPr>
          <w:p>
            <w:pPr>
              <w:jc w:val="left"/>
            </w:pPr>
            <w:r>
              <w:rPr>
                <w:b w:val="false"/>
                <w:bCs w:val="false"/>
                <w:color w:val="111928"/>
                <w:sz w:val="20"/>
                <w:szCs w:val="20"/>
              </w:rPr>
              <w:t xml:space="preserve">Ses docs</w:t>
            </w:r>
          </w:p>
        </w:tc>
      </w:tr>
      <w:tr>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Créer ticket incident</w:t>
            </w:r>
          </w:p>
        </w:tc>
        <w:tc>
          <w:tcPr>
            <w:tcW w:type="dxa" w:w="9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2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Traiter ticket incident</w:t>
            </w:r>
          </w:p>
        </w:tc>
        <w:tc>
          <w:tcPr>
            <w:tcW w:type="dxa" w:w="9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2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Paiement en ligne</w:t>
            </w:r>
          </w:p>
        </w:tc>
        <w:tc>
          <w:tcPr>
            <w:tcW w:type="dxa" w:w="9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2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Analytics &amp; rapports</w:t>
            </w:r>
          </w:p>
        </w:tc>
        <w:tc>
          <w:tcPr>
            <w:tcW w:type="dxa" w:w="9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FFFFF" w:color="auto" w:val="clear"/>
            <w:tcMar>
              <w:top w:type="dxa" w:w="80"/>
              <w:left w:type="dxa" w:w="100"/>
              <w:bottom w:type="dxa" w:w="80"/>
              <w:right w:type="dxa" w:w="100"/>
            </w:tcMar>
          </w:tcPr>
          <w:p>
            <w:pPr>
              <w:jc w:val="left"/>
            </w:pPr>
            <w:r>
              <w:rPr>
                <w:b w:val="false"/>
                <w:bCs w:val="false"/>
                <w:color w:val="111928"/>
                <w:sz w:val="20"/>
                <w:szCs w:val="20"/>
              </w:rPr>
              <w:t xml:space="preserve">Partiel</w:t>
            </w:r>
          </w:p>
        </w:tc>
        <w:tc>
          <w:tcPr>
            <w:tcW w:type="dxa" w:w="13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2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Gérer utilisateurs</w:t>
            </w:r>
          </w:p>
        </w:tc>
        <w:tc>
          <w:tcPr>
            <w:tcW w:type="dxa" w:w="9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15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3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02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bl>
    <w:p>
      <w:r>
        <w:br w:type="page"/>
      </w:r>
    </w:p>
    <w:p>
      <w:pPr>
        <w:pStyle w:val="Heading1"/>
        <w:spacing w:after="200" w:before="440"/>
      </w:pPr>
      <w:r>
        <w:t xml:space="preserve">4. Architecture technique détaillée</w:t>
      </w:r>
    </w:p>
    <w:p>
      <w:pPr>
        <w:pStyle w:val="Heading2"/>
        <w:spacing w:after="150" w:before="300"/>
      </w:pPr>
      <w:r>
        <w:t xml:space="preserve">4.1 Stack technologique — décision finale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400"/>
        <w:gridCol w:w="3372"/>
      </w:tblGrid>
      <w:tr>
        <w:trPr>
          <w:tblHeader/>
        </w:trPr>
        <w:tc>
          <w:tcPr>
            <w:tcW w:type="dxa" w:w="1900"/>
            <w:shd w:fill="0F4C81" w:color="auto" w:val="clear"/>
            <w:tcMar>
              <w:top w:type="dxa" w:w="80"/>
              <w:left w:type="dxa" w:w="100"/>
              <w:bottom w:type="dxa" w:w="80"/>
              <w:right w:type="dxa" w:w="100"/>
            </w:tcMar>
          </w:tcPr>
          <w:p>
            <w:pPr>
              <w:jc w:val="left"/>
            </w:pPr>
            <w:r>
              <w:rPr>
                <w:b/>
                <w:bCs/>
                <w:color w:val="FFFFFF"/>
                <w:sz w:val="20"/>
                <w:szCs w:val="20"/>
              </w:rPr>
              <w:t xml:space="preserve">Couche</w:t>
            </w:r>
          </w:p>
        </w:tc>
        <w:tc>
          <w:tcPr>
            <w:tcW w:type="dxa" w:w="2400"/>
            <w:shd w:fill="0F4C81" w:color="auto" w:val="clear"/>
            <w:tcMar>
              <w:top w:type="dxa" w:w="80"/>
              <w:left w:type="dxa" w:w="100"/>
              <w:bottom w:type="dxa" w:w="80"/>
              <w:right w:type="dxa" w:w="100"/>
            </w:tcMar>
          </w:tcPr>
          <w:p>
            <w:pPr>
              <w:jc w:val="left"/>
            </w:pPr>
            <w:r>
              <w:rPr>
                <w:b/>
                <w:bCs/>
                <w:color w:val="FFFFFF"/>
                <w:sz w:val="20"/>
                <w:szCs w:val="20"/>
              </w:rPr>
              <w:t xml:space="preserve">Technologie choisie</w:t>
            </w:r>
          </w:p>
        </w:tc>
        <w:tc>
          <w:tcPr>
            <w:tcW w:type="dxa" w:w="1400"/>
            <w:shd w:fill="0F4C81" w:color="auto" w:val="clear"/>
            <w:tcMar>
              <w:top w:type="dxa" w:w="80"/>
              <w:left w:type="dxa" w:w="100"/>
              <w:bottom w:type="dxa" w:w="80"/>
              <w:right w:type="dxa" w:w="100"/>
            </w:tcMar>
          </w:tcPr>
          <w:p>
            <w:pPr>
              <w:jc w:val="left"/>
            </w:pPr>
            <w:r>
              <w:rPr>
                <w:b/>
                <w:bCs/>
                <w:color w:val="FFFFFF"/>
                <w:sz w:val="20"/>
                <w:szCs w:val="20"/>
              </w:rPr>
              <w:t xml:space="preserve">Version</w:t>
            </w:r>
          </w:p>
        </w:tc>
        <w:tc>
          <w:tcPr>
            <w:tcW w:type="dxa" w:w="3372"/>
            <w:shd w:fill="0F4C81" w:color="auto" w:val="clear"/>
            <w:tcMar>
              <w:top w:type="dxa" w:w="80"/>
              <w:left w:type="dxa" w:w="100"/>
              <w:bottom w:type="dxa" w:w="80"/>
              <w:right w:type="dxa" w:w="100"/>
            </w:tcMar>
          </w:tcPr>
          <w:p>
            <w:pPr>
              <w:jc w:val="left"/>
            </w:pPr>
            <w:r>
              <w:rPr>
                <w:b/>
                <w:bCs/>
                <w:color w:val="FFFFFF"/>
                <w:sz w:val="20"/>
                <w:szCs w:val="20"/>
              </w:rPr>
              <w:t xml:space="preserve">Justification</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Frontend web</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Next.js + TypeScript</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14.x (App Router)</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SSR, SEO, performance, ecosystem React</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UI Components</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shadcn/ui + Tailwind CSS</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Composants accessibles, customisables</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État global client</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Zustand + React Query (TanStack)</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v4</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Cache serveur + état UI léger</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Formulaires</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React Hook Form + Zod</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Validation typesafe côté client</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Graphiques</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Recharts + Chart.js</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Dashboards financiers et analytics</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Backend API</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NestJS + TypeScript</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10.x</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Modulaire, testable, DI natif</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Validation API</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class-validator + class-transformer</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DTOs typesafe</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ORM</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Prisma</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5.x</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Migrations, type safety, multi-tenant</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Base de données</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PostgreSQL</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16.x</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ACID, schémas multi-tenant, JSON</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Cache &amp; Sessions</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Redis (Upstash ou AWS ElastiCache)</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7.x</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Sessions, rate limiting, queues</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File Queues</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BullMQ (sur Redis)</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Emails, PDF, relances async</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Stockage fichiers</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AWS S3 (ou Scaleway Object Storage)</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GED, avatars, exports PDF</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Paiements</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Stripe + CMI Maroc</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API 2024</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Cartes, SEPA, abonnements SaaS</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Emails</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Resend (ou SendGrid)</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Transactionnel + templates React Email</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SMS</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Twilio</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Alertes urgentes, OTP 2FA</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Signature électronique</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YouSign (ou DocuSign)</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API v3</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eIDAS, conforme RGPD, hébergement EU</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IA</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Claude API (Anthropic)</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claude-sonnet-4-6</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Génération PV, convocations, courriers</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App mobile</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React Native + Expo</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SDK 51</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Cross-platform iOS/Android, code partagé</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Auth</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NextAuth.js (web) + JWT (mobile)</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v5</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Sessions, SSO Google/Microsoft, 2FA</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Infrastructure</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AWS (EC2/ECS, RDS, S3, CloudFront)</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Scalable, certifiable HDS</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CI/CD</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GitHub Actions + Vercel (frontend)</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Preview apps, déploiement continu</w:t>
            </w:r>
          </w:p>
        </w:tc>
      </w:tr>
      <w:tr>
        <w:tc>
          <w:tcPr>
            <w:tcW w:type="dxa" w:w="1900"/>
            <w:shd w:fill="F4F7FC" w:color="auto" w:val="clear"/>
            <w:tcMar>
              <w:top w:type="dxa" w:w="80"/>
              <w:left w:type="dxa" w:w="100"/>
              <w:bottom w:type="dxa" w:w="80"/>
              <w:right w:type="dxa" w:w="100"/>
            </w:tcMar>
          </w:tcPr>
          <w:p>
            <w:pPr>
              <w:jc w:val="left"/>
            </w:pPr>
            <w:r>
              <w:rPr>
                <w:b w:val="false"/>
                <w:bCs w:val="false"/>
                <w:color w:val="111928"/>
                <w:sz w:val="20"/>
                <w:szCs w:val="20"/>
              </w:rPr>
              <w:t xml:space="preserve">Monitoring</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Datadog + Sentry</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4F7FC" w:color="auto" w:val="clear"/>
            <w:tcMar>
              <w:top w:type="dxa" w:w="80"/>
              <w:left w:type="dxa" w:w="100"/>
              <w:bottom w:type="dxa" w:w="80"/>
              <w:right w:type="dxa" w:w="100"/>
            </w:tcMar>
          </w:tcPr>
          <w:p>
            <w:pPr>
              <w:jc w:val="left"/>
            </w:pPr>
            <w:r>
              <w:rPr>
                <w:b w:val="false"/>
                <w:bCs w:val="false"/>
                <w:color w:val="111928"/>
                <w:sz w:val="20"/>
                <w:szCs w:val="20"/>
              </w:rPr>
              <w:t xml:space="preserve">APM, logs, alertes erreurs</w:t>
            </w:r>
          </w:p>
        </w:tc>
      </w:tr>
      <w:tr>
        <w:tc>
          <w:tcPr>
            <w:tcW w:type="dxa" w:w="1900"/>
            <w:shd w:fill="FFFFFF" w:color="auto" w:val="clear"/>
            <w:tcMar>
              <w:top w:type="dxa" w:w="80"/>
              <w:left w:type="dxa" w:w="100"/>
              <w:bottom w:type="dxa" w:w="80"/>
              <w:right w:type="dxa" w:w="100"/>
            </w:tcMar>
          </w:tcPr>
          <w:p>
            <w:pPr>
              <w:jc w:val="left"/>
            </w:pPr>
            <w:r>
              <w:rPr>
                <w:b w:val="false"/>
                <w:bCs w:val="false"/>
                <w:color w:val="111928"/>
                <w:sz w:val="20"/>
                <w:szCs w:val="20"/>
              </w:rPr>
              <w:t xml:space="preserve">Tests</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Jest + Playwright + k6</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Latest</w:t>
            </w:r>
          </w:p>
        </w:tc>
        <w:tc>
          <w:tcPr>
            <w:tcW w:type="dxa" w:w="3372"/>
            <w:shd w:fill="FFFFFF" w:color="auto" w:val="clear"/>
            <w:tcMar>
              <w:top w:type="dxa" w:w="80"/>
              <w:left w:type="dxa" w:w="100"/>
              <w:bottom w:type="dxa" w:w="80"/>
              <w:right w:type="dxa" w:w="100"/>
            </w:tcMar>
          </w:tcPr>
          <w:p>
            <w:pPr>
              <w:jc w:val="left"/>
            </w:pPr>
            <w:r>
              <w:rPr>
                <w:b w:val="false"/>
                <w:bCs w:val="false"/>
                <w:color w:val="111928"/>
                <w:sz w:val="20"/>
                <w:szCs w:val="20"/>
              </w:rPr>
              <w:t xml:space="preserve">Unit, E2E, charge</w:t>
            </w:r>
          </w:p>
        </w:tc>
      </w:tr>
    </w:tbl>
    <w:p>
      <w:pPr>
        <w:spacing w:after="80"/>
      </w:pPr>
      <w:r>
        <w:t xml:space="preserve"/>
      </w:r>
    </w:p>
    <w:p>
      <w:pPr>
        <w:pStyle w:val="Heading2"/>
        <w:spacing w:after="150" w:before="300"/>
      </w:pPr>
      <w:r>
        <w:t xml:space="preserve">4.2 Architecture multi-tenant</w:t>
      </w:r>
    </w:p>
    <w:p>
      <w:pPr>
        <w:spacing w:after="120"/>
      </w:pPr>
      <w:r>
        <w:rPr>
          <w:color w:val="111928"/>
          <w:sz w:val="22"/>
          <w:szCs w:val="22"/>
        </w:rPr>
        <w:t xml:space="preserve">Syndic360 utilise une architecture multi-tenant avec isolation par schéma PostgreSQL (schema-per-tenant). Chaque organisation (cabinet ou bénévole) a son propre schéma de base de données, garantissant une isolation totale des données.</w:t>
      </w:r>
    </w:p>
    <w:p>
      <w:pPr>
        <w:pStyle w:val="ListParagraph"/>
        <w:numPr>
          <w:ilvl w:val="0"/>
          <w:numId w:val="2"/>
        </w:numPr>
        <w:spacing w:after="80"/>
      </w:pPr>
      <w:r>
        <w:rPr>
          <w:color w:val="111928"/>
          <w:sz w:val="22"/>
          <w:szCs w:val="22"/>
        </w:rPr>
        <w:t xml:space="preserve">Tenant = Organisation (cabinet syndic ou syndic bénévole)</w:t>
      </w:r>
    </w:p>
    <w:p>
      <w:pPr>
        <w:pStyle w:val="ListParagraph"/>
        <w:numPr>
          <w:ilvl w:val="0"/>
          <w:numId w:val="2"/>
        </w:numPr>
        <w:spacing w:after="80"/>
      </w:pPr>
      <w:r>
        <w:rPr>
          <w:color w:val="111928"/>
          <w:sz w:val="22"/>
          <w:szCs w:val="22"/>
        </w:rPr>
        <w:t xml:space="preserve">Chaque tenant peut gérer N copropriétés (limité selon le plan tarifaire)</w:t>
      </w:r>
    </w:p>
    <w:p>
      <w:pPr>
        <w:pStyle w:val="ListParagraph"/>
        <w:numPr>
          <w:ilvl w:val="0"/>
          <w:numId w:val="2"/>
        </w:numPr>
        <w:spacing w:after="80"/>
      </w:pPr>
      <w:r>
        <w:rPr>
          <w:color w:val="111928"/>
          <w:sz w:val="22"/>
          <w:szCs w:val="22"/>
        </w:rPr>
        <w:t xml:space="preserve">Chaque copropriété contient : bâtiments → lots → copropriétaires</w:t>
      </w:r>
    </w:p>
    <w:p>
      <w:pPr>
        <w:pStyle w:val="ListParagraph"/>
        <w:numPr>
          <w:ilvl w:val="0"/>
          <w:numId w:val="2"/>
        </w:numPr>
        <w:spacing w:after="80"/>
      </w:pPr>
      <w:r>
        <w:rPr>
          <w:color w:val="111928"/>
          <w:sz w:val="22"/>
          <w:szCs w:val="22"/>
        </w:rPr>
        <w:t xml:space="preserve">Isolation RBAC : un utilisateur ne voit que les ressources de son tenant</w:t>
      </w:r>
    </w:p>
    <w:p>
      <w:pPr>
        <w:pStyle w:val="ListParagraph"/>
        <w:numPr>
          <w:ilvl w:val="0"/>
          <w:numId w:val="2"/>
        </w:numPr>
        <w:spacing w:after="80"/>
      </w:pPr>
      <w:r>
        <w:rPr>
          <w:color w:val="111928"/>
          <w:sz w:val="22"/>
          <w:szCs w:val="22"/>
        </w:rPr>
        <w:t xml:space="preserve">Sous-domaine personnalisé possible : cabinet-xyz.syndic360.ma</w:t>
      </w:r>
    </w:p>
    <w:p>
      <w:pPr>
        <w:pStyle w:val="ListParagraph"/>
        <w:numPr>
          <w:ilvl w:val="0"/>
          <w:numId w:val="2"/>
        </w:numPr>
        <w:spacing w:after="80"/>
      </w:pPr>
      <w:r>
        <w:rPr>
          <w:color w:val="111928"/>
          <w:sz w:val="22"/>
          <w:szCs w:val="22"/>
        </w:rPr>
        <w:t xml:space="preserve">API multi-tenant : header X-Tenant-ID ou sous-domaine pour résolution du tenant</w:t>
      </w:r>
    </w:p>
    <w:p>
      <w:pPr>
        <w:pStyle w:val="Heading2"/>
        <w:spacing w:after="150" w:before="300"/>
      </w:pPr>
      <w:r>
        <w:t xml:space="preserve">4.3 Structure des répertoires du projet (monorepo)</w:t>
      </w:r>
    </w:p>
    <w:p>
      <w:pPr>
        <w:spacing w:after="120"/>
      </w:pPr>
      <w:r>
        <w:rPr>
          <w:color w:val="111928"/>
          <w:sz w:val="22"/>
          <w:szCs w:val="22"/>
        </w:rPr>
        <w:t xml:space="preserve">syndic360/</w:t>
      </w:r>
    </w:p>
    <w:p>
      <w:pPr>
        <w:pStyle w:val="ListParagraph"/>
        <w:numPr>
          <w:ilvl w:val="0"/>
          <w:numId w:val="2"/>
        </w:numPr>
        <w:spacing w:after="80"/>
      </w:pPr>
      <w:r>
        <w:rPr>
          <w:color w:val="111928"/>
          <w:sz w:val="22"/>
          <w:szCs w:val="22"/>
        </w:rPr>
        <w:t xml:space="preserve">apps/web/          → Next.js 14 (interface admin + copropriétaire)</w:t>
      </w:r>
    </w:p>
    <w:p>
      <w:pPr>
        <w:pStyle w:val="ListParagraph"/>
        <w:numPr>
          <w:ilvl w:val="0"/>
          <w:numId w:val="2"/>
        </w:numPr>
        <w:spacing w:after="80"/>
      </w:pPr>
      <w:r>
        <w:rPr>
          <w:color w:val="111928"/>
          <w:sz w:val="22"/>
          <w:szCs w:val="22"/>
        </w:rPr>
        <w:t xml:space="preserve">apps/mobile/       → React Native + Expo (iOS &amp; Android)</w:t>
      </w:r>
    </w:p>
    <w:p>
      <w:pPr>
        <w:pStyle w:val="ListParagraph"/>
        <w:numPr>
          <w:ilvl w:val="0"/>
          <w:numId w:val="2"/>
        </w:numPr>
        <w:spacing w:after="80"/>
      </w:pPr>
      <w:r>
        <w:rPr>
          <w:color w:val="111928"/>
          <w:sz w:val="22"/>
          <w:szCs w:val="22"/>
        </w:rPr>
        <w:t xml:space="preserve">apps/api/          → NestJS API backend</w:t>
      </w:r>
    </w:p>
    <w:p>
      <w:pPr>
        <w:pStyle w:val="ListParagraph"/>
        <w:numPr>
          <w:ilvl w:val="0"/>
          <w:numId w:val="2"/>
        </w:numPr>
        <w:spacing w:after="80"/>
      </w:pPr>
      <w:r>
        <w:rPr>
          <w:color w:val="111928"/>
          <w:sz w:val="22"/>
          <w:szCs w:val="22"/>
        </w:rPr>
        <w:t xml:space="preserve">packages/ui/       → Composants UI partagés (shadcn customisé)</w:t>
      </w:r>
    </w:p>
    <w:p>
      <w:pPr>
        <w:pStyle w:val="ListParagraph"/>
        <w:numPr>
          <w:ilvl w:val="0"/>
          <w:numId w:val="2"/>
        </w:numPr>
        <w:spacing w:after="80"/>
      </w:pPr>
      <w:r>
        <w:rPr>
          <w:color w:val="111928"/>
          <w:sz w:val="22"/>
          <w:szCs w:val="22"/>
        </w:rPr>
        <w:t xml:space="preserve">packages/db/       → Prisma schema + migrations</w:t>
      </w:r>
    </w:p>
    <w:p>
      <w:pPr>
        <w:pStyle w:val="ListParagraph"/>
        <w:numPr>
          <w:ilvl w:val="0"/>
          <w:numId w:val="2"/>
        </w:numPr>
        <w:spacing w:after="80"/>
      </w:pPr>
      <w:r>
        <w:rPr>
          <w:color w:val="111928"/>
          <w:sz w:val="22"/>
          <w:szCs w:val="22"/>
        </w:rPr>
        <w:t xml:space="preserve">packages/types/    → Types TypeScript partagés</w:t>
      </w:r>
    </w:p>
    <w:p>
      <w:pPr>
        <w:pStyle w:val="ListParagraph"/>
        <w:numPr>
          <w:ilvl w:val="0"/>
          <w:numId w:val="2"/>
        </w:numPr>
        <w:spacing w:after="80"/>
      </w:pPr>
      <w:r>
        <w:rPr>
          <w:color w:val="111928"/>
          <w:sz w:val="22"/>
          <w:szCs w:val="22"/>
        </w:rPr>
        <w:t xml:space="preserve">packages/emails/   → Templates React Email</w:t>
      </w:r>
    </w:p>
    <w:p>
      <w:pPr>
        <w:pStyle w:val="ListParagraph"/>
        <w:numPr>
          <w:ilvl w:val="0"/>
          <w:numId w:val="2"/>
        </w:numPr>
        <w:spacing w:after="80"/>
      </w:pPr>
      <w:r>
        <w:rPr>
          <w:color w:val="111928"/>
          <w:sz w:val="22"/>
          <w:szCs w:val="22"/>
        </w:rPr>
        <w:t xml:space="preserve">packages/config/   → ESLint, TSConfig, Prettier partagés</w:t>
      </w:r>
    </w:p>
    <w:p>
      <w:pPr>
        <w:pStyle w:val="ListParagraph"/>
        <w:numPr>
          <w:ilvl w:val="0"/>
          <w:numId w:val="2"/>
        </w:numPr>
        <w:spacing w:after="80"/>
      </w:pPr>
      <w:r>
        <w:rPr>
          <w:color w:val="111928"/>
          <w:sz w:val="22"/>
          <w:szCs w:val="22"/>
        </w:rPr>
        <w:t xml:space="preserve">infra/             → Terraform, Docker, scripts AWS</w:t>
      </w:r>
    </w:p>
    <w:p>
      <w:pPr>
        <w:pStyle w:val="ListParagraph"/>
        <w:numPr>
          <w:ilvl w:val="0"/>
          <w:numId w:val="2"/>
        </w:numPr>
        <w:spacing w:after="80"/>
      </w:pPr>
      <w:r>
        <w:rPr>
          <w:color w:val="111928"/>
          <w:sz w:val="22"/>
          <w:szCs w:val="22"/>
        </w:rPr>
        <w:t xml:space="preserve">docs/              → Documentation technique</w:t>
      </w:r>
    </w:p>
    <w:p>
      <w:r>
        <w:br w:type="page"/>
      </w:r>
    </w:p>
    <w:p>
      <w:pPr>
        <w:pStyle w:val="Heading1"/>
        <w:spacing w:after="200" w:before="440"/>
      </w:pPr>
      <w:r>
        <w:t xml:space="preserve">5. Modèle de données (Prisma Schema simplifié)</w:t>
      </w:r>
    </w:p>
    <w:p>
      <w:pPr>
        <w:pStyle w:val="Heading2"/>
        <w:spacing w:after="150" w:before="300"/>
      </w:pPr>
      <w:r>
        <w:t xml:space="preserve">5.1 Entités principales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72"/>
      </w:tblGrid>
      <w:tr>
        <w:trPr>
          <w:tblHeader/>
        </w:trPr>
        <w:tc>
          <w:tcPr>
            <w:tcW w:type="dxa" w:w="2000"/>
            <w:shd w:fill="0F4C81" w:color="auto" w:val="clear"/>
            <w:tcMar>
              <w:top w:type="dxa" w:w="80"/>
              <w:left w:type="dxa" w:w="100"/>
              <w:bottom w:type="dxa" w:w="80"/>
              <w:right w:type="dxa" w:w="100"/>
            </w:tcMar>
          </w:tcPr>
          <w:p>
            <w:pPr>
              <w:jc w:val="left"/>
            </w:pPr>
            <w:r>
              <w:rPr>
                <w:b/>
                <w:bCs/>
                <w:color w:val="FFFFFF"/>
                <w:sz w:val="20"/>
                <w:szCs w:val="20"/>
              </w:rPr>
              <w:t xml:space="preserve">Entité</w:t>
            </w:r>
          </w:p>
        </w:tc>
        <w:tc>
          <w:tcPr>
            <w:tcW w:type="dxa" w:w="3200"/>
            <w:shd w:fill="0F4C81" w:color="auto" w:val="clear"/>
            <w:tcMar>
              <w:top w:type="dxa" w:w="80"/>
              <w:left w:type="dxa" w:w="100"/>
              <w:bottom w:type="dxa" w:w="80"/>
              <w:right w:type="dxa" w:w="100"/>
            </w:tcMar>
          </w:tcPr>
          <w:p>
            <w:pPr>
              <w:jc w:val="left"/>
            </w:pPr>
            <w:r>
              <w:rPr>
                <w:b/>
                <w:bCs/>
                <w:color w:val="FFFFFF"/>
                <w:sz w:val="20"/>
                <w:szCs w:val="20"/>
              </w:rPr>
              <w:t xml:space="preserve">Champs clés</w:t>
            </w:r>
          </w:p>
        </w:tc>
        <w:tc>
          <w:tcPr>
            <w:tcW w:type="dxa" w:w="3872"/>
            <w:shd w:fill="0F4C81" w:color="auto" w:val="clear"/>
            <w:tcMar>
              <w:top w:type="dxa" w:w="80"/>
              <w:left w:type="dxa" w:w="100"/>
              <w:bottom w:type="dxa" w:w="80"/>
              <w:right w:type="dxa" w:w="100"/>
            </w:tcMar>
          </w:tcPr>
          <w:p>
            <w:pPr>
              <w:jc w:val="left"/>
            </w:pPr>
            <w:r>
              <w:rPr>
                <w:b/>
                <w:bCs/>
                <w:color w:val="FFFFFF"/>
                <w:sz w:val="20"/>
                <w:szCs w:val="20"/>
              </w:rPr>
              <w:t xml:space="preserve">Relations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Organisation</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nom, plan, siret, logo, domaine, createdAt</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Copropriétés, Utilisateurs</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Copropriété</w:t>
            </w:r>
          </w:p>
        </w:tc>
        <w:tc>
          <w:tcPr>
            <w:tcW w:type="dxa" w:w="3200"/>
            <w:shd w:fill="F4F7FC" w:color="auto" w:val="clear"/>
            <w:tcMar>
              <w:top w:type="dxa" w:w="80"/>
              <w:left w:type="dxa" w:w="100"/>
              <w:bottom w:type="dxa" w:w="80"/>
              <w:right w:type="dxa" w:w="100"/>
            </w:tcMar>
          </w:tcPr>
          <w:p>
            <w:pPr>
              <w:jc w:val="left"/>
            </w:pPr>
            <w:r>
              <w:rPr>
                <w:b w:val="false"/>
                <w:bCs w:val="false"/>
                <w:color w:val="111928"/>
                <w:sz w:val="20"/>
                <w:szCs w:val="20"/>
              </w:rPr>
              <w:t xml:space="preserve">id, nom, adresse, ville, nbLots, règlementUrl, assureur</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 Bâtiments, Lots, Budgets, AG</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Bâtiment</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nom, nbEtages, copropriétéId</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Lots</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Lot</w:t>
            </w:r>
          </w:p>
        </w:tc>
        <w:tc>
          <w:tcPr>
            <w:tcW w:type="dxa" w:w="3200"/>
            <w:shd w:fill="F4F7FC" w:color="auto" w:val="clear"/>
            <w:tcMar>
              <w:top w:type="dxa" w:w="80"/>
              <w:left w:type="dxa" w:w="100"/>
              <w:bottom w:type="dxa" w:w="80"/>
              <w:right w:type="dxa" w:w="100"/>
            </w:tcMar>
          </w:tcPr>
          <w:p>
            <w:pPr>
              <w:jc w:val="left"/>
            </w:pPr>
            <w:r>
              <w:rPr>
                <w:b w:val="false"/>
                <w:bCs w:val="false"/>
                <w:color w:val="111928"/>
                <w:sz w:val="20"/>
                <w:szCs w:val="20"/>
              </w:rPr>
              <w:t xml:space="preserve">id, numéro, type, surface, tantièmesGénéraux, tantièmesCharges, étage</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 Copropriétaire, Bâtiment</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Utilisateur</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email, nom, prénom, téléphone, rôle, organisationId, 2faActivé</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Organisation, Lots (copropriétaire)</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Budget</w:t>
            </w:r>
          </w:p>
        </w:tc>
        <w:tc>
          <w:tcPr>
            <w:tcW w:type="dxa" w:w="3200"/>
            <w:shd w:fill="F4F7FC" w:color="auto" w:val="clear"/>
            <w:tcMar>
              <w:top w:type="dxa" w:w="80"/>
              <w:left w:type="dxa" w:w="100"/>
              <w:bottom w:type="dxa" w:w="80"/>
              <w:right w:type="dxa" w:w="100"/>
            </w:tcMar>
          </w:tcPr>
          <w:p>
            <w:pPr>
              <w:jc w:val="left"/>
            </w:pPr>
            <w:r>
              <w:rPr>
                <w:b w:val="false"/>
                <w:bCs w:val="false"/>
                <w:color w:val="111928"/>
                <w:sz w:val="20"/>
                <w:szCs w:val="20"/>
              </w:rPr>
              <w:t xml:space="preserve">id, année, montantTotal, fondsTravauxMin, copropriétéId</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 Lignes budget, Appels de charges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AppelCharges</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période, dateÉchéance, montantTotal, statut, budgetId</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Quotes-parts par lot</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ÉcritureComptable</w:t>
            </w:r>
          </w:p>
        </w:tc>
        <w:tc>
          <w:tcPr>
            <w:tcW w:type="dxa" w:w="3200"/>
            <w:shd w:fill="F4F7FC" w:color="auto" w:val="clear"/>
            <w:tcMar>
              <w:top w:type="dxa" w:w="80"/>
              <w:left w:type="dxa" w:w="100"/>
              <w:bottom w:type="dxa" w:w="80"/>
              <w:right w:type="dxa" w:w="100"/>
            </w:tcMar>
          </w:tcPr>
          <w:p>
            <w:pPr>
              <w:jc w:val="left"/>
            </w:pPr>
            <w:r>
              <w:rPr>
                <w:b w:val="false"/>
                <w:bCs w:val="false"/>
                <w:color w:val="111928"/>
                <w:sz w:val="20"/>
                <w:szCs w:val="20"/>
              </w:rPr>
              <w:t xml:space="preserve">id, date, libellé, débit, crédit, compteId, pièceJointe</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 Compte, Copropriété</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AG</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date, lieu, type, ordreduJour, statut, convocationEnvoyée</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Résolutions, Votes, PV</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Résolution</w:t>
            </w:r>
          </w:p>
        </w:tc>
        <w:tc>
          <w:tcPr>
            <w:tcW w:type="dxa" w:w="3200"/>
            <w:shd w:fill="F4F7FC" w:color="auto" w:val="clear"/>
            <w:tcMar>
              <w:top w:type="dxa" w:w="80"/>
              <w:left w:type="dxa" w:w="100"/>
              <w:bottom w:type="dxa" w:w="80"/>
              <w:right w:type="dxa" w:w="100"/>
            </w:tcMar>
          </w:tcPr>
          <w:p>
            <w:pPr>
              <w:jc w:val="left"/>
            </w:pPr>
            <w:r>
              <w:rPr>
                <w:b w:val="false"/>
                <w:bCs w:val="false"/>
                <w:color w:val="111928"/>
                <w:sz w:val="20"/>
                <w:szCs w:val="20"/>
              </w:rPr>
              <w:t xml:space="preserve">id, titre, description, typeVote (art24/25/26), agId</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 Votes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Vote</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résolutionId, userId, valeur (POUR/CONTRE/ABSTENTION), tantièmes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Résolution, Utilisateur</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Ticket</w:t>
            </w:r>
          </w:p>
        </w:tc>
        <w:tc>
          <w:tcPr>
            <w:tcW w:type="dxa" w:w="3200"/>
            <w:shd w:fill="F4F7FC" w:color="auto" w:val="clear"/>
            <w:tcMar>
              <w:top w:type="dxa" w:w="80"/>
              <w:left w:type="dxa" w:w="100"/>
              <w:bottom w:type="dxa" w:w="80"/>
              <w:right w:type="dxa" w:w="100"/>
            </w:tcMar>
          </w:tcPr>
          <w:p>
            <w:pPr>
              <w:jc w:val="left"/>
            </w:pPr>
            <w:r>
              <w:rPr>
                <w:b w:val="false"/>
                <w:bCs w:val="false"/>
                <w:color w:val="111928"/>
                <w:sz w:val="20"/>
                <w:szCs w:val="20"/>
              </w:rPr>
              <w:t xml:space="preserve">id, titre, description, catégorie, urgence, statut, photos[], copropriétéId</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 Lot, Prestataire, Commentaires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Document</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nom, type, url, taille, partagéAvec, copropriétéId</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Copropriété, Uploader</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Message</w:t>
            </w:r>
          </w:p>
        </w:tc>
        <w:tc>
          <w:tcPr>
            <w:tcW w:type="dxa" w:w="3200"/>
            <w:shd w:fill="F4F7FC" w:color="auto" w:val="clear"/>
            <w:tcMar>
              <w:top w:type="dxa" w:w="80"/>
              <w:left w:type="dxa" w:w="100"/>
              <w:bottom w:type="dxa" w:w="80"/>
              <w:right w:type="dxa" w:w="100"/>
            </w:tcMar>
          </w:tcPr>
          <w:p>
            <w:pPr>
              <w:jc w:val="left"/>
            </w:pPr>
            <w:r>
              <w:rPr>
                <w:b w:val="false"/>
                <w:bCs w:val="false"/>
                <w:color w:val="111928"/>
                <w:sz w:val="20"/>
                <w:szCs w:val="20"/>
              </w:rPr>
              <w:t xml:space="preserve">id, contenu, senderId, conversationId, lu, pièceJointe</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 Conversation</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Paiement</w:t>
            </w:r>
          </w:p>
        </w:tc>
        <w:tc>
          <w:tcPr>
            <w:tcW w:type="dxa" w:w="3200"/>
            <w:shd w:fill="FFFFFF" w:color="auto" w:val="clear"/>
            <w:tcMar>
              <w:top w:type="dxa" w:w="80"/>
              <w:left w:type="dxa" w:w="100"/>
              <w:bottom w:type="dxa" w:w="80"/>
              <w:right w:type="dxa" w:w="100"/>
            </w:tcMar>
          </w:tcPr>
          <w:p>
            <w:pPr>
              <w:jc w:val="left"/>
            </w:pPr>
            <w:r>
              <w:rPr>
                <w:b w:val="false"/>
                <w:bCs w:val="false"/>
                <w:color w:val="111928"/>
                <w:sz w:val="20"/>
                <w:szCs w:val="20"/>
              </w:rPr>
              <w:t xml:space="preserve">id, montant, méthode, statut, référence, stripeId, appelId</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AppelCharges, Utilisateur</w:t>
            </w:r>
          </w:p>
        </w:tc>
      </w:tr>
    </w:tbl>
    <w:p>
      <w:r>
        <w:br w:type="page"/>
      </w:r>
    </w:p>
    <w:p>
      <w:pPr>
        <w:pStyle w:val="Heading1"/>
        <w:spacing w:after="200" w:before="440"/>
      </w:pPr>
      <w:r>
        <w:t xml:space="preserve">6. Périmètre fonctionnel — 10 modules</w:t>
      </w:r>
    </w:p>
    <w:p>
      <w:pPr>
        <w:pStyle w:val="Heading2"/>
        <w:spacing w:after="150" w:before="300"/>
      </w:pPr>
      <w:r>
        <w:t xml:space="preserve">6.1 Module authentification &amp; gestion des accès</w:t>
      </w:r>
    </w:p>
    <w:p>
      <w:pPr>
        <w:pStyle w:val="ListParagraph"/>
        <w:numPr>
          <w:ilvl w:val="0"/>
          <w:numId w:val="2"/>
        </w:numPr>
        <w:spacing w:after="80"/>
      </w:pPr>
      <w:r>
        <w:rPr>
          <w:color w:val="111928"/>
          <w:sz w:val="22"/>
          <w:szCs w:val="22"/>
        </w:rPr>
        <w:t xml:space="preserve">Inscription email avec vérification + OTP SMS</w:t>
      </w:r>
    </w:p>
    <w:p>
      <w:pPr>
        <w:pStyle w:val="ListParagraph"/>
        <w:numPr>
          <w:ilvl w:val="0"/>
          <w:numId w:val="2"/>
        </w:numPr>
        <w:spacing w:after="80"/>
      </w:pPr>
      <w:r>
        <w:rPr>
          <w:color w:val="111928"/>
          <w:sz w:val="22"/>
          <w:szCs w:val="22"/>
        </w:rPr>
        <w:t xml:space="preserve">Connexion email/mot de passe + SSO Google + SSO Microsoft</w:t>
      </w:r>
    </w:p>
    <w:p>
      <w:pPr>
        <w:pStyle w:val="ListParagraph"/>
        <w:numPr>
          <w:ilvl w:val="0"/>
          <w:numId w:val="2"/>
        </w:numPr>
        <w:spacing w:after="80"/>
      </w:pPr>
      <w:r>
        <w:rPr>
          <w:color w:val="111928"/>
          <w:sz w:val="22"/>
          <w:szCs w:val="22"/>
        </w:rPr>
        <w:t xml:space="preserve">2FA obligatoire pour les rôles SyndicAdmin et Gestionnaire (TOTP ou SMS)</w:t>
      </w:r>
    </w:p>
    <w:p>
      <w:pPr>
        <w:pStyle w:val="ListParagraph"/>
        <w:numPr>
          <w:ilvl w:val="0"/>
          <w:numId w:val="2"/>
        </w:numPr>
        <w:spacing w:after="80"/>
      </w:pPr>
      <w:r>
        <w:rPr>
          <w:color w:val="111928"/>
          <w:sz w:val="22"/>
          <w:szCs w:val="22"/>
        </w:rPr>
        <w:t xml:space="preserve">Gestion des rôles : SuperAdmin, SyndicAdmin, Gestionnaire, ConseilBénévole, Copropriétaire, Prestataire</w:t>
      </w:r>
    </w:p>
    <w:p>
      <w:pPr>
        <w:pStyle w:val="ListParagraph"/>
        <w:numPr>
          <w:ilvl w:val="0"/>
          <w:numId w:val="2"/>
        </w:numPr>
        <w:spacing w:after="80"/>
      </w:pPr>
      <w:r>
        <w:rPr>
          <w:color w:val="111928"/>
          <w:sz w:val="22"/>
          <w:szCs w:val="22"/>
        </w:rPr>
        <w:t xml:space="preserve">Invitation par email avec jeton temporaire (expiration 72h)</w:t>
      </w:r>
    </w:p>
    <w:p>
      <w:pPr>
        <w:pStyle w:val="ListParagraph"/>
        <w:numPr>
          <w:ilvl w:val="0"/>
          <w:numId w:val="2"/>
        </w:numPr>
        <w:spacing w:after="80"/>
      </w:pPr>
      <w:r>
        <w:rPr>
          <w:color w:val="111928"/>
          <w:sz w:val="22"/>
          <w:szCs w:val="22"/>
        </w:rPr>
        <w:t xml:space="preserve">Réinitialisation mot de passe sécurisée</w:t>
      </w:r>
    </w:p>
    <w:p>
      <w:pPr>
        <w:pStyle w:val="ListParagraph"/>
        <w:numPr>
          <w:ilvl w:val="0"/>
          <w:numId w:val="2"/>
        </w:numPr>
        <w:spacing w:after="80"/>
      </w:pPr>
      <w:r>
        <w:rPr>
          <w:color w:val="111928"/>
          <w:sz w:val="22"/>
          <w:szCs w:val="22"/>
        </w:rPr>
        <w:t xml:space="preserve">Audit log complet : connexions, actions sensibles, IP, user-agent</w:t>
      </w:r>
    </w:p>
    <w:p>
      <w:pPr>
        <w:pStyle w:val="ListParagraph"/>
        <w:numPr>
          <w:ilvl w:val="0"/>
          <w:numId w:val="2"/>
        </w:numPr>
        <w:spacing w:after="80"/>
      </w:pPr>
      <w:r>
        <w:rPr>
          <w:color w:val="111928"/>
          <w:sz w:val="22"/>
          <w:szCs w:val="22"/>
        </w:rPr>
        <w:t xml:space="preserve">Déconnexion automatique après inactivité (paramétrable : 30min par défaut)</w:t>
      </w:r>
    </w:p>
    <w:p>
      <w:pPr>
        <w:pStyle w:val="ListParagraph"/>
        <w:numPr>
          <w:ilvl w:val="0"/>
          <w:numId w:val="2"/>
        </w:numPr>
        <w:spacing w:after="80"/>
      </w:pPr>
      <w:r>
        <w:rPr>
          <w:color w:val="111928"/>
          <w:sz w:val="22"/>
          <w:szCs w:val="22"/>
        </w:rPr>
        <w:t xml:space="preserve">Gestion des sessions multi-appareils avec révocation</w:t>
      </w:r>
    </w:p>
    <w:p>
      <w:pPr>
        <w:pStyle w:val="ListParagraph"/>
        <w:numPr>
          <w:ilvl w:val="0"/>
          <w:numId w:val="2"/>
        </w:numPr>
        <w:spacing w:after="80"/>
      </w:pPr>
      <w:r>
        <w:rPr>
          <w:color w:val="111928"/>
          <w:sz w:val="22"/>
          <w:szCs w:val="22"/>
        </w:rPr>
        <w:t xml:space="preserve">Délégation de droits granulaire par copropriété</w:t>
      </w:r>
    </w:p>
    <w:p>
      <w:pPr>
        <w:pStyle w:val="Heading2"/>
        <w:spacing w:after="150" w:before="300"/>
      </w:pPr>
      <w:r>
        <w:t xml:space="preserve">6.2 Module tableau de bord multi-copropriété</w:t>
      </w:r>
    </w:p>
    <w:p>
      <w:pPr>
        <w:pStyle w:val="Heading3"/>
        <w:spacing w:after="100" w:before="200"/>
      </w:pPr>
      <w:r>
        <w:t xml:space="preserve">Vue consolidée (syndic pro)</w:t>
      </w:r>
    </w:p>
    <w:p>
      <w:pPr>
        <w:pStyle w:val="ListParagraph"/>
        <w:numPr>
          <w:ilvl w:val="0"/>
          <w:numId w:val="2"/>
        </w:numPr>
        <w:spacing w:after="80"/>
      </w:pPr>
      <w:r>
        <w:rPr>
          <w:color w:val="111928"/>
          <w:sz w:val="22"/>
          <w:szCs w:val="22"/>
        </w:rPr>
        <w:t xml:space="preserve">Dashboard principal : toutes les résidences sur un écran</w:t>
      </w:r>
    </w:p>
    <w:p>
      <w:pPr>
        <w:pStyle w:val="ListParagraph"/>
        <w:numPr>
          <w:ilvl w:val="0"/>
          <w:numId w:val="2"/>
        </w:numPr>
        <w:spacing w:after="80"/>
      </w:pPr>
      <w:r>
        <w:rPr>
          <w:color w:val="111928"/>
          <w:sz w:val="22"/>
          <w:szCs w:val="22"/>
        </w:rPr>
        <w:t xml:space="preserve">KPIs en temps réel : taux de recouvrement global, incidents ouverts, AG planifiées, travaux en cours</w:t>
      </w:r>
    </w:p>
    <w:p>
      <w:pPr>
        <w:pStyle w:val="ListParagraph"/>
        <w:numPr>
          <w:ilvl w:val="0"/>
          <w:numId w:val="2"/>
        </w:numPr>
        <w:spacing w:after="80"/>
      </w:pPr>
      <w:r>
        <w:rPr>
          <w:color w:val="111928"/>
          <w:sz w:val="22"/>
          <w:szCs w:val="22"/>
        </w:rPr>
        <w:t xml:space="preserve">Alertes centralisées : impayés, échéances légales, incidents urgents</w:t>
      </w:r>
    </w:p>
    <w:p>
      <w:pPr>
        <w:pStyle w:val="ListParagraph"/>
        <w:numPr>
          <w:ilvl w:val="0"/>
          <w:numId w:val="2"/>
        </w:numPr>
        <w:spacing w:after="80"/>
      </w:pPr>
      <w:r>
        <w:rPr>
          <w:color w:val="111928"/>
          <w:sz w:val="22"/>
          <w:szCs w:val="22"/>
        </w:rPr>
        <w:t xml:space="preserve">Filtres : par ville, statut financier, taille, gestionnaire assigné</w:t>
      </w:r>
    </w:p>
    <w:p>
      <w:pPr>
        <w:pStyle w:val="ListParagraph"/>
        <w:numPr>
          <w:ilvl w:val="0"/>
          <w:numId w:val="2"/>
        </w:numPr>
        <w:spacing w:after="80"/>
      </w:pPr>
      <w:r>
        <w:rPr>
          <w:color w:val="111928"/>
          <w:sz w:val="22"/>
          <w:szCs w:val="22"/>
        </w:rPr>
        <w:t xml:space="preserve">Recherche globale full-text (copropriétaire, lot, document, incident)</w:t>
      </w:r>
    </w:p>
    <w:p>
      <w:pPr>
        <w:pStyle w:val="ListParagraph"/>
        <w:numPr>
          <w:ilvl w:val="0"/>
          <w:numId w:val="2"/>
        </w:numPr>
        <w:spacing w:after="80"/>
      </w:pPr>
      <w:r>
        <w:rPr>
          <w:color w:val="111928"/>
          <w:sz w:val="22"/>
          <w:szCs w:val="22"/>
        </w:rPr>
        <w:t xml:space="preserve">Widget "mes tâches du jour" personnalisable</w:t>
      </w:r>
    </w:p>
    <w:p>
      <w:pPr>
        <w:pStyle w:val="Heading3"/>
        <w:spacing w:after="100" w:before="200"/>
      </w:pPr>
      <w:r>
        <w:t xml:space="preserve">Gestion du parc de résidences</w:t>
      </w:r>
    </w:p>
    <w:p>
      <w:pPr>
        <w:pStyle w:val="ListParagraph"/>
        <w:numPr>
          <w:ilvl w:val="0"/>
          <w:numId w:val="2"/>
        </w:numPr>
        <w:spacing w:after="80"/>
      </w:pPr>
      <w:r>
        <w:rPr>
          <w:color w:val="111928"/>
          <w:sz w:val="22"/>
          <w:szCs w:val="22"/>
        </w:rPr>
        <w:t xml:space="preserve">Fiche résidence : adresse, SIRET syndicat, RC assureur, règlement de copropriété</w:t>
      </w:r>
    </w:p>
    <w:p>
      <w:pPr>
        <w:pStyle w:val="ListParagraph"/>
        <w:numPr>
          <w:ilvl w:val="0"/>
          <w:numId w:val="2"/>
        </w:numPr>
        <w:spacing w:after="80"/>
      </w:pPr>
      <w:r>
        <w:rPr>
          <w:color w:val="111928"/>
          <w:sz w:val="22"/>
          <w:szCs w:val="22"/>
        </w:rPr>
        <w:t xml:space="preserve">Import CSV/Excel d'une résidence existante (lots, copropriétaires, tantièmes)</w:t>
      </w:r>
    </w:p>
    <w:p>
      <w:pPr>
        <w:pStyle w:val="ListParagraph"/>
        <w:numPr>
          <w:ilvl w:val="0"/>
          <w:numId w:val="2"/>
        </w:numPr>
        <w:spacing w:after="80"/>
      </w:pPr>
      <w:r>
        <w:rPr>
          <w:color w:val="111928"/>
          <w:sz w:val="22"/>
          <w:szCs w:val="22"/>
        </w:rPr>
        <w:t xml:space="preserve">Archivage sans suppression, historique complet</w:t>
      </w:r>
    </w:p>
    <w:p>
      <w:pPr>
        <w:pStyle w:val="ListParagraph"/>
        <w:numPr>
          <w:ilvl w:val="0"/>
          <w:numId w:val="2"/>
        </w:numPr>
        <w:spacing w:after="80"/>
      </w:pPr>
      <w:r>
        <w:rPr>
          <w:color w:val="111928"/>
          <w:sz w:val="22"/>
          <w:szCs w:val="22"/>
        </w:rPr>
        <w:t xml:space="preserve">Statistiques par résidence : évolution des charges, historique incidents, taux AG</w:t>
      </w:r>
    </w:p>
    <w:p>
      <w:pPr>
        <w:pStyle w:val="Heading2"/>
        <w:spacing w:after="150" w:before="300"/>
      </w:pPr>
      <w:r>
        <w:t xml:space="preserve">6.3 Module copropriétaires &amp; lots</w:t>
      </w:r>
    </w:p>
    <w:p>
      <w:pPr>
        <w:pStyle w:val="ListParagraph"/>
        <w:numPr>
          <w:ilvl w:val="0"/>
          <w:numId w:val="2"/>
        </w:numPr>
        <w:spacing w:after="80"/>
      </w:pPr>
      <w:r>
        <w:rPr>
          <w:color w:val="111928"/>
          <w:sz w:val="22"/>
          <w:szCs w:val="22"/>
        </w:rPr>
        <w:t xml:space="preserve">Fiche lot : numéro, type (appartement/commerce/parking/cave), surface, tantièmes généraux et de charges, étage, bâtiment</w:t>
      </w:r>
    </w:p>
    <w:p>
      <w:pPr>
        <w:pStyle w:val="ListParagraph"/>
        <w:numPr>
          <w:ilvl w:val="0"/>
          <w:numId w:val="2"/>
        </w:numPr>
        <w:spacing w:after="80"/>
      </w:pPr>
      <w:r>
        <w:rPr>
          <w:color w:val="111928"/>
          <w:sz w:val="22"/>
          <w:szCs w:val="22"/>
        </w:rPr>
        <w:t xml:space="preserve">Fiche copropriétaire : identité complète, coordonnées, RIB pour remboursements, date acquisition</w:t>
      </w:r>
    </w:p>
    <w:p>
      <w:pPr>
        <w:pStyle w:val="ListParagraph"/>
        <w:numPr>
          <w:ilvl w:val="0"/>
          <w:numId w:val="2"/>
        </w:numPr>
        <w:spacing w:after="80"/>
      </w:pPr>
      <w:r>
        <w:rPr>
          <w:color w:val="111928"/>
          <w:sz w:val="22"/>
          <w:szCs w:val="22"/>
        </w:rPr>
        <w:t xml:space="preserve">Indivision : plusieurs copropriétaires pour un même lot (SCI, héritage)</w:t>
      </w:r>
    </w:p>
    <w:p>
      <w:pPr>
        <w:pStyle w:val="ListParagraph"/>
        <w:numPr>
          <w:ilvl w:val="0"/>
          <w:numId w:val="2"/>
        </w:numPr>
        <w:spacing w:after="80"/>
      </w:pPr>
      <w:r>
        <w:rPr>
          <w:color w:val="111928"/>
          <w:sz w:val="22"/>
          <w:szCs w:val="22"/>
        </w:rPr>
        <w:t xml:space="preserve">Locataires : coordonnées stockées, accès lecture uniquement</w:t>
      </w:r>
    </w:p>
    <w:p>
      <w:pPr>
        <w:pStyle w:val="ListParagraph"/>
        <w:numPr>
          <w:ilvl w:val="0"/>
          <w:numId w:val="2"/>
        </w:numPr>
        <w:spacing w:after="80"/>
      </w:pPr>
      <w:r>
        <w:rPr>
          <w:color w:val="111928"/>
          <w:sz w:val="22"/>
          <w:szCs w:val="22"/>
        </w:rPr>
        <w:t xml:space="preserve">Historique mutations : historique de tous les propriétaires successifs d'un lot</w:t>
      </w:r>
    </w:p>
    <w:p>
      <w:pPr>
        <w:pStyle w:val="ListParagraph"/>
        <w:numPr>
          <w:ilvl w:val="0"/>
          <w:numId w:val="2"/>
        </w:numPr>
        <w:spacing w:after="80"/>
      </w:pPr>
      <w:r>
        <w:rPr>
          <w:color w:val="111928"/>
          <w:sz w:val="22"/>
          <w:szCs w:val="22"/>
        </w:rPr>
        <w:t xml:space="preserve">Export annuaire (CSV, PDF) avec QR code par lot</w:t>
      </w:r>
    </w:p>
    <w:p>
      <w:pPr>
        <w:pStyle w:val="ListParagraph"/>
        <w:numPr>
          <w:ilvl w:val="0"/>
          <w:numId w:val="2"/>
        </w:numPr>
        <w:spacing w:after="80"/>
      </w:pPr>
      <w:r>
        <w:rPr>
          <w:color w:val="111928"/>
          <w:sz w:val="22"/>
          <w:szCs w:val="22"/>
        </w:rPr>
        <w:t xml:space="preserve">Notification automatique au nouveau copropriétaire lors d'une mutation</w:t>
      </w:r>
    </w:p>
    <w:p>
      <w:pPr>
        <w:pStyle w:val="Heading2"/>
        <w:spacing w:after="150" w:before="300"/>
      </w:pPr>
      <w:r>
        <w:t xml:space="preserve">6.4 Module finances &amp; comptabilité</w:t>
      </w:r>
    </w:p>
    <w:p>
      <w:pPr>
        <w:pStyle w:val="Heading3"/>
        <w:spacing w:after="100" w:before="200"/>
      </w:pPr>
      <w:r>
        <w:t xml:space="preserve">Budget &amp; appels de charges</w:t>
      </w:r>
    </w:p>
    <w:p>
      <w:pPr>
        <w:pStyle w:val="ListParagraph"/>
        <w:numPr>
          <w:ilvl w:val="0"/>
          <w:numId w:val="2"/>
        </w:numPr>
        <w:spacing w:after="80"/>
      </w:pPr>
      <w:r>
        <w:rPr>
          <w:color w:val="111928"/>
          <w:sz w:val="22"/>
          <w:szCs w:val="22"/>
        </w:rPr>
        <w:t xml:space="preserve">Budget prévisionnel annuel multi-postes (entretien courant, assurances, gardiennage, travaux, fonds travaux)</w:t>
      </w:r>
    </w:p>
    <w:p>
      <w:pPr>
        <w:pStyle w:val="ListParagraph"/>
        <w:numPr>
          <w:ilvl w:val="0"/>
          <w:numId w:val="2"/>
        </w:numPr>
        <w:spacing w:after="80"/>
      </w:pPr>
      <w:r>
        <w:rPr>
          <w:color w:val="111928"/>
          <w:sz w:val="22"/>
          <w:szCs w:val="22"/>
        </w:rPr>
        <w:t xml:space="preserve">Répartition automatique par tantièmes généraux ou de charges selon la nature du poste</w:t>
      </w:r>
    </w:p>
    <w:p>
      <w:pPr>
        <w:pStyle w:val="ListParagraph"/>
        <w:numPr>
          <w:ilvl w:val="0"/>
          <w:numId w:val="2"/>
        </w:numPr>
        <w:spacing w:after="80"/>
      </w:pPr>
      <w:r>
        <w:rPr>
          <w:color w:val="111928"/>
          <w:sz w:val="22"/>
          <w:szCs w:val="22"/>
        </w:rPr>
        <w:t xml:space="preserve">Appels de charges trimestriels / mensuels générés automatiquement</w:t>
      </w:r>
    </w:p>
    <w:p>
      <w:pPr>
        <w:pStyle w:val="ListParagraph"/>
        <w:numPr>
          <w:ilvl w:val="0"/>
          <w:numId w:val="2"/>
        </w:numPr>
        <w:spacing w:after="80"/>
      </w:pPr>
      <w:r>
        <w:rPr>
          <w:color w:val="111928"/>
          <w:sz w:val="22"/>
          <w:szCs w:val="22"/>
        </w:rPr>
        <w:t xml:space="preserve">Décompte individuel par copropriétaire : quote-part calculée automatiquement</w:t>
      </w:r>
    </w:p>
    <w:p>
      <w:pPr>
        <w:pStyle w:val="ListParagraph"/>
        <w:numPr>
          <w:ilvl w:val="0"/>
          <w:numId w:val="2"/>
        </w:numPr>
        <w:spacing w:after="80"/>
      </w:pPr>
      <w:r>
        <w:rPr>
          <w:color w:val="111928"/>
          <w:sz w:val="22"/>
          <w:szCs w:val="22"/>
        </w:rPr>
        <w:t xml:space="preserve">Suivi règlements : payé / en attente / en retard (avec nb de jours de retard)</w:t>
      </w:r>
    </w:p>
    <w:p>
      <w:pPr>
        <w:pStyle w:val="ListParagraph"/>
        <w:numPr>
          <w:ilvl w:val="0"/>
          <w:numId w:val="2"/>
        </w:numPr>
        <w:spacing w:after="80"/>
      </w:pPr>
      <w:r>
        <w:rPr>
          <w:color w:val="111928"/>
          <w:sz w:val="22"/>
          <w:szCs w:val="22"/>
        </w:rPr>
        <w:t xml:space="preserve">Relances automatiques : email à J+15, J+30, SMS urgence à J+60</w:t>
      </w:r>
    </w:p>
    <w:p>
      <w:pPr>
        <w:pStyle w:val="ListParagraph"/>
        <w:numPr>
          <w:ilvl w:val="0"/>
          <w:numId w:val="2"/>
        </w:numPr>
        <w:spacing w:after="80"/>
      </w:pPr>
      <w:r>
        <w:rPr>
          <w:color w:val="111928"/>
          <w:sz w:val="22"/>
          <w:szCs w:val="22"/>
        </w:rPr>
        <w:t xml:space="preserve">Mise en demeure générée automatiquement (modèle légal marocain)</w:t>
      </w:r>
    </w:p>
    <w:p>
      <w:pPr>
        <w:pStyle w:val="ListParagraph"/>
        <w:numPr>
          <w:ilvl w:val="0"/>
          <w:numId w:val="2"/>
        </w:numPr>
        <w:spacing w:after="80"/>
      </w:pPr>
      <w:r>
        <w:rPr>
          <w:color w:val="111928"/>
          <w:sz w:val="22"/>
          <w:szCs w:val="22"/>
        </w:rPr>
        <w:t xml:space="preserve">Fonds de travaux loi 18-00 : vérification du seuil minimum légal</w:t>
      </w:r>
    </w:p>
    <w:p>
      <w:pPr>
        <w:pStyle w:val="Heading3"/>
        <w:spacing w:after="100" w:before="200"/>
      </w:pPr>
      <w:r>
        <w:t xml:space="preserve">Comptabilité</w:t>
      </w:r>
    </w:p>
    <w:p>
      <w:pPr>
        <w:pStyle w:val="ListParagraph"/>
        <w:numPr>
          <w:ilvl w:val="0"/>
          <w:numId w:val="2"/>
        </w:numPr>
        <w:spacing w:after="80"/>
      </w:pPr>
      <w:r>
        <w:rPr>
          <w:color w:val="111928"/>
          <w:sz w:val="22"/>
          <w:szCs w:val="22"/>
        </w:rPr>
        <w:t xml:space="preserve">Plan comptable copropriété adapté au Maroc (normes BNPJ)</w:t>
      </w:r>
    </w:p>
    <w:p>
      <w:pPr>
        <w:pStyle w:val="ListParagraph"/>
        <w:numPr>
          <w:ilvl w:val="0"/>
          <w:numId w:val="2"/>
        </w:numPr>
        <w:spacing w:after="80"/>
      </w:pPr>
      <w:r>
        <w:rPr>
          <w:color w:val="111928"/>
          <w:sz w:val="22"/>
          <w:szCs w:val="22"/>
        </w:rPr>
        <w:t xml:space="preserve">Saisie des opérations : recettes (charges perçues) et dépenses (factures prestataires)</w:t>
      </w:r>
    </w:p>
    <w:p>
      <w:pPr>
        <w:pStyle w:val="ListParagraph"/>
        <w:numPr>
          <w:ilvl w:val="0"/>
          <w:numId w:val="2"/>
        </w:numPr>
        <w:spacing w:after="80"/>
      </w:pPr>
      <w:r>
        <w:rPr>
          <w:color w:val="111928"/>
          <w:sz w:val="22"/>
          <w:szCs w:val="22"/>
        </w:rPr>
        <w:t xml:space="preserve">Rapprochement bancaire semi-automatique (import relevés OFX/CSV)</w:t>
      </w:r>
    </w:p>
    <w:p>
      <w:pPr>
        <w:pStyle w:val="ListParagraph"/>
        <w:numPr>
          <w:ilvl w:val="0"/>
          <w:numId w:val="2"/>
        </w:numPr>
        <w:spacing w:after="80"/>
      </w:pPr>
      <w:r>
        <w:rPr>
          <w:color w:val="111928"/>
          <w:sz w:val="22"/>
          <w:szCs w:val="22"/>
        </w:rPr>
        <w:t xml:space="preserve">Compte de gestion annuel généré automatiquement</w:t>
      </w:r>
    </w:p>
    <w:p>
      <w:pPr>
        <w:pStyle w:val="ListParagraph"/>
        <w:numPr>
          <w:ilvl w:val="0"/>
          <w:numId w:val="2"/>
        </w:numPr>
        <w:spacing w:after="80"/>
      </w:pPr>
      <w:r>
        <w:rPr>
          <w:color w:val="111928"/>
          <w:sz w:val="22"/>
          <w:szCs w:val="22"/>
        </w:rPr>
        <w:t xml:space="preserve">Export comptable : Excel, CSV, format compatible logiciels marocains</w:t>
      </w:r>
    </w:p>
    <w:p>
      <w:pPr>
        <w:pStyle w:val="Heading3"/>
        <w:spacing w:after="100" w:before="200"/>
      </w:pPr>
      <w:r>
        <w:t xml:space="preserve">Paiement en ligne</w:t>
      </w:r>
    </w:p>
    <w:p>
      <w:pPr>
        <w:pStyle w:val="ListParagraph"/>
        <w:numPr>
          <w:ilvl w:val="0"/>
          <w:numId w:val="2"/>
        </w:numPr>
        <w:spacing w:after="80"/>
      </w:pPr>
      <w:r>
        <w:rPr>
          <w:color w:val="111928"/>
          <w:sz w:val="22"/>
          <w:szCs w:val="22"/>
        </w:rPr>
        <w:t xml:space="preserve">Paiement par carte bancaire via CMI (Centre Monétique Interbancaire Maroc)</w:t>
      </w:r>
    </w:p>
    <w:p>
      <w:pPr>
        <w:pStyle w:val="ListParagraph"/>
        <w:numPr>
          <w:ilvl w:val="0"/>
          <w:numId w:val="2"/>
        </w:numPr>
        <w:spacing w:after="80"/>
      </w:pPr>
      <w:r>
        <w:rPr>
          <w:color w:val="111928"/>
          <w:sz w:val="22"/>
          <w:szCs w:val="22"/>
        </w:rPr>
        <w:t xml:space="preserve">Paiement international via Stripe (MasterCard, Visa)</w:t>
      </w:r>
    </w:p>
    <w:p>
      <w:pPr>
        <w:pStyle w:val="ListParagraph"/>
        <w:numPr>
          <w:ilvl w:val="0"/>
          <w:numId w:val="2"/>
        </w:numPr>
        <w:spacing w:after="80"/>
      </w:pPr>
      <w:r>
        <w:rPr>
          <w:color w:val="111928"/>
          <w:sz w:val="22"/>
          <w:szCs w:val="22"/>
        </w:rPr>
        <w:t xml:space="preserve">Virement bancaire : génération de référence de virement unique par appel</w:t>
      </w:r>
    </w:p>
    <w:p>
      <w:pPr>
        <w:pStyle w:val="ListParagraph"/>
        <w:numPr>
          <w:ilvl w:val="0"/>
          <w:numId w:val="2"/>
        </w:numPr>
        <w:spacing w:after="80"/>
      </w:pPr>
      <w:r>
        <w:rPr>
          <w:color w:val="111928"/>
          <w:sz w:val="22"/>
          <w:szCs w:val="22"/>
        </w:rPr>
        <w:t xml:space="preserve">Reçu automatique PDF après paiement, archivé dans la GED</w:t>
      </w:r>
    </w:p>
    <w:p>
      <w:pPr>
        <w:pStyle w:val="ListParagraph"/>
        <w:numPr>
          <w:ilvl w:val="0"/>
          <w:numId w:val="2"/>
        </w:numPr>
        <w:spacing w:after="80"/>
      </w:pPr>
      <w:r>
        <w:rPr>
          <w:color w:val="111928"/>
          <w:sz w:val="22"/>
          <w:szCs w:val="22"/>
        </w:rPr>
        <w:t xml:space="preserve">Dashboard encaissements en temps réel pour le gestionnaire</w:t>
      </w:r>
    </w:p>
    <w:p>
      <w:pPr>
        <w:pStyle w:val="Heading2"/>
        <w:spacing w:after="150" w:before="300"/>
      </w:pPr>
      <w:r>
        <w:t xml:space="preserve">6.5 Module assemblées générales &amp; vote en ligne</w:t>
      </w:r>
    </w:p>
    <w:p>
      <w:pPr>
        <w:pStyle w:val="Heading3"/>
        <w:spacing w:after="100" w:before="200"/>
      </w:pPr>
      <w:r>
        <w:t xml:space="preserve">Préparation</w:t>
      </w:r>
    </w:p>
    <w:p>
      <w:pPr>
        <w:pStyle w:val="ListParagraph"/>
        <w:numPr>
          <w:ilvl w:val="0"/>
          <w:numId w:val="2"/>
        </w:numPr>
        <w:spacing w:after="80"/>
      </w:pPr>
      <w:r>
        <w:rPr>
          <w:color w:val="111928"/>
          <w:sz w:val="22"/>
          <w:szCs w:val="22"/>
        </w:rPr>
        <w:t xml:space="preserve">Planification AG : date, heure, lieu (physique ou visioconférence), type (ordinaire/extraordinaire)</w:t>
      </w:r>
    </w:p>
    <w:p>
      <w:pPr>
        <w:pStyle w:val="ListParagraph"/>
        <w:numPr>
          <w:ilvl w:val="0"/>
          <w:numId w:val="2"/>
        </w:numPr>
        <w:spacing w:after="80"/>
      </w:pPr>
      <w:r>
        <w:rPr>
          <w:color w:val="111928"/>
          <w:sz w:val="22"/>
          <w:szCs w:val="22"/>
        </w:rPr>
        <w:t xml:space="preserve">Ordre du jour : ajout des résolutions avec type de majorité requis (art. 24/25/26 loi 18-00 Maroc)</w:t>
      </w:r>
    </w:p>
    <w:p>
      <w:pPr>
        <w:pStyle w:val="ListParagraph"/>
        <w:numPr>
          <w:ilvl w:val="0"/>
          <w:numId w:val="2"/>
        </w:numPr>
        <w:spacing w:after="80"/>
      </w:pPr>
      <w:r>
        <w:rPr>
          <w:color w:val="111928"/>
          <w:sz w:val="22"/>
          <w:szCs w:val="22"/>
        </w:rPr>
        <w:t xml:space="preserve">Génération automatique de la convocation (modèle légal marocain, bilingue FR/AR)</w:t>
      </w:r>
    </w:p>
    <w:p>
      <w:pPr>
        <w:pStyle w:val="ListParagraph"/>
        <w:numPr>
          <w:ilvl w:val="0"/>
          <w:numId w:val="2"/>
        </w:numPr>
        <w:spacing w:after="80"/>
      </w:pPr>
      <w:r>
        <w:rPr>
          <w:color w:val="111928"/>
          <w:sz w:val="22"/>
          <w:szCs w:val="22"/>
        </w:rPr>
        <w:t xml:space="preserve">Envoi convocation : email + SMS + option recommandé électronique</w:t>
      </w:r>
    </w:p>
    <w:p>
      <w:pPr>
        <w:pStyle w:val="ListParagraph"/>
        <w:numPr>
          <w:ilvl w:val="0"/>
          <w:numId w:val="2"/>
        </w:numPr>
        <w:spacing w:after="80"/>
      </w:pPr>
      <w:r>
        <w:rPr>
          <w:color w:val="111928"/>
          <w:sz w:val="22"/>
          <w:szCs w:val="22"/>
        </w:rPr>
        <w:t xml:space="preserve">Gestion des pouvoirs : formulaire de délégation en ligne, signé électroniquement</w:t>
      </w:r>
    </w:p>
    <w:p>
      <w:pPr>
        <w:pStyle w:val="ListParagraph"/>
        <w:numPr>
          <w:ilvl w:val="0"/>
          <w:numId w:val="2"/>
        </w:numPr>
        <w:spacing w:after="80"/>
      </w:pPr>
      <w:r>
        <w:rPr>
          <w:color w:val="111928"/>
          <w:sz w:val="22"/>
          <w:szCs w:val="22"/>
        </w:rPr>
        <w:t xml:space="preserve">Liste d'émargement générée automatiquement (PDF + version digitale)</w:t>
      </w:r>
    </w:p>
    <w:p>
      <w:pPr>
        <w:pStyle w:val="Heading3"/>
        <w:spacing w:after="100" w:before="200"/>
      </w:pPr>
      <w:r>
        <w:t xml:space="preserve">Déroulement &amp; vote</w:t>
      </w:r>
    </w:p>
    <w:p>
      <w:pPr>
        <w:pStyle w:val="ListParagraph"/>
        <w:numPr>
          <w:ilvl w:val="0"/>
          <w:numId w:val="2"/>
        </w:numPr>
        <w:spacing w:after="80"/>
      </w:pPr>
      <w:r>
        <w:rPr>
          <w:color w:val="111928"/>
          <w:sz w:val="22"/>
          <w:szCs w:val="22"/>
        </w:rPr>
        <w:t xml:space="preserve">Interface de vote en temps réel pendant l'AG (affichage sur grand écran)</w:t>
      </w:r>
    </w:p>
    <w:p>
      <w:pPr>
        <w:pStyle w:val="ListParagraph"/>
        <w:numPr>
          <w:ilvl w:val="0"/>
          <w:numId w:val="2"/>
        </w:numPr>
        <w:spacing w:after="80"/>
      </w:pPr>
      <w:r>
        <w:rPr>
          <w:color w:val="111928"/>
          <w:sz w:val="22"/>
          <w:szCs w:val="22"/>
        </w:rPr>
        <w:t xml:space="preserve">Vote à distance avant la séance (avec fenêtre temporelle paramétrable)</w:t>
      </w:r>
    </w:p>
    <w:p>
      <w:pPr>
        <w:pStyle w:val="ListParagraph"/>
        <w:numPr>
          <w:ilvl w:val="0"/>
          <w:numId w:val="2"/>
        </w:numPr>
        <w:spacing w:after="80"/>
      </w:pPr>
      <w:r>
        <w:rPr>
          <w:color w:val="111928"/>
          <w:sz w:val="22"/>
          <w:szCs w:val="22"/>
        </w:rPr>
        <w:t xml:space="preserve">Calcul automatique quorum et majorités (art. 24 majorité simple, art. 25 majorité absolue, art. 26 double majorité)</w:t>
      </w:r>
    </w:p>
    <w:p>
      <w:pPr>
        <w:pStyle w:val="ListParagraph"/>
        <w:numPr>
          <w:ilvl w:val="0"/>
          <w:numId w:val="2"/>
        </w:numPr>
        <w:spacing w:after="80"/>
      </w:pPr>
      <w:r>
        <w:rPr>
          <w:color w:val="111928"/>
          <w:sz w:val="22"/>
          <w:szCs w:val="22"/>
        </w:rPr>
        <w:t xml:space="preserve">Résultats horodatés et tracés de manière immuable</w:t>
      </w:r>
    </w:p>
    <w:p>
      <w:pPr>
        <w:pStyle w:val="ListParagraph"/>
        <w:numPr>
          <w:ilvl w:val="0"/>
          <w:numId w:val="2"/>
        </w:numPr>
        <w:spacing w:after="80"/>
      </w:pPr>
      <w:r>
        <w:rPr>
          <w:color w:val="111928"/>
          <w:sz w:val="22"/>
          <w:szCs w:val="22"/>
        </w:rPr>
        <w:t xml:space="preserve">Signature électronique qualifiée des résolutions (eIDAS)</w:t>
      </w:r>
    </w:p>
    <w:p>
      <w:pPr>
        <w:pStyle w:val="Heading3"/>
        <w:spacing w:after="100" w:before="200"/>
      </w:pPr>
      <w:r>
        <w:t xml:space="preserve">Après l'AG</w:t>
      </w:r>
    </w:p>
    <w:p>
      <w:pPr>
        <w:pStyle w:val="ListParagraph"/>
        <w:numPr>
          <w:ilvl w:val="0"/>
          <w:numId w:val="2"/>
        </w:numPr>
        <w:spacing w:after="80"/>
      </w:pPr>
      <w:r>
        <w:rPr>
          <w:color w:val="111928"/>
          <w:sz w:val="22"/>
          <w:szCs w:val="22"/>
        </w:rPr>
        <w:t xml:space="preserve">PV généré automatiquement à partir des votes et résolutions</w:t>
      </w:r>
    </w:p>
    <w:p>
      <w:pPr>
        <w:pStyle w:val="ListParagraph"/>
        <w:numPr>
          <w:ilvl w:val="0"/>
          <w:numId w:val="2"/>
        </w:numPr>
        <w:spacing w:after="80"/>
      </w:pPr>
      <w:r>
        <w:rPr>
          <w:color w:val="111928"/>
          <w:sz w:val="22"/>
          <w:szCs w:val="22"/>
        </w:rPr>
        <w:t xml:space="preserve">Validation du PV par le président de séance (signature électronique)</w:t>
      </w:r>
    </w:p>
    <w:p>
      <w:pPr>
        <w:pStyle w:val="ListParagraph"/>
        <w:numPr>
          <w:ilvl w:val="0"/>
          <w:numId w:val="2"/>
        </w:numPr>
        <w:spacing w:after="80"/>
      </w:pPr>
      <w:r>
        <w:rPr>
          <w:color w:val="111928"/>
          <w:sz w:val="22"/>
          <w:szCs w:val="22"/>
        </w:rPr>
        <w:t xml:space="preserve">Diffusion automatique du PV à tous les copropriétaires sous 8 jours (légalement requis)</w:t>
      </w:r>
    </w:p>
    <w:p>
      <w:pPr>
        <w:pStyle w:val="ListParagraph"/>
        <w:numPr>
          <w:ilvl w:val="0"/>
          <w:numId w:val="2"/>
        </w:numPr>
        <w:spacing w:after="80"/>
      </w:pPr>
      <w:r>
        <w:rPr>
          <w:color w:val="111928"/>
          <w:sz w:val="22"/>
          <w:szCs w:val="22"/>
        </w:rPr>
        <w:t xml:space="preserve">Archivage légal du PV dans la GED avec horodatage certifié</w:t>
      </w:r>
    </w:p>
    <w:p>
      <w:pPr>
        <w:pStyle w:val="Heading2"/>
        <w:spacing w:after="150" w:before="300"/>
      </w:pPr>
      <w:r>
        <w:t xml:space="preserve">6.6 Module travaux &amp; incidents</w:t>
      </w:r>
    </w:p>
    <w:p>
      <w:pPr>
        <w:pStyle w:val="Heading3"/>
        <w:spacing w:after="100" w:before="200"/>
      </w:pPr>
      <w:r>
        <w:t xml:space="preserve">Tickets d'incidents</w:t>
      </w:r>
    </w:p>
    <w:p>
      <w:pPr>
        <w:pStyle w:val="ListParagraph"/>
        <w:numPr>
          <w:ilvl w:val="0"/>
          <w:numId w:val="2"/>
        </w:numPr>
        <w:spacing w:after="80"/>
      </w:pPr>
      <w:r>
        <w:rPr>
          <w:color w:val="111928"/>
          <w:sz w:val="22"/>
          <w:szCs w:val="22"/>
        </w:rPr>
        <w:t xml:space="preserve">Création par copropriétaire ou gestionnaire : titre, description, catégorie, urgence (faible/moyenne/haute/critique)</w:t>
      </w:r>
    </w:p>
    <w:p>
      <w:pPr>
        <w:pStyle w:val="ListParagraph"/>
        <w:numPr>
          <w:ilvl w:val="0"/>
          <w:numId w:val="2"/>
        </w:numPr>
        <w:spacing w:after="80"/>
      </w:pPr>
      <w:r>
        <w:rPr>
          <w:color w:val="111928"/>
          <w:sz w:val="22"/>
          <w:szCs w:val="22"/>
        </w:rPr>
        <w:t xml:space="preserve">Upload de photos depuis appareil photo (mobile) ou disque dur (web)</w:t>
      </w:r>
    </w:p>
    <w:p>
      <w:pPr>
        <w:pStyle w:val="ListParagraph"/>
        <w:numPr>
          <w:ilvl w:val="0"/>
          <w:numId w:val="2"/>
        </w:numPr>
        <w:spacing w:after="80"/>
      </w:pPr>
      <w:r>
        <w:rPr>
          <w:color w:val="111928"/>
          <w:sz w:val="22"/>
          <w:szCs w:val="22"/>
        </w:rPr>
        <w:t xml:space="preserve">Attribution à un prestataire (interne ou externe)</w:t>
      </w:r>
    </w:p>
    <w:p>
      <w:pPr>
        <w:pStyle w:val="ListParagraph"/>
        <w:numPr>
          <w:ilvl w:val="0"/>
          <w:numId w:val="2"/>
        </w:numPr>
        <w:spacing w:after="80"/>
      </w:pPr>
      <w:r>
        <w:rPr>
          <w:color w:val="111928"/>
          <w:sz w:val="22"/>
          <w:szCs w:val="22"/>
        </w:rPr>
        <w:t xml:space="preserve">Workflow de statuts : Ouvert → Assigné → En cours → Résolu → Fermé</w:t>
      </w:r>
    </w:p>
    <w:p>
      <w:pPr>
        <w:pStyle w:val="ListParagraph"/>
        <w:numPr>
          <w:ilvl w:val="0"/>
          <w:numId w:val="2"/>
        </w:numPr>
        <w:spacing w:after="80"/>
      </w:pPr>
      <w:r>
        <w:rPr>
          <w:color w:val="111928"/>
          <w:sz w:val="22"/>
          <w:szCs w:val="22"/>
        </w:rPr>
        <w:t xml:space="preserve">Notifications automatiques à chaque changement de statut (email + push)</w:t>
      </w:r>
    </w:p>
    <w:p>
      <w:pPr>
        <w:pStyle w:val="ListParagraph"/>
        <w:numPr>
          <w:ilvl w:val="0"/>
          <w:numId w:val="2"/>
        </w:numPr>
        <w:spacing w:after="80"/>
      </w:pPr>
      <w:r>
        <w:rPr>
          <w:color w:val="111928"/>
          <w:sz w:val="22"/>
          <w:szCs w:val="22"/>
        </w:rPr>
        <w:t xml:space="preserve">Note de satisfaction post-intervention (1-5 étoiles + commentaire)</w:t>
      </w:r>
    </w:p>
    <w:p>
      <w:pPr>
        <w:pStyle w:val="ListParagraph"/>
        <w:numPr>
          <w:ilvl w:val="0"/>
          <w:numId w:val="2"/>
        </w:numPr>
        <w:spacing w:after="80"/>
      </w:pPr>
      <w:r>
        <w:rPr>
          <w:color w:val="111928"/>
          <w:sz w:val="22"/>
          <w:szCs w:val="22"/>
        </w:rPr>
        <w:t xml:space="preserve">Tableau Kanban visuel pour le gestionnaire</w:t>
      </w:r>
    </w:p>
    <w:p>
      <w:pPr>
        <w:pStyle w:val="Heading3"/>
        <w:spacing w:after="100" w:before="200"/>
      </w:pPr>
      <w:r>
        <w:t xml:space="preserve">Gestion des travaux</w:t>
      </w:r>
    </w:p>
    <w:p>
      <w:pPr>
        <w:pStyle w:val="ListParagraph"/>
        <w:numPr>
          <w:ilvl w:val="0"/>
          <w:numId w:val="2"/>
        </w:numPr>
        <w:spacing w:after="80"/>
      </w:pPr>
      <w:r>
        <w:rPr>
          <w:color w:val="111928"/>
          <w:sz w:val="22"/>
          <w:szCs w:val="22"/>
        </w:rPr>
        <w:t xml:space="preserve">Appel d'offres : envoi du cahier des charges à plusieurs prestataires, comparaison des devis</w:t>
      </w:r>
    </w:p>
    <w:p>
      <w:pPr>
        <w:pStyle w:val="ListParagraph"/>
        <w:numPr>
          <w:ilvl w:val="0"/>
          <w:numId w:val="2"/>
        </w:numPr>
        <w:spacing w:after="80"/>
      </w:pPr>
      <w:r>
        <w:rPr>
          <w:color w:val="111928"/>
          <w:sz w:val="22"/>
          <w:szCs w:val="22"/>
        </w:rPr>
        <w:t xml:space="preserve">Validation devis avec signature électronique du gestionnaire</w:t>
      </w:r>
    </w:p>
    <w:p>
      <w:pPr>
        <w:pStyle w:val="ListParagraph"/>
        <w:numPr>
          <w:ilvl w:val="0"/>
          <w:numId w:val="2"/>
        </w:numPr>
        <w:spacing w:after="80"/>
      </w:pPr>
      <w:r>
        <w:rPr>
          <w:color w:val="111928"/>
          <w:sz w:val="22"/>
          <w:szCs w:val="22"/>
        </w:rPr>
        <w:t xml:space="preserve">Bon de commande généré automatiquement</w:t>
      </w:r>
    </w:p>
    <w:p>
      <w:pPr>
        <w:pStyle w:val="ListParagraph"/>
        <w:numPr>
          <w:ilvl w:val="0"/>
          <w:numId w:val="2"/>
        </w:numPr>
        <w:spacing w:after="80"/>
      </w:pPr>
      <w:r>
        <w:rPr>
          <w:color w:val="111928"/>
          <w:sz w:val="22"/>
          <w:szCs w:val="22"/>
        </w:rPr>
        <w:t xml:space="preserve">Suivi d'avancement par phases avec % de complétion</w:t>
      </w:r>
    </w:p>
    <w:p>
      <w:pPr>
        <w:pStyle w:val="ListParagraph"/>
        <w:numPr>
          <w:ilvl w:val="0"/>
          <w:numId w:val="2"/>
        </w:numPr>
        <w:spacing w:after="80"/>
      </w:pPr>
      <w:r>
        <w:rPr>
          <w:color w:val="111928"/>
          <w:sz w:val="22"/>
          <w:szCs w:val="22"/>
        </w:rPr>
        <w:t xml:space="preserve">PV de réception des travaux (modèle légal)</w:t>
      </w:r>
    </w:p>
    <w:p>
      <w:pPr>
        <w:pStyle w:val="ListParagraph"/>
        <w:numPr>
          <w:ilvl w:val="0"/>
          <w:numId w:val="2"/>
        </w:numPr>
        <w:spacing w:after="80"/>
      </w:pPr>
      <w:r>
        <w:rPr>
          <w:color w:val="111928"/>
          <w:sz w:val="22"/>
          <w:szCs w:val="22"/>
        </w:rPr>
        <w:t xml:space="preserve">Gestion des garanties : décennale, biennale, parfait achèvement</w:t>
      </w:r>
    </w:p>
    <w:p>
      <w:pPr>
        <w:pStyle w:val="Heading3"/>
        <w:spacing w:after="100" w:before="200"/>
      </w:pPr>
      <w:r>
        <w:t xml:space="preserve">Carnet d'entretien numérique</w:t>
      </w:r>
    </w:p>
    <w:p>
      <w:pPr>
        <w:pStyle w:val="ListParagraph"/>
        <w:numPr>
          <w:ilvl w:val="0"/>
          <w:numId w:val="2"/>
        </w:numPr>
        <w:spacing w:after="80"/>
      </w:pPr>
      <w:r>
        <w:rPr>
          <w:color w:val="111928"/>
          <w:sz w:val="22"/>
          <w:szCs w:val="22"/>
        </w:rPr>
        <w:t xml:space="preserve">Registre équipements communs : ascenseurs, pompes, groupe électrogène, toiture, etc.</w:t>
      </w:r>
    </w:p>
    <w:p>
      <w:pPr>
        <w:pStyle w:val="ListParagraph"/>
        <w:numPr>
          <w:ilvl w:val="0"/>
          <w:numId w:val="2"/>
        </w:numPr>
        <w:spacing w:after="80"/>
      </w:pPr>
      <w:r>
        <w:rPr>
          <w:color w:val="111928"/>
          <w:sz w:val="22"/>
          <w:szCs w:val="22"/>
        </w:rPr>
        <w:t xml:space="preserve">Dates d'installation, fin de garantie, date de prochain entretien</w:t>
      </w:r>
    </w:p>
    <w:p>
      <w:pPr>
        <w:pStyle w:val="ListParagraph"/>
        <w:numPr>
          <w:ilvl w:val="0"/>
          <w:numId w:val="2"/>
        </w:numPr>
        <w:spacing w:after="80"/>
      </w:pPr>
      <w:r>
        <w:rPr>
          <w:color w:val="111928"/>
          <w:sz w:val="22"/>
          <w:szCs w:val="22"/>
        </w:rPr>
        <w:t xml:space="preserve">Alertes automatiques : rappel entretien préventif 30 jours avant</w:t>
      </w:r>
    </w:p>
    <w:p>
      <w:pPr>
        <w:pStyle w:val="ListParagraph"/>
        <w:numPr>
          <w:ilvl w:val="0"/>
          <w:numId w:val="2"/>
        </w:numPr>
        <w:spacing w:after="80"/>
      </w:pPr>
      <w:r>
        <w:rPr>
          <w:color w:val="111928"/>
          <w:sz w:val="22"/>
          <w:szCs w:val="22"/>
        </w:rPr>
        <w:t xml:space="preserve">Diagnostics obligatoires : dates de validité, alertes renouvellement</w:t>
      </w:r>
    </w:p>
    <w:p>
      <w:pPr>
        <w:pStyle w:val="ListParagraph"/>
        <w:numPr>
          <w:ilvl w:val="0"/>
          <w:numId w:val="2"/>
        </w:numPr>
        <w:spacing w:after="80"/>
      </w:pPr>
      <w:r>
        <w:rPr>
          <w:color w:val="111928"/>
          <w:sz w:val="22"/>
          <w:szCs w:val="22"/>
        </w:rPr>
        <w:t xml:space="preserve">Historique complet de toutes les interventions par équipement</w:t>
      </w:r>
    </w:p>
    <w:p>
      <w:pPr>
        <w:pStyle w:val="Heading2"/>
        <w:spacing w:after="150" w:before="300"/>
      </w:pPr>
      <w:r>
        <w:t xml:space="preserve">6.7 Module GED documentaire</w:t>
      </w:r>
    </w:p>
    <w:p>
      <w:pPr>
        <w:pStyle w:val="ListParagraph"/>
        <w:numPr>
          <w:ilvl w:val="0"/>
          <w:numId w:val="2"/>
        </w:numPr>
        <w:spacing w:after="80"/>
      </w:pPr>
      <w:r>
        <w:rPr>
          <w:color w:val="111928"/>
          <w:sz w:val="22"/>
          <w:szCs w:val="22"/>
        </w:rPr>
        <w:t xml:space="preserve">Arborescence structurée : Règlement copropriété / PV d'AG / Contrats / Budgets / Sinistres / Divers</w:t>
      </w:r>
    </w:p>
    <w:p>
      <w:pPr>
        <w:pStyle w:val="ListParagraph"/>
        <w:numPr>
          <w:ilvl w:val="0"/>
          <w:numId w:val="2"/>
        </w:numPr>
        <w:spacing w:after="80"/>
      </w:pPr>
      <w:r>
        <w:rPr>
          <w:color w:val="111928"/>
          <w:sz w:val="22"/>
          <w:szCs w:val="22"/>
        </w:rPr>
        <w:t xml:space="preserve">Upload multi-formats : PDF, Word, Excel, images (max 50 Mo par fichier)</w:t>
      </w:r>
    </w:p>
    <w:p>
      <w:pPr>
        <w:pStyle w:val="ListParagraph"/>
        <w:numPr>
          <w:ilvl w:val="0"/>
          <w:numId w:val="2"/>
        </w:numPr>
        <w:spacing w:after="80"/>
      </w:pPr>
      <w:r>
        <w:rPr>
          <w:color w:val="111928"/>
          <w:sz w:val="22"/>
          <w:szCs w:val="22"/>
        </w:rPr>
        <w:t xml:space="preserve">Recherche full-text dans le contenu des PDF (OCR intégré)</w:t>
      </w:r>
    </w:p>
    <w:p>
      <w:pPr>
        <w:pStyle w:val="ListParagraph"/>
        <w:numPr>
          <w:ilvl w:val="0"/>
          <w:numId w:val="2"/>
        </w:numPr>
        <w:spacing w:after="80"/>
      </w:pPr>
      <w:r>
        <w:rPr>
          <w:color w:val="111928"/>
          <w:sz w:val="22"/>
          <w:szCs w:val="22"/>
        </w:rPr>
        <w:t xml:space="preserve">Versioning : historique des versions d'un document, comparaison</w:t>
      </w:r>
    </w:p>
    <w:p>
      <w:pPr>
        <w:pStyle w:val="ListParagraph"/>
        <w:numPr>
          <w:ilvl w:val="0"/>
          <w:numId w:val="2"/>
        </w:numPr>
        <w:spacing w:after="80"/>
      </w:pPr>
      <w:r>
        <w:rPr>
          <w:color w:val="111928"/>
          <w:sz w:val="22"/>
          <w:szCs w:val="22"/>
        </w:rPr>
        <w:t xml:space="preserve">Droits d'accès granulaires : par document, par dossier, par rôle</w:t>
      </w:r>
    </w:p>
    <w:p>
      <w:pPr>
        <w:pStyle w:val="ListParagraph"/>
        <w:numPr>
          <w:ilvl w:val="0"/>
          <w:numId w:val="2"/>
        </w:numPr>
        <w:spacing w:after="80"/>
      </w:pPr>
      <w:r>
        <w:rPr>
          <w:color w:val="111928"/>
          <w:sz w:val="22"/>
          <w:szCs w:val="22"/>
        </w:rPr>
        <w:t xml:space="preserve">Partage externe par lien sécurisé avec expiration et mot de passe optionnel</w:t>
      </w:r>
    </w:p>
    <w:p>
      <w:pPr>
        <w:pStyle w:val="ListParagraph"/>
        <w:numPr>
          <w:ilvl w:val="0"/>
          <w:numId w:val="2"/>
        </w:numPr>
        <w:spacing w:after="80"/>
      </w:pPr>
      <w:r>
        <w:rPr>
          <w:color w:val="111928"/>
          <w:sz w:val="22"/>
          <w:szCs w:val="22"/>
        </w:rPr>
        <w:t xml:space="preserve">Espace copropriétaire : accès uniquement à ses documents personnels et documents communs</w:t>
      </w:r>
    </w:p>
    <w:p>
      <w:pPr>
        <w:pStyle w:val="ListParagraph"/>
        <w:numPr>
          <w:ilvl w:val="0"/>
          <w:numId w:val="2"/>
        </w:numPr>
        <w:spacing w:after="80"/>
      </w:pPr>
      <w:r>
        <w:rPr>
          <w:color w:val="111928"/>
          <w:sz w:val="22"/>
          <w:szCs w:val="22"/>
        </w:rPr>
        <w:t xml:space="preserve">Modèles légaux marocains pré-intégrés : règlement type, convocation, PV, mise en demeure, contrat syndic</w:t>
      </w:r>
    </w:p>
    <w:p>
      <w:pPr>
        <w:pStyle w:val="ListParagraph"/>
        <w:numPr>
          <w:ilvl w:val="0"/>
          <w:numId w:val="2"/>
        </w:numPr>
        <w:spacing w:after="80"/>
      </w:pPr>
      <w:r>
        <w:rPr>
          <w:color w:val="111928"/>
          <w:sz w:val="22"/>
          <w:szCs w:val="22"/>
        </w:rPr>
        <w:t xml:space="preserve">Signature électronique intégrée (YouSign) directement dans la GED</w:t>
      </w:r>
    </w:p>
    <w:p>
      <w:pPr>
        <w:pStyle w:val="ListParagraph"/>
        <w:numPr>
          <w:ilvl w:val="0"/>
          <w:numId w:val="2"/>
        </w:numPr>
        <w:spacing w:after="80"/>
      </w:pPr>
      <w:r>
        <w:rPr>
          <w:color w:val="111928"/>
          <w:sz w:val="22"/>
          <w:szCs w:val="22"/>
        </w:rPr>
        <w:t xml:space="preserve">Stockage AWS S3 avec chiffrement AES-256 au repos</w:t>
      </w:r>
    </w:p>
    <w:p>
      <w:pPr>
        <w:pStyle w:val="Heading2"/>
        <w:spacing w:after="150" w:before="300"/>
      </w:pPr>
      <w:r>
        <w:t xml:space="preserve">6.8 Module communication &amp; notifications</w:t>
      </w:r>
    </w:p>
    <w:p>
      <w:pPr>
        <w:pStyle w:val="ListParagraph"/>
        <w:numPr>
          <w:ilvl w:val="0"/>
          <w:numId w:val="2"/>
        </w:numPr>
        <w:spacing w:after="80"/>
      </w:pPr>
      <w:r>
        <w:rPr>
          <w:color w:val="111928"/>
          <w:sz w:val="22"/>
          <w:szCs w:val="22"/>
        </w:rPr>
        <w:t xml:space="preserve">Messagerie interne : conversations par copropriété, par ticket, ou en direct</w:t>
      </w:r>
    </w:p>
    <w:p>
      <w:pPr>
        <w:pStyle w:val="ListParagraph"/>
        <w:numPr>
          <w:ilvl w:val="0"/>
          <w:numId w:val="2"/>
        </w:numPr>
        <w:spacing w:after="80"/>
      </w:pPr>
      <w:r>
        <w:rPr>
          <w:color w:val="111928"/>
          <w:sz w:val="22"/>
          <w:szCs w:val="22"/>
        </w:rPr>
        <w:t xml:space="preserve">Diffusion groupée : email à tous les copropriétaires ou sous-groupe (ex: bâtiment A)</w:t>
      </w:r>
    </w:p>
    <w:p>
      <w:pPr>
        <w:pStyle w:val="ListParagraph"/>
        <w:numPr>
          <w:ilvl w:val="0"/>
          <w:numId w:val="2"/>
        </w:numPr>
        <w:spacing w:after="80"/>
      </w:pPr>
      <w:r>
        <w:rPr>
          <w:color w:val="111928"/>
          <w:sz w:val="22"/>
          <w:szCs w:val="22"/>
        </w:rPr>
        <w:t xml:space="preserve">Notifications push mobiles : configurable par l'utilisateur (opt-in par catégorie)</w:t>
      </w:r>
    </w:p>
    <w:p>
      <w:pPr>
        <w:pStyle w:val="ListParagraph"/>
        <w:numPr>
          <w:ilvl w:val="0"/>
          <w:numId w:val="2"/>
        </w:numPr>
        <w:spacing w:after="80"/>
      </w:pPr>
      <w:r>
        <w:rPr>
          <w:color w:val="111928"/>
          <w:sz w:val="22"/>
          <w:szCs w:val="22"/>
        </w:rPr>
        <w:t xml:space="preserve">Emails transactionnels : templates HTML responsive, personnalisés Syndic360</w:t>
      </w:r>
    </w:p>
    <w:p>
      <w:pPr>
        <w:pStyle w:val="ListParagraph"/>
        <w:numPr>
          <w:ilvl w:val="0"/>
          <w:numId w:val="2"/>
        </w:numPr>
        <w:spacing w:after="80"/>
      </w:pPr>
      <w:r>
        <w:rPr>
          <w:color w:val="111928"/>
          <w:sz w:val="22"/>
          <w:szCs w:val="22"/>
        </w:rPr>
        <w:t xml:space="preserve">SMS : alertes urgentes (incidents critiques, AG urgente) via Twilio</w:t>
      </w:r>
    </w:p>
    <w:p>
      <w:pPr>
        <w:pStyle w:val="ListParagraph"/>
        <w:numPr>
          <w:ilvl w:val="0"/>
          <w:numId w:val="2"/>
        </w:numPr>
        <w:spacing w:after="80"/>
      </w:pPr>
      <w:r>
        <w:rPr>
          <w:color w:val="111928"/>
          <w:sz w:val="22"/>
          <w:szCs w:val="22"/>
        </w:rPr>
        <w:t xml:space="preserve">Panneau d'affichage digital : annonces épinglées par résidence, visibles sur l'app mobile</w:t>
      </w:r>
    </w:p>
    <w:p>
      <w:pPr>
        <w:pStyle w:val="ListParagraph"/>
        <w:numPr>
          <w:ilvl w:val="0"/>
          <w:numId w:val="2"/>
        </w:numPr>
        <w:spacing w:after="80"/>
      </w:pPr>
      <w:r>
        <w:rPr>
          <w:color w:val="111928"/>
          <w:sz w:val="22"/>
          <w:szCs w:val="22"/>
        </w:rPr>
        <w:t xml:space="preserve">Historique complet de toutes les communications par copropriété (traçabilité légale)</w:t>
      </w:r>
    </w:p>
    <w:p>
      <w:pPr>
        <w:pStyle w:val="ListParagraph"/>
        <w:numPr>
          <w:ilvl w:val="0"/>
          <w:numId w:val="2"/>
        </w:numPr>
        <w:spacing w:after="80"/>
      </w:pPr>
      <w:r>
        <w:rPr>
          <w:color w:val="111928"/>
          <w:sz w:val="22"/>
          <w:szCs w:val="22"/>
        </w:rPr>
        <w:t xml:space="preserve">Accusés de réception pour les documents importants (convocations, mises en demeure)</w:t>
      </w:r>
    </w:p>
    <w:p>
      <w:pPr>
        <w:pStyle w:val="Heading2"/>
        <w:spacing w:after="150" w:before="300"/>
      </w:pPr>
      <w:r>
        <w:t xml:space="preserve">6.9 Module conformité légale</w:t>
      </w:r>
    </w:p>
    <w:p>
      <w:pPr>
        <w:pStyle w:val="ListParagraph"/>
        <w:numPr>
          <w:ilvl w:val="0"/>
          <w:numId w:val="2"/>
        </w:numPr>
        <w:spacing w:after="80"/>
      </w:pPr>
      <w:r>
        <w:rPr>
          <w:color w:val="111928"/>
          <w:sz w:val="22"/>
          <w:szCs w:val="22"/>
        </w:rPr>
        <w:t xml:space="preserve">Référentiel loi 18-00 Maroc (relative à la copropriété des immeubles bâtis)</w:t>
      </w:r>
    </w:p>
    <w:p>
      <w:pPr>
        <w:pStyle w:val="ListParagraph"/>
        <w:numPr>
          <w:ilvl w:val="0"/>
          <w:numId w:val="2"/>
        </w:numPr>
        <w:spacing w:after="80"/>
      </w:pPr>
      <w:r>
        <w:rPr>
          <w:color w:val="111928"/>
          <w:sz w:val="22"/>
          <w:szCs w:val="22"/>
        </w:rPr>
        <w:t xml:space="preserve">Alertes automatiques : AG annuelle obligatoire, renouvellement contrat syndic, diagnostics</w:t>
      </w:r>
    </w:p>
    <w:p>
      <w:pPr>
        <w:pStyle w:val="ListParagraph"/>
        <w:numPr>
          <w:ilvl w:val="0"/>
          <w:numId w:val="2"/>
        </w:numPr>
        <w:spacing w:after="80"/>
      </w:pPr>
      <w:r>
        <w:rPr>
          <w:color w:val="111928"/>
          <w:sz w:val="22"/>
          <w:szCs w:val="22"/>
        </w:rPr>
        <w:t xml:space="preserve">Calcul automatique des majorités d'AG selon la nature des résolutions (loi 18-00)</w:t>
      </w:r>
    </w:p>
    <w:p>
      <w:pPr>
        <w:pStyle w:val="ListParagraph"/>
        <w:numPr>
          <w:ilvl w:val="0"/>
          <w:numId w:val="2"/>
        </w:numPr>
        <w:spacing w:after="80"/>
      </w:pPr>
      <w:r>
        <w:rPr>
          <w:color w:val="111928"/>
          <w:sz w:val="22"/>
          <w:szCs w:val="22"/>
        </w:rPr>
        <w:t xml:space="preserve">Fonds de travaux : vérification et alerte si &lt; seuil légal</w:t>
      </w:r>
    </w:p>
    <w:p>
      <w:pPr>
        <w:pStyle w:val="ListParagraph"/>
        <w:numPr>
          <w:ilvl w:val="0"/>
          <w:numId w:val="2"/>
        </w:numPr>
        <w:spacing w:after="80"/>
      </w:pPr>
      <w:r>
        <w:rPr>
          <w:color w:val="111928"/>
          <w:sz w:val="22"/>
          <w:szCs w:val="22"/>
        </w:rPr>
        <w:t xml:space="preserve">Registre des copropriétaires mis à jour automatiquement lors des mutations</w:t>
      </w:r>
    </w:p>
    <w:p>
      <w:pPr>
        <w:pStyle w:val="ListParagraph"/>
        <w:numPr>
          <w:ilvl w:val="0"/>
          <w:numId w:val="2"/>
        </w:numPr>
        <w:spacing w:after="80"/>
      </w:pPr>
      <w:r>
        <w:rPr>
          <w:color w:val="111928"/>
          <w:sz w:val="22"/>
          <w:szCs w:val="22"/>
        </w:rPr>
        <w:t xml:space="preserve">Gestion des copropriétés en difficulté : procédures spécifiques avec alertes</w:t>
      </w:r>
    </w:p>
    <w:p>
      <w:pPr>
        <w:pStyle w:val="ListParagraph"/>
        <w:numPr>
          <w:ilvl w:val="0"/>
          <w:numId w:val="2"/>
        </w:numPr>
        <w:spacing w:after="80"/>
      </w:pPr>
      <w:r>
        <w:rPr>
          <w:color w:val="111928"/>
          <w:sz w:val="22"/>
          <w:szCs w:val="22"/>
        </w:rPr>
        <w:t xml:space="preserve">Export des données pour les autorités (tribunal, notaire, administration)</w:t>
      </w:r>
    </w:p>
    <w:p>
      <w:pPr>
        <w:pStyle w:val="ListParagraph"/>
        <w:numPr>
          <w:ilvl w:val="0"/>
          <w:numId w:val="2"/>
        </w:numPr>
        <w:spacing w:after="80"/>
      </w:pPr>
      <w:r>
        <w:rPr>
          <w:color w:val="111928"/>
          <w:sz w:val="22"/>
          <w:szCs w:val="22"/>
        </w:rPr>
        <w:t xml:space="preserve">Archivage légal : conservation automatique 10 ans minimum pour PV d'AG et actes</w:t>
      </w:r>
    </w:p>
    <w:p>
      <w:pPr>
        <w:pStyle w:val="Heading2"/>
        <w:spacing w:after="150" w:before="300"/>
      </w:pPr>
      <w:r>
        <w:t xml:space="preserve">6.10 Mode bénévole (différenciateur clé)</w:t>
      </w:r>
    </w:p>
    <w:p>
      <w:pPr>
        <w:spacing w:after="120"/>
      </w:pPr>
      <w:r>
        <w:rPr>
          <w:color w:val="111928"/>
          <w:sz w:val="22"/>
          <w:szCs w:val="22"/>
        </w:rPr>
        <w:t xml:space="preserve">Le mode bénévole est une déclinaison simplifiée dédiée aux conseils syndicaux non-professionnels. Il est accessible via le plan gratuit (1 copropriété, 50 lots maximum).</w:t>
      </w:r>
    </w:p>
    <w:p>
      <w:pPr>
        <w:pStyle w:val="ListParagraph"/>
        <w:numPr>
          <w:ilvl w:val="0"/>
          <w:numId w:val="2"/>
        </w:numPr>
        <w:spacing w:after="80"/>
      </w:pPr>
      <w:r>
        <w:rPr>
          <w:color w:val="111928"/>
          <w:sz w:val="22"/>
          <w:szCs w:val="22"/>
        </w:rPr>
        <w:t xml:space="preserve">Interface allégée : masquage des fonctionnalités avancées de comptabilité</w:t>
      </w:r>
    </w:p>
    <w:p>
      <w:pPr>
        <w:pStyle w:val="ListParagraph"/>
        <w:numPr>
          <w:ilvl w:val="0"/>
          <w:numId w:val="2"/>
        </w:numPr>
        <w:spacing w:after="80"/>
      </w:pPr>
      <w:r>
        <w:rPr>
          <w:color w:val="111928"/>
          <w:sz w:val="22"/>
          <w:szCs w:val="22"/>
        </w:rPr>
        <w:t xml:space="preserve">Guides pas-à-pas intégrés pour chaque action (assistant contextuel)</w:t>
      </w:r>
    </w:p>
    <w:p>
      <w:pPr>
        <w:pStyle w:val="ListParagraph"/>
        <w:numPr>
          <w:ilvl w:val="0"/>
          <w:numId w:val="2"/>
        </w:numPr>
        <w:spacing w:after="80"/>
      </w:pPr>
      <w:r>
        <w:rPr>
          <w:color w:val="111928"/>
          <w:sz w:val="22"/>
          <w:szCs w:val="22"/>
        </w:rPr>
        <w:t xml:space="preserve">Bibliothèque de modèles légaux marocains prêts à l'emploi et personnalisables</w:t>
      </w:r>
    </w:p>
    <w:p>
      <w:pPr>
        <w:pStyle w:val="ListParagraph"/>
        <w:numPr>
          <w:ilvl w:val="0"/>
          <w:numId w:val="2"/>
        </w:numPr>
        <w:spacing w:after="80"/>
      </w:pPr>
      <w:r>
        <w:rPr>
          <w:color w:val="111928"/>
          <w:sz w:val="22"/>
          <w:szCs w:val="22"/>
        </w:rPr>
        <w:t xml:space="preserve">Assistant IA Syndic360 : génération automatique de convocations, PV, courriers de relance</w:t>
      </w:r>
    </w:p>
    <w:p>
      <w:pPr>
        <w:pStyle w:val="ListParagraph"/>
        <w:numPr>
          <w:ilvl w:val="0"/>
          <w:numId w:val="2"/>
        </w:numPr>
        <w:spacing w:after="80"/>
      </w:pPr>
      <w:r>
        <w:rPr>
          <w:color w:val="111928"/>
          <w:sz w:val="22"/>
          <w:szCs w:val="22"/>
        </w:rPr>
        <w:t xml:space="preserve">Espace formation : articles et FAQ sur la loi 18-00, les obligations du syndic bénévole</w:t>
      </w:r>
    </w:p>
    <w:p>
      <w:pPr>
        <w:pStyle w:val="ListParagraph"/>
        <w:numPr>
          <w:ilvl w:val="0"/>
          <w:numId w:val="2"/>
        </w:numPr>
        <w:spacing w:after="80"/>
      </w:pPr>
      <w:r>
        <w:rPr>
          <w:color w:val="111928"/>
          <w:sz w:val="22"/>
          <w:szCs w:val="22"/>
        </w:rPr>
        <w:t xml:space="preserve">Forum communautaire : espace d'entraide entre syndics bénévoles</w:t>
      </w:r>
    </w:p>
    <w:p>
      <w:pPr>
        <w:pStyle w:val="ListParagraph"/>
        <w:numPr>
          <w:ilvl w:val="0"/>
          <w:numId w:val="2"/>
        </w:numPr>
        <w:spacing w:after="80"/>
      </w:pPr>
      <w:r>
        <w:rPr>
          <w:color w:val="111928"/>
          <w:sz w:val="22"/>
          <w:szCs w:val="22"/>
        </w:rPr>
        <w:t xml:space="preserve">Calculateur de tantièmes : outil en ligne pour vérifier la répartition des charges</w:t>
      </w:r>
    </w:p>
    <w:p>
      <w:r>
        <w:br w:type="page"/>
      </w:r>
    </w:p>
    <w:p>
      <w:pPr>
        <w:pStyle w:val="Heading1"/>
        <w:spacing w:after="200" w:before="440"/>
      </w:pPr>
      <w:r>
        <w:t xml:space="preserve">7. API &amp; Intégrations tierces</w:t>
      </w:r>
    </w:p>
    <w:p>
      <w:pPr>
        <w:pStyle w:val="Heading2"/>
        <w:spacing w:after="150" w:before="300"/>
      </w:pPr>
      <w:r>
        <w:t xml:space="preserve">7.1 Architecture API</w:t>
      </w:r>
    </w:p>
    <w:p>
      <w:pPr>
        <w:pStyle w:val="ListParagraph"/>
        <w:numPr>
          <w:ilvl w:val="0"/>
          <w:numId w:val="2"/>
        </w:numPr>
        <w:spacing w:after="80"/>
      </w:pPr>
      <w:r>
        <w:rPr>
          <w:color w:val="111928"/>
          <w:sz w:val="22"/>
          <w:szCs w:val="22"/>
        </w:rPr>
        <w:t xml:space="preserve">API REST NestJS documentée avec OpenAPI/Swagger (accessible sur /api/docs)</w:t>
      </w:r>
    </w:p>
    <w:p>
      <w:pPr>
        <w:pStyle w:val="ListParagraph"/>
        <w:numPr>
          <w:ilvl w:val="0"/>
          <w:numId w:val="2"/>
        </w:numPr>
        <w:spacing w:after="80"/>
      </w:pPr>
      <w:r>
        <w:rPr>
          <w:color w:val="111928"/>
          <w:sz w:val="22"/>
          <w:szCs w:val="22"/>
        </w:rPr>
        <w:t xml:space="preserve">Authentification : JWT Bearer token + refresh token rotation</w:t>
      </w:r>
    </w:p>
    <w:p>
      <w:pPr>
        <w:pStyle w:val="ListParagraph"/>
        <w:numPr>
          <w:ilvl w:val="0"/>
          <w:numId w:val="2"/>
        </w:numPr>
        <w:spacing w:after="80"/>
      </w:pPr>
      <w:r>
        <w:rPr>
          <w:color w:val="111928"/>
          <w:sz w:val="22"/>
          <w:szCs w:val="22"/>
        </w:rPr>
        <w:t xml:space="preserve">Rate limiting : 100 req/min par utilisateur, 1000 req/min par tenant</w:t>
      </w:r>
    </w:p>
    <w:p>
      <w:pPr>
        <w:pStyle w:val="ListParagraph"/>
        <w:numPr>
          <w:ilvl w:val="0"/>
          <w:numId w:val="2"/>
        </w:numPr>
        <w:spacing w:after="80"/>
      </w:pPr>
      <w:r>
        <w:rPr>
          <w:color w:val="111928"/>
          <w:sz w:val="22"/>
          <w:szCs w:val="22"/>
        </w:rPr>
        <w:t xml:space="preserve">Pagination curseur pour toutes les listes (performance sur grandes données)</w:t>
      </w:r>
    </w:p>
    <w:p>
      <w:pPr>
        <w:pStyle w:val="ListParagraph"/>
        <w:numPr>
          <w:ilvl w:val="0"/>
          <w:numId w:val="2"/>
        </w:numPr>
        <w:spacing w:after="80"/>
      </w:pPr>
      <w:r>
        <w:rPr>
          <w:color w:val="111928"/>
          <w:sz w:val="22"/>
          <w:szCs w:val="22"/>
        </w:rPr>
        <w:t xml:space="preserve">Webhooks : événements clés envoyés vers URL configurable par tenant</w:t>
      </w:r>
    </w:p>
    <w:p>
      <w:pPr>
        <w:pStyle w:val="ListParagraph"/>
        <w:numPr>
          <w:ilvl w:val="0"/>
          <w:numId w:val="2"/>
        </w:numPr>
        <w:spacing w:after="80"/>
      </w:pPr>
      <w:r>
        <w:rPr>
          <w:color w:val="111928"/>
          <w:sz w:val="22"/>
          <w:szCs w:val="22"/>
        </w:rPr>
        <w:t xml:space="preserve">API versionnée : /api/v1/ — rétrocompatibilité garantie 12 mois</w:t>
      </w:r>
    </w:p>
    <w:p>
      <w:pPr>
        <w:pStyle w:val="Heading2"/>
        <w:spacing w:after="150" w:before="300"/>
      </w:pPr>
      <w:r>
        <w:t xml:space="preserve">7.2 Intégrations tierces prioritaires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672"/>
      </w:tblGrid>
      <w:tr>
        <w:trPr>
          <w:tblHeader/>
        </w:trPr>
        <w:tc>
          <w:tcPr>
            <w:tcW w:type="dxa" w:w="2000"/>
            <w:shd w:fill="0F4C81" w:color="auto" w:val="clear"/>
            <w:tcMar>
              <w:top w:type="dxa" w:w="80"/>
              <w:left w:type="dxa" w:w="100"/>
              <w:bottom w:type="dxa" w:w="80"/>
              <w:right w:type="dxa" w:w="100"/>
            </w:tcMar>
          </w:tcPr>
          <w:p>
            <w:pPr>
              <w:jc w:val="left"/>
            </w:pPr>
            <w:r>
              <w:rPr>
                <w:b/>
                <w:bCs/>
                <w:color w:val="FFFFFF"/>
                <w:sz w:val="20"/>
                <w:szCs w:val="20"/>
              </w:rPr>
              <w:t xml:space="preserve">Service</w:t>
            </w:r>
          </w:p>
        </w:tc>
        <w:tc>
          <w:tcPr>
            <w:tcW w:type="dxa" w:w="2400"/>
            <w:shd w:fill="0F4C81" w:color="auto" w:val="clear"/>
            <w:tcMar>
              <w:top w:type="dxa" w:w="80"/>
              <w:left w:type="dxa" w:w="100"/>
              <w:bottom w:type="dxa" w:w="80"/>
              <w:right w:type="dxa" w:w="100"/>
            </w:tcMar>
          </w:tcPr>
          <w:p>
            <w:pPr>
              <w:jc w:val="left"/>
            </w:pPr>
            <w:r>
              <w:rPr>
                <w:b/>
                <w:bCs/>
                <w:color w:val="FFFFFF"/>
                <w:sz w:val="20"/>
                <w:szCs w:val="20"/>
              </w:rPr>
              <w:t xml:space="preserve">Usage</w:t>
            </w:r>
          </w:p>
        </w:tc>
        <w:tc>
          <w:tcPr>
            <w:tcW w:type="dxa" w:w="2000"/>
            <w:shd w:fill="0F4C81" w:color="auto" w:val="clear"/>
            <w:tcMar>
              <w:top w:type="dxa" w:w="80"/>
              <w:left w:type="dxa" w:w="100"/>
              <w:bottom w:type="dxa" w:w="80"/>
              <w:right w:type="dxa" w:w="100"/>
            </w:tcMar>
          </w:tcPr>
          <w:p>
            <w:pPr>
              <w:jc w:val="left"/>
            </w:pPr>
            <w:r>
              <w:rPr>
                <w:b/>
                <w:bCs/>
                <w:color w:val="FFFFFF"/>
                <w:sz w:val="20"/>
                <w:szCs w:val="20"/>
              </w:rPr>
              <w:t xml:space="preserve">SDK/Méthode</w:t>
            </w:r>
          </w:p>
        </w:tc>
        <w:tc>
          <w:tcPr>
            <w:tcW w:type="dxa" w:w="2672"/>
            <w:shd w:fill="0F4C81" w:color="auto" w:val="clear"/>
            <w:tcMar>
              <w:top w:type="dxa" w:w="80"/>
              <w:left w:type="dxa" w:w="100"/>
              <w:bottom w:type="dxa" w:w="80"/>
              <w:right w:type="dxa" w:w="100"/>
            </w:tcMar>
          </w:tcPr>
          <w:p>
            <w:pPr>
              <w:jc w:val="left"/>
            </w:pPr>
            <w:r>
              <w:rPr>
                <w:b/>
                <w:bCs/>
                <w:color w:val="FFFFFF"/>
                <w:sz w:val="20"/>
                <w:szCs w:val="20"/>
              </w:rPr>
              <w:t xml:space="preserve">Priorité</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CMI Maroc</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Paiement charges par carte (marché local)</w:t>
            </w:r>
          </w:p>
        </w:tc>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API CMI + webhook</w:t>
            </w:r>
          </w:p>
        </w:tc>
        <w:tc>
          <w:tcPr>
            <w:tcW w:type="dxa" w:w="2672"/>
            <w:shd w:fill="FFFFFF" w:color="auto" w:val="clear"/>
            <w:tcMar>
              <w:top w:type="dxa" w:w="80"/>
              <w:left w:type="dxa" w:w="100"/>
              <w:bottom w:type="dxa" w:w="80"/>
              <w:right w:type="dxa" w:w="100"/>
            </w:tcMar>
          </w:tcPr>
          <w:p>
            <w:pPr>
              <w:jc w:val="left"/>
            </w:pPr>
            <w:r>
              <w:rPr>
                <w:b w:val="false"/>
                <w:bCs w:val="false"/>
                <w:color w:val="111928"/>
                <w:sz w:val="20"/>
                <w:szCs w:val="20"/>
              </w:rPr>
              <w:t xml:space="preserve">P0 — MVP</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Stripe</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Paiement international + abonnements SaaS</w:t>
            </w:r>
          </w:p>
        </w:tc>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Stripe SDK Node.js</w:t>
            </w:r>
          </w:p>
        </w:tc>
        <w:tc>
          <w:tcPr>
            <w:tcW w:type="dxa" w:w="2672"/>
            <w:shd w:fill="F4F7FC" w:color="auto" w:val="clear"/>
            <w:tcMar>
              <w:top w:type="dxa" w:w="80"/>
              <w:left w:type="dxa" w:w="100"/>
              <w:bottom w:type="dxa" w:w="80"/>
              <w:right w:type="dxa" w:w="100"/>
            </w:tcMar>
          </w:tcPr>
          <w:p>
            <w:pPr>
              <w:jc w:val="left"/>
            </w:pPr>
            <w:r>
              <w:rPr>
                <w:b w:val="false"/>
                <w:bCs w:val="false"/>
                <w:color w:val="111928"/>
                <w:sz w:val="20"/>
                <w:szCs w:val="20"/>
              </w:rPr>
              <w:t xml:space="preserve">P0 — MVP</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Resend / SendGrid</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Emails transactionnels</w:t>
            </w:r>
          </w:p>
        </w:tc>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SDK + React Email templates</w:t>
            </w:r>
          </w:p>
        </w:tc>
        <w:tc>
          <w:tcPr>
            <w:tcW w:type="dxa" w:w="2672"/>
            <w:shd w:fill="FFFFFF" w:color="auto" w:val="clear"/>
            <w:tcMar>
              <w:top w:type="dxa" w:w="80"/>
              <w:left w:type="dxa" w:w="100"/>
              <w:bottom w:type="dxa" w:w="80"/>
              <w:right w:type="dxa" w:w="100"/>
            </w:tcMar>
          </w:tcPr>
          <w:p>
            <w:pPr>
              <w:jc w:val="left"/>
            </w:pPr>
            <w:r>
              <w:rPr>
                <w:b w:val="false"/>
                <w:bCs w:val="false"/>
                <w:color w:val="111928"/>
                <w:sz w:val="20"/>
                <w:szCs w:val="20"/>
              </w:rPr>
              <w:t xml:space="preserve">P0 — MVP</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AWS S3</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Stockage GED, exports PDF, avatars</w:t>
            </w:r>
          </w:p>
        </w:tc>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AWS SDK v3</w:t>
            </w:r>
          </w:p>
        </w:tc>
        <w:tc>
          <w:tcPr>
            <w:tcW w:type="dxa" w:w="2672"/>
            <w:shd w:fill="F4F7FC" w:color="auto" w:val="clear"/>
            <w:tcMar>
              <w:top w:type="dxa" w:w="80"/>
              <w:left w:type="dxa" w:w="100"/>
              <w:bottom w:type="dxa" w:w="80"/>
              <w:right w:type="dxa" w:w="100"/>
            </w:tcMar>
          </w:tcPr>
          <w:p>
            <w:pPr>
              <w:jc w:val="left"/>
            </w:pPr>
            <w:r>
              <w:rPr>
                <w:b w:val="false"/>
                <w:bCs w:val="false"/>
                <w:color w:val="111928"/>
                <w:sz w:val="20"/>
                <w:szCs w:val="20"/>
              </w:rPr>
              <w:t xml:space="preserve">P0 — MVP</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YouSign</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Signature électronique (eIDAS)</w:t>
            </w:r>
          </w:p>
        </w:tc>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API REST YouSign v3</w:t>
            </w:r>
          </w:p>
        </w:tc>
        <w:tc>
          <w:tcPr>
            <w:tcW w:type="dxa" w:w="2672"/>
            <w:shd w:fill="FFFFFF" w:color="auto" w:val="clear"/>
            <w:tcMar>
              <w:top w:type="dxa" w:w="80"/>
              <w:left w:type="dxa" w:w="100"/>
              <w:bottom w:type="dxa" w:w="80"/>
              <w:right w:type="dxa" w:w="100"/>
            </w:tcMar>
          </w:tcPr>
          <w:p>
            <w:pPr>
              <w:jc w:val="left"/>
            </w:pPr>
            <w:r>
              <w:rPr>
                <w:b w:val="false"/>
                <w:bCs w:val="false"/>
                <w:color w:val="111928"/>
                <w:sz w:val="20"/>
                <w:szCs w:val="20"/>
              </w:rPr>
              <w:t xml:space="preserve">P0 — MVP</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Claude API (Anthropic)</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Génération IA : PV, convocations, courriers</w:t>
            </w:r>
          </w:p>
        </w:tc>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Anthropic SDK Node.js, model: claude-sonnet-4-6</w:t>
            </w:r>
          </w:p>
        </w:tc>
        <w:tc>
          <w:tcPr>
            <w:tcW w:type="dxa" w:w="2672"/>
            <w:shd w:fill="F4F7FC" w:color="auto" w:val="clear"/>
            <w:tcMar>
              <w:top w:type="dxa" w:w="80"/>
              <w:left w:type="dxa" w:w="100"/>
              <w:bottom w:type="dxa" w:w="80"/>
              <w:right w:type="dxa" w:w="100"/>
            </w:tcMar>
          </w:tcPr>
          <w:p>
            <w:pPr>
              <w:jc w:val="left"/>
            </w:pPr>
            <w:r>
              <w:rPr>
                <w:b w:val="false"/>
                <w:bCs w:val="false"/>
                <w:color w:val="111928"/>
                <w:sz w:val="20"/>
                <w:szCs w:val="20"/>
              </w:rPr>
              <w:t xml:space="preserve">P1</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Twilio</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SMS OTP + alertes urgentes</w:t>
            </w:r>
          </w:p>
        </w:tc>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Twilio SDK Node.js</w:t>
            </w:r>
          </w:p>
        </w:tc>
        <w:tc>
          <w:tcPr>
            <w:tcW w:type="dxa" w:w="2672"/>
            <w:shd w:fill="FFFFFF" w:color="auto" w:val="clear"/>
            <w:tcMar>
              <w:top w:type="dxa" w:w="80"/>
              <w:left w:type="dxa" w:w="100"/>
              <w:bottom w:type="dxa" w:w="80"/>
              <w:right w:type="dxa" w:w="100"/>
            </w:tcMar>
          </w:tcPr>
          <w:p>
            <w:pPr>
              <w:jc w:val="left"/>
            </w:pPr>
            <w:r>
              <w:rPr>
                <w:b w:val="false"/>
                <w:bCs w:val="false"/>
                <w:color w:val="111928"/>
                <w:sz w:val="20"/>
                <w:szCs w:val="20"/>
              </w:rPr>
              <w:t xml:space="preserve">P1</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Google Calendar</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Sync AG et interventions</w:t>
            </w:r>
          </w:p>
        </w:tc>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Google Calendar API v3</w:t>
            </w:r>
          </w:p>
        </w:tc>
        <w:tc>
          <w:tcPr>
            <w:tcW w:type="dxa" w:w="2672"/>
            <w:shd w:fill="F4F7FC" w:color="auto" w:val="clear"/>
            <w:tcMar>
              <w:top w:type="dxa" w:w="80"/>
              <w:left w:type="dxa" w:w="100"/>
              <w:bottom w:type="dxa" w:w="80"/>
              <w:right w:type="dxa" w:w="100"/>
            </w:tcMar>
          </w:tcPr>
          <w:p>
            <w:pPr>
              <w:jc w:val="left"/>
            </w:pPr>
            <w:r>
              <w:rPr>
                <w:b w:val="false"/>
                <w:bCs w:val="false"/>
                <w:color w:val="111928"/>
                <w:sz w:val="20"/>
                <w:szCs w:val="20"/>
              </w:rPr>
              <w:t xml:space="preserve">P1</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Puppeteer/WeasyPrint</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Génération PDF côté serveur</w:t>
            </w:r>
          </w:p>
        </w:tc>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Puppeteer ou WeasyPrint</w:t>
            </w:r>
          </w:p>
        </w:tc>
        <w:tc>
          <w:tcPr>
            <w:tcW w:type="dxa" w:w="2672"/>
            <w:shd w:fill="FFFFFF" w:color="auto" w:val="clear"/>
            <w:tcMar>
              <w:top w:type="dxa" w:w="80"/>
              <w:left w:type="dxa" w:w="100"/>
              <w:bottom w:type="dxa" w:w="80"/>
              <w:right w:type="dxa" w:w="100"/>
            </w:tcMar>
          </w:tcPr>
          <w:p>
            <w:pPr>
              <w:jc w:val="left"/>
            </w:pPr>
            <w:r>
              <w:rPr>
                <w:b w:val="false"/>
                <w:bCs w:val="false"/>
                <w:color w:val="111928"/>
                <w:sz w:val="20"/>
                <w:szCs w:val="20"/>
              </w:rPr>
              <w:t xml:space="preserve">P1</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Budget Insight</w:t>
            </w:r>
          </w:p>
        </w:tc>
        <w:tc>
          <w:tcPr>
            <w:tcW w:type="dxa" w:w="2400"/>
            <w:shd w:fill="F4F7FC" w:color="auto" w:val="clear"/>
            <w:tcMar>
              <w:top w:type="dxa" w:w="80"/>
              <w:left w:type="dxa" w:w="100"/>
              <w:bottom w:type="dxa" w:w="80"/>
              <w:right w:type="dxa" w:w="100"/>
            </w:tcMar>
          </w:tcPr>
          <w:p>
            <w:pPr>
              <w:jc w:val="left"/>
            </w:pPr>
            <w:r>
              <w:rPr>
                <w:b w:val="false"/>
                <w:bCs w:val="false"/>
                <w:color w:val="111928"/>
                <w:sz w:val="20"/>
                <w:szCs w:val="20"/>
              </w:rPr>
              <w:t xml:space="preserve">Rapprochement bancaire automatique (Open Banking)</w:t>
            </w:r>
          </w:p>
        </w:tc>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API Budget Insight</w:t>
            </w:r>
          </w:p>
        </w:tc>
        <w:tc>
          <w:tcPr>
            <w:tcW w:type="dxa" w:w="2672"/>
            <w:shd w:fill="F4F7FC" w:color="auto" w:val="clear"/>
            <w:tcMar>
              <w:top w:type="dxa" w:w="80"/>
              <w:left w:type="dxa" w:w="100"/>
              <w:bottom w:type="dxa" w:w="80"/>
              <w:right w:type="dxa" w:w="100"/>
            </w:tcMar>
          </w:tcPr>
          <w:p>
            <w:pPr>
              <w:jc w:val="left"/>
            </w:pPr>
            <w:r>
              <w:rPr>
                <w:b w:val="false"/>
                <w:bCs w:val="false"/>
                <w:color w:val="111928"/>
                <w:sz w:val="20"/>
                <w:szCs w:val="20"/>
              </w:rPr>
              <w:t xml:space="preserve">P2</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Doctolib-like (Notaires)</w:t>
            </w:r>
          </w:p>
        </w:tc>
        <w:tc>
          <w:tcPr>
            <w:tcW w:type="dxa" w:w="2400"/>
            <w:shd w:fill="FFFFFF" w:color="auto" w:val="clear"/>
            <w:tcMar>
              <w:top w:type="dxa" w:w="80"/>
              <w:left w:type="dxa" w:w="100"/>
              <w:bottom w:type="dxa" w:w="80"/>
              <w:right w:type="dxa" w:w="100"/>
            </w:tcMar>
          </w:tcPr>
          <w:p>
            <w:pPr>
              <w:jc w:val="left"/>
            </w:pPr>
            <w:r>
              <w:rPr>
                <w:b w:val="false"/>
                <w:bCs w:val="false"/>
                <w:color w:val="111928"/>
                <w:sz w:val="20"/>
                <w:szCs w:val="20"/>
              </w:rPr>
              <w:t xml:space="preserve">Prise de RDV prestataires</w:t>
            </w:r>
          </w:p>
        </w:tc>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API tiers</w:t>
            </w:r>
          </w:p>
        </w:tc>
        <w:tc>
          <w:tcPr>
            <w:tcW w:type="dxa" w:w="2672"/>
            <w:shd w:fill="FFFFFF" w:color="auto" w:val="clear"/>
            <w:tcMar>
              <w:top w:type="dxa" w:w="80"/>
              <w:left w:type="dxa" w:w="100"/>
              <w:bottom w:type="dxa" w:w="80"/>
              <w:right w:type="dxa" w:w="100"/>
            </w:tcMar>
          </w:tcPr>
          <w:p>
            <w:pPr>
              <w:jc w:val="left"/>
            </w:pPr>
            <w:r>
              <w:rPr>
                <w:b w:val="false"/>
                <w:bCs w:val="false"/>
                <w:color w:val="111928"/>
                <w:sz w:val="20"/>
                <w:szCs w:val="20"/>
              </w:rPr>
              <w:t xml:space="preserve">P2</w:t>
            </w:r>
          </w:p>
        </w:tc>
      </w:tr>
    </w:tbl>
    <w:p>
      <w:pPr>
        <w:pStyle w:val="Heading2"/>
        <w:spacing w:after="150" w:before="300"/>
      </w:pPr>
      <w:r>
        <w:t xml:space="preserve">7.3 Endpoints API critiques à implémenter (liste non exhaustive)</w:t>
      </w:r>
    </w:p>
    <w:p>
      <w:pPr>
        <w:pStyle w:val="ListParagraph"/>
        <w:numPr>
          <w:ilvl w:val="0"/>
          <w:numId w:val="2"/>
        </w:numPr>
        <w:spacing w:after="80"/>
      </w:pPr>
      <w:r>
        <w:rPr>
          <w:color w:val="111928"/>
          <w:sz w:val="22"/>
          <w:szCs w:val="22"/>
        </w:rPr>
        <w:t xml:space="preserve">POST /auth/register · POST /auth/login · POST /auth/refresh · POST /auth/2fa/verify</w:t>
      </w:r>
    </w:p>
    <w:p>
      <w:pPr>
        <w:pStyle w:val="ListParagraph"/>
        <w:numPr>
          <w:ilvl w:val="0"/>
          <w:numId w:val="2"/>
        </w:numPr>
        <w:spacing w:after="80"/>
      </w:pPr>
      <w:r>
        <w:rPr>
          <w:color w:val="111928"/>
          <w:sz w:val="22"/>
          <w:szCs w:val="22"/>
        </w:rPr>
        <w:t xml:space="preserve">GET /organisations/:id · GET /organisations/:id/stats</w:t>
      </w:r>
    </w:p>
    <w:p>
      <w:pPr>
        <w:pStyle w:val="ListParagraph"/>
        <w:numPr>
          <w:ilvl w:val="0"/>
          <w:numId w:val="2"/>
        </w:numPr>
        <w:spacing w:after="80"/>
      </w:pPr>
      <w:r>
        <w:rPr>
          <w:color w:val="111928"/>
          <w:sz w:val="22"/>
          <w:szCs w:val="22"/>
        </w:rPr>
        <w:t xml:space="preserve">GET|POST|PUT|DELETE /coproprietes · GET /coproprietes/:id/dashboard</w:t>
      </w:r>
    </w:p>
    <w:p>
      <w:pPr>
        <w:pStyle w:val="ListParagraph"/>
        <w:numPr>
          <w:ilvl w:val="0"/>
          <w:numId w:val="2"/>
        </w:numPr>
        <w:spacing w:after="80"/>
      </w:pPr>
      <w:r>
        <w:rPr>
          <w:color w:val="111928"/>
          <w:sz w:val="22"/>
          <w:szCs w:val="22"/>
        </w:rPr>
        <w:t xml:space="preserve">GET|POST|PUT|DELETE /lots · GET|POST|PUT /copropriétaires</w:t>
      </w:r>
    </w:p>
    <w:p>
      <w:pPr>
        <w:pStyle w:val="ListParagraph"/>
        <w:numPr>
          <w:ilvl w:val="0"/>
          <w:numId w:val="2"/>
        </w:numPr>
        <w:spacing w:after="80"/>
      </w:pPr>
      <w:r>
        <w:rPr>
          <w:color w:val="111928"/>
          <w:sz w:val="22"/>
          <w:szCs w:val="22"/>
        </w:rPr>
        <w:t xml:space="preserve">GET|POST /budgets · POST /budgets/:id/appels-de-charges · GET /appels/:id/quotes-parts</w:t>
      </w:r>
    </w:p>
    <w:p>
      <w:pPr>
        <w:pStyle w:val="ListParagraph"/>
        <w:numPr>
          <w:ilvl w:val="0"/>
          <w:numId w:val="2"/>
        </w:numPr>
        <w:spacing w:after="80"/>
      </w:pPr>
      <w:r>
        <w:rPr>
          <w:color w:val="111928"/>
          <w:sz w:val="22"/>
          <w:szCs w:val="22"/>
        </w:rPr>
        <w:t xml:space="preserve">POST /paiements/initier · POST /paiements/webhook-cmi · POST /paiements/webhook-stripe</w:t>
      </w:r>
    </w:p>
    <w:p>
      <w:pPr>
        <w:pStyle w:val="ListParagraph"/>
        <w:numPr>
          <w:ilvl w:val="0"/>
          <w:numId w:val="2"/>
        </w:numPr>
        <w:spacing w:after="80"/>
      </w:pPr>
      <w:r>
        <w:rPr>
          <w:color w:val="111928"/>
          <w:sz w:val="22"/>
          <w:szCs w:val="22"/>
        </w:rPr>
        <w:t xml:space="preserve">GET|POST|PUT /assemblees · POST /assemblees/:id/votes · GET /assemblees/:id/resultats</w:t>
      </w:r>
    </w:p>
    <w:p>
      <w:pPr>
        <w:pStyle w:val="ListParagraph"/>
        <w:numPr>
          <w:ilvl w:val="0"/>
          <w:numId w:val="2"/>
        </w:numPr>
        <w:spacing w:after="80"/>
      </w:pPr>
      <w:r>
        <w:rPr>
          <w:color w:val="111928"/>
          <w:sz w:val="22"/>
          <w:szCs w:val="22"/>
        </w:rPr>
        <w:t xml:space="preserve">GET|POST|PUT|DELETE /tickets · POST /tickets/:id/commentaires · PATCH /tickets/:id/statut</w:t>
      </w:r>
    </w:p>
    <w:p>
      <w:pPr>
        <w:pStyle w:val="ListParagraph"/>
        <w:numPr>
          <w:ilvl w:val="0"/>
          <w:numId w:val="2"/>
        </w:numPr>
        <w:spacing w:after="80"/>
      </w:pPr>
      <w:r>
        <w:rPr>
          <w:color w:val="111928"/>
          <w:sz w:val="22"/>
          <w:szCs w:val="22"/>
        </w:rPr>
        <w:t xml:space="preserve">GET|POST|DELETE /documents · POST /documents/:id/signer · GET /documents/:id/url-signee</w:t>
      </w:r>
    </w:p>
    <w:p>
      <w:pPr>
        <w:pStyle w:val="ListParagraph"/>
        <w:numPr>
          <w:ilvl w:val="0"/>
          <w:numId w:val="2"/>
        </w:numPr>
        <w:spacing w:after="80"/>
      </w:pPr>
      <w:r>
        <w:rPr>
          <w:color w:val="111928"/>
          <w:sz w:val="22"/>
          <w:szCs w:val="22"/>
        </w:rPr>
        <w:t xml:space="preserve">POST /ia/generer-pv · POST /ia/generer-convocation · POST /ia/generer-courrier</w:t>
      </w:r>
    </w:p>
    <w:p>
      <w:r>
        <w:br w:type="page"/>
      </w:r>
    </w:p>
    <w:p>
      <w:pPr>
        <w:pStyle w:val="Heading1"/>
        <w:spacing w:after="200" w:before="440"/>
      </w:pPr>
      <w:r>
        <w:t xml:space="preserve">8. Application mobile React Native</w:t>
      </w:r>
    </w:p>
    <w:p>
      <w:pPr>
        <w:pStyle w:val="Heading2"/>
        <w:spacing w:after="150" w:before="300"/>
      </w:pPr>
      <w:r>
        <w:t xml:space="preserve">8.1 Contexte</w:t>
      </w:r>
    </w:p>
    <w:p>
      <w:pPr>
        <w:spacing w:after="120"/>
      </w:pPr>
      <w:r>
        <w:rPr>
          <w:color w:val="111928"/>
          <w:sz w:val="22"/>
          <w:szCs w:val="22"/>
        </w:rPr>
        <w:t xml:space="preserve">L'application mobile Syndic360 est développée avec React Native + Expo (SDK 51). Elle cible iOS 16+ et Android 10+. Le code est maximum partagé avec le frontend web via le package packages/ui/.</w:t>
      </w:r>
    </w:p>
    <w:p>
      <w:pPr>
        <w:pStyle w:val="Heading2"/>
        <w:spacing w:after="150" w:before="300"/>
      </w:pPr>
      <w:r>
        <w:t xml:space="preserve">8.2 Fonctionnalités mobiles — par rôle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72"/>
      </w:tblGrid>
      <w:tr>
        <w:trPr>
          <w:tblHeader/>
        </w:trPr>
        <w:tc>
          <w:tcPr>
            <w:tcW w:type="dxa" w:w="3000"/>
            <w:shd w:fill="0F4C81" w:color="auto" w:val="clear"/>
            <w:tcMar>
              <w:top w:type="dxa" w:w="80"/>
              <w:left w:type="dxa" w:w="100"/>
              <w:bottom w:type="dxa" w:w="80"/>
              <w:right w:type="dxa" w:w="100"/>
            </w:tcMar>
          </w:tcPr>
          <w:p>
            <w:pPr>
              <w:jc w:val="left"/>
            </w:pPr>
            <w:r>
              <w:rPr>
                <w:b/>
                <w:bCs/>
                <w:color w:val="FFFFFF"/>
                <w:sz w:val="20"/>
                <w:szCs w:val="20"/>
              </w:rPr>
              <w:t xml:space="preserve">Fonctionnalité</w:t>
            </w:r>
          </w:p>
        </w:tc>
        <w:tc>
          <w:tcPr>
            <w:tcW w:type="dxa" w:w="1800"/>
            <w:shd w:fill="0F4C81" w:color="auto" w:val="clear"/>
            <w:tcMar>
              <w:top w:type="dxa" w:w="80"/>
              <w:left w:type="dxa" w:w="100"/>
              <w:bottom w:type="dxa" w:w="80"/>
              <w:right w:type="dxa" w:w="100"/>
            </w:tcMar>
          </w:tcPr>
          <w:p>
            <w:pPr>
              <w:jc w:val="left"/>
            </w:pPr>
            <w:r>
              <w:rPr>
                <w:b/>
                <w:bCs/>
                <w:color w:val="FFFFFF"/>
                <w:sz w:val="20"/>
                <w:szCs w:val="20"/>
              </w:rPr>
              <w:t xml:space="preserve">Copropriétaire</w:t>
            </w:r>
          </w:p>
        </w:tc>
        <w:tc>
          <w:tcPr>
            <w:tcW w:type="dxa" w:w="1800"/>
            <w:shd w:fill="0F4C81" w:color="auto" w:val="clear"/>
            <w:tcMar>
              <w:top w:type="dxa" w:w="80"/>
              <w:left w:type="dxa" w:w="100"/>
              <w:bottom w:type="dxa" w:w="80"/>
              <w:right w:type="dxa" w:w="100"/>
            </w:tcMar>
          </w:tcPr>
          <w:p>
            <w:pPr>
              <w:jc w:val="left"/>
            </w:pPr>
            <w:r>
              <w:rPr>
                <w:b/>
                <w:bCs/>
                <w:color w:val="FFFFFF"/>
                <w:sz w:val="20"/>
                <w:szCs w:val="20"/>
              </w:rPr>
              <w:t xml:space="preserve">Gestionnaire</w:t>
            </w:r>
          </w:p>
        </w:tc>
        <w:tc>
          <w:tcPr>
            <w:tcW w:type="dxa" w:w="2472"/>
            <w:shd w:fill="0F4C81" w:color="auto" w:val="clear"/>
            <w:tcMar>
              <w:top w:type="dxa" w:w="80"/>
              <w:left w:type="dxa" w:w="100"/>
              <w:bottom w:type="dxa" w:w="80"/>
              <w:right w:type="dxa" w:w="100"/>
            </w:tcMar>
          </w:tcPr>
          <w:p>
            <w:pPr>
              <w:jc w:val="left"/>
            </w:pPr>
            <w:r>
              <w:rPr>
                <w:b/>
                <w:bCs/>
                <w:color w:val="FFFFFF"/>
                <w:sz w:val="20"/>
                <w:szCs w:val="20"/>
              </w:rPr>
              <w:t xml:space="preserve">Prestataire</w:t>
            </w:r>
          </w:p>
        </w:tc>
      </w:tr>
      <w:tr>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Tableau de bord personnalisé</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Voir mes charges &amp; payer</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Voter en AG (avec 2FA)</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Créer un ticket incident (photo)</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Suivre mes tickets</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Accès GED (offline partiel)</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Messagerie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Notifications push</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Dashboard multi-résidences</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FFFFF" w:color="auto" w:val="clear"/>
            <w:tcMar>
              <w:top w:type="dxa" w:w="80"/>
              <w:left w:type="dxa" w:w="100"/>
              <w:bottom w:type="dxa" w:w="80"/>
              <w:right w:type="dxa" w:w="100"/>
            </w:tcMar>
          </w:tcPr>
          <w:p>
            <w:pPr>
              <w:jc w:val="left"/>
            </w:pPr>
            <w:r>
              <w:rPr>
                <w:b w:val="false"/>
                <w:bCs w:val="false"/>
                <w:color w:val="111928"/>
                <w:sz w:val="20"/>
                <w:szCs w:val="20"/>
              </w:rPr>
              <w:t xml:space="preserve">—</w:t>
            </w:r>
          </w:p>
        </w:tc>
      </w:tr>
      <w:tr>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Alertes KPI</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c>
          <w:tcPr>
            <w:tcW w:type="dxa" w:w="2472"/>
            <w:shd w:fill="F4F7FC" w:color="auto" w:val="clear"/>
            <w:tcMar>
              <w:top w:type="dxa" w:w="80"/>
              <w:left w:type="dxa" w:w="100"/>
              <w:bottom w:type="dxa" w:w="80"/>
              <w:right w:type="dxa" w:w="100"/>
            </w:tcMar>
          </w:tcPr>
          <w:p>
            <w:pPr>
              <w:jc w:val="left"/>
            </w:pPr>
            <w:r>
              <w:rPr>
                <w:b w:val="false"/>
                <w:bCs w:val="false"/>
                <w:color w:val="111928"/>
                <w:sz w:val="20"/>
                <w:szCs w:val="20"/>
              </w:rPr>
              <w:t xml:space="preserve">—</w:t>
            </w:r>
          </w:p>
        </w:tc>
      </w:tr>
    </w:tbl>
    <w:p>
      <w:pPr>
        <w:spacing w:after="80"/>
      </w:pPr>
      <w:r>
        <w:t xml:space="preserve"/>
      </w:r>
    </w:p>
    <w:p>
      <w:pPr>
        <w:pStyle w:val="Heading2"/>
        <w:spacing w:after="150" w:before="300"/>
      </w:pPr>
      <w:r>
        <w:t xml:space="preserve">8.3 Fonctionnalités techniques mobiles</w:t>
      </w:r>
    </w:p>
    <w:p>
      <w:pPr>
        <w:pStyle w:val="ListParagraph"/>
        <w:numPr>
          <w:ilvl w:val="0"/>
          <w:numId w:val="2"/>
        </w:numPr>
        <w:spacing w:after="80"/>
      </w:pPr>
      <w:r>
        <w:rPr>
          <w:color w:val="111928"/>
          <w:sz w:val="22"/>
          <w:szCs w:val="22"/>
        </w:rPr>
        <w:t xml:space="preserve">Biométrie : Face ID / empreinte digitale pour connexion rapide (expo-local-authentication)</w:t>
      </w:r>
    </w:p>
    <w:p>
      <w:pPr>
        <w:pStyle w:val="ListParagraph"/>
        <w:numPr>
          <w:ilvl w:val="0"/>
          <w:numId w:val="2"/>
        </w:numPr>
        <w:spacing w:after="80"/>
      </w:pPr>
      <w:r>
        <w:rPr>
          <w:color w:val="111928"/>
          <w:sz w:val="22"/>
          <w:szCs w:val="22"/>
        </w:rPr>
        <w:t xml:space="preserve">Notifications push : expo-notifications + FCM (Android) + APNS (iOS)</w:t>
      </w:r>
    </w:p>
    <w:p>
      <w:pPr>
        <w:pStyle w:val="ListParagraph"/>
        <w:numPr>
          <w:ilvl w:val="0"/>
          <w:numId w:val="2"/>
        </w:numPr>
        <w:spacing w:after="80"/>
      </w:pPr>
      <w:r>
        <w:rPr>
          <w:color w:val="111928"/>
          <w:sz w:val="22"/>
          <w:szCs w:val="22"/>
        </w:rPr>
        <w:t xml:space="preserve">Mode hors-ligne : React Query persistence + MMKV storage pour données récentes</w:t>
      </w:r>
    </w:p>
    <w:p>
      <w:pPr>
        <w:pStyle w:val="ListParagraph"/>
        <w:numPr>
          <w:ilvl w:val="0"/>
          <w:numId w:val="2"/>
        </w:numPr>
        <w:spacing w:after="80"/>
      </w:pPr>
      <w:r>
        <w:rPr>
          <w:color w:val="111928"/>
          <w:sz w:val="22"/>
          <w:szCs w:val="22"/>
        </w:rPr>
        <w:t xml:space="preserve">Appareil photo : expo-camera pour photos tickets, expo-document-picker pour uploads GED</w:t>
      </w:r>
    </w:p>
    <w:p>
      <w:pPr>
        <w:pStyle w:val="ListParagraph"/>
        <w:numPr>
          <w:ilvl w:val="0"/>
          <w:numId w:val="2"/>
        </w:numPr>
        <w:spacing w:after="80"/>
      </w:pPr>
      <w:r>
        <w:rPr>
          <w:color w:val="111928"/>
          <w:sz w:val="22"/>
          <w:szCs w:val="22"/>
        </w:rPr>
        <w:t xml:space="preserve">Deep links : liens directs vers tickets, AG, documents depuis emails/SMS</w:t>
      </w:r>
    </w:p>
    <w:p>
      <w:pPr>
        <w:pStyle w:val="ListParagraph"/>
        <w:numPr>
          <w:ilvl w:val="0"/>
          <w:numId w:val="2"/>
        </w:numPr>
        <w:spacing w:after="80"/>
      </w:pPr>
      <w:r>
        <w:rPr>
          <w:color w:val="111928"/>
          <w:sz w:val="22"/>
          <w:szCs w:val="22"/>
        </w:rPr>
        <w:t xml:space="preserve">Internationalisation : i18n-js, langues FR/AR (RTL support pour arabe)</w:t>
      </w:r>
    </w:p>
    <w:p>
      <w:pPr>
        <w:pStyle w:val="ListParagraph"/>
        <w:numPr>
          <w:ilvl w:val="0"/>
          <w:numId w:val="2"/>
        </w:numPr>
        <w:spacing w:after="80"/>
      </w:pPr>
      <w:r>
        <w:rPr>
          <w:color w:val="111928"/>
          <w:sz w:val="22"/>
          <w:szCs w:val="22"/>
        </w:rPr>
        <w:t xml:space="preserve">Analytics : Expo Analytics ou Mixpanel pour suivi d'usage mobile</w:t>
      </w:r>
    </w:p>
    <w:p>
      <w:r>
        <w:br w:type="page"/>
      </w:r>
    </w:p>
    <w:p>
      <w:pPr>
        <w:pStyle w:val="Heading1"/>
        <w:spacing w:after="200" w:before="440"/>
      </w:pPr>
      <w:r>
        <w:t xml:space="preserve">9. Sécurité &amp; RGPD</w:t>
      </w:r>
    </w:p>
    <w:p>
      <w:pPr>
        <w:pStyle w:val="Heading2"/>
        <w:spacing w:after="150" w:before="300"/>
      </w:pPr>
      <w:r>
        <w:t xml:space="preserve">9.1 Sécurité applicative</w:t>
      </w:r>
    </w:p>
    <w:p>
      <w:pPr>
        <w:pStyle w:val="ListParagraph"/>
        <w:numPr>
          <w:ilvl w:val="0"/>
          <w:numId w:val="2"/>
        </w:numPr>
        <w:spacing w:after="80"/>
      </w:pPr>
      <w:r>
        <w:rPr>
          <w:color w:val="111928"/>
          <w:sz w:val="22"/>
          <w:szCs w:val="22"/>
        </w:rPr>
        <w:t xml:space="preserve">Chiffrement TLS 1.3 pour toutes les communications client-serveur</w:t>
      </w:r>
    </w:p>
    <w:p>
      <w:pPr>
        <w:pStyle w:val="ListParagraph"/>
        <w:numPr>
          <w:ilvl w:val="0"/>
          <w:numId w:val="2"/>
        </w:numPr>
        <w:spacing w:after="80"/>
      </w:pPr>
      <w:r>
        <w:rPr>
          <w:color w:val="111928"/>
          <w:sz w:val="22"/>
          <w:szCs w:val="22"/>
        </w:rPr>
        <w:t xml:space="preserve">Chiffrement AES-256 des données sensibles au repos (RIB, coordonnées personnelles)</w:t>
      </w:r>
    </w:p>
    <w:p>
      <w:pPr>
        <w:pStyle w:val="ListParagraph"/>
        <w:numPr>
          <w:ilvl w:val="0"/>
          <w:numId w:val="2"/>
        </w:numPr>
        <w:spacing w:after="80"/>
      </w:pPr>
      <w:r>
        <w:rPr>
          <w:color w:val="111928"/>
          <w:sz w:val="22"/>
          <w:szCs w:val="22"/>
        </w:rPr>
        <w:t xml:space="preserve">Tokens JWT à courte durée de vie (access: 15min, refresh: 7 jours, rotation automatique)</w:t>
      </w:r>
    </w:p>
    <w:p>
      <w:pPr>
        <w:pStyle w:val="ListParagraph"/>
        <w:numPr>
          <w:ilvl w:val="0"/>
          <w:numId w:val="2"/>
        </w:numPr>
        <w:spacing w:after="80"/>
      </w:pPr>
      <w:r>
        <w:rPr>
          <w:color w:val="111928"/>
          <w:sz w:val="22"/>
          <w:szCs w:val="22"/>
        </w:rPr>
        <w:t xml:space="preserve">Protection CSRF : tokens CSRF sur toutes les mutations</w:t>
      </w:r>
    </w:p>
    <w:p>
      <w:pPr>
        <w:pStyle w:val="ListParagraph"/>
        <w:numPr>
          <w:ilvl w:val="0"/>
          <w:numId w:val="2"/>
        </w:numPr>
        <w:spacing w:after="80"/>
      </w:pPr>
      <w:r>
        <w:rPr>
          <w:color w:val="111928"/>
          <w:sz w:val="22"/>
          <w:szCs w:val="22"/>
        </w:rPr>
        <w:t xml:space="preserve">Rate limiting : protection brute force sur /auth/* (5 tentatives / 15min)</w:t>
      </w:r>
    </w:p>
    <w:p>
      <w:pPr>
        <w:pStyle w:val="ListParagraph"/>
        <w:numPr>
          <w:ilvl w:val="0"/>
          <w:numId w:val="2"/>
        </w:numPr>
        <w:spacing w:after="80"/>
      </w:pPr>
      <w:r>
        <w:rPr>
          <w:color w:val="111928"/>
          <w:sz w:val="22"/>
          <w:szCs w:val="22"/>
        </w:rPr>
        <w:t xml:space="preserve">Validation des entrées : Zod côté client, class-validator côté API, paramétrage strict</w:t>
      </w:r>
    </w:p>
    <w:p>
      <w:pPr>
        <w:pStyle w:val="ListParagraph"/>
        <w:numPr>
          <w:ilvl w:val="0"/>
          <w:numId w:val="2"/>
        </w:numPr>
        <w:spacing w:after="80"/>
      </w:pPr>
      <w:r>
        <w:rPr>
          <w:color w:val="111928"/>
          <w:sz w:val="22"/>
          <w:szCs w:val="22"/>
        </w:rPr>
        <w:t xml:space="preserve">Protection injection SQL : via Prisma ORM (requêtes paramétrées uniquement)</w:t>
      </w:r>
    </w:p>
    <w:p>
      <w:pPr>
        <w:pStyle w:val="ListParagraph"/>
        <w:numPr>
          <w:ilvl w:val="0"/>
          <w:numId w:val="2"/>
        </w:numPr>
        <w:spacing w:after="80"/>
      </w:pPr>
      <w:r>
        <w:rPr>
          <w:color w:val="111928"/>
          <w:sz w:val="22"/>
          <w:szCs w:val="22"/>
        </w:rPr>
        <w:t xml:space="preserve">Audit log immuable : toutes les actions sensibles tracées (qui, quoi, quand, depuis quelle IP)</w:t>
      </w:r>
    </w:p>
    <w:p>
      <w:pPr>
        <w:pStyle w:val="ListParagraph"/>
        <w:numPr>
          <w:ilvl w:val="0"/>
          <w:numId w:val="2"/>
        </w:numPr>
        <w:spacing w:after="80"/>
      </w:pPr>
      <w:r>
        <w:rPr>
          <w:color w:val="111928"/>
          <w:sz w:val="22"/>
          <w:szCs w:val="22"/>
        </w:rPr>
        <w:t xml:space="preserve">En-têtes de sécurité HTTP : CSP, HSTS, X-Frame-Options, X-Content-Type-Options</w:t>
      </w:r>
    </w:p>
    <w:p>
      <w:pPr>
        <w:pStyle w:val="ListParagraph"/>
        <w:numPr>
          <w:ilvl w:val="0"/>
          <w:numId w:val="2"/>
        </w:numPr>
        <w:spacing w:after="80"/>
      </w:pPr>
      <w:r>
        <w:rPr>
          <w:color w:val="111928"/>
          <w:sz w:val="22"/>
          <w:szCs w:val="22"/>
        </w:rPr>
        <w:t xml:space="preserve">Tests de pénétration annuels + bug bounty program à lancer à la sortie publique</w:t>
      </w:r>
    </w:p>
    <w:p>
      <w:pPr>
        <w:pStyle w:val="Heading2"/>
        <w:spacing w:after="150" w:before="300"/>
      </w:pPr>
      <w:r>
        <w:t xml:space="preserve">9.2 Conformité RGPD &amp; loi marocaine 09-08</w:t>
      </w:r>
    </w:p>
    <w:p>
      <w:pPr>
        <w:pStyle w:val="ListParagraph"/>
        <w:numPr>
          <w:ilvl w:val="0"/>
          <w:numId w:val="2"/>
        </w:numPr>
        <w:spacing w:after="80"/>
      </w:pPr>
      <w:r>
        <w:rPr>
          <w:color w:val="111928"/>
          <w:sz w:val="22"/>
          <w:szCs w:val="22"/>
        </w:rPr>
        <w:t xml:space="preserve">Registre des traitements maintenu et mis à jour</w:t>
      </w:r>
    </w:p>
    <w:p>
      <w:pPr>
        <w:pStyle w:val="ListParagraph"/>
        <w:numPr>
          <w:ilvl w:val="0"/>
          <w:numId w:val="2"/>
        </w:numPr>
        <w:spacing w:after="80"/>
      </w:pPr>
      <w:r>
        <w:rPr>
          <w:color w:val="111928"/>
          <w:sz w:val="22"/>
          <w:szCs w:val="22"/>
        </w:rPr>
        <w:t xml:space="preserve">Consentement explicite collecté et tracé (date, version CGU acceptée)</w:t>
      </w:r>
    </w:p>
    <w:p>
      <w:pPr>
        <w:pStyle w:val="ListParagraph"/>
        <w:numPr>
          <w:ilvl w:val="0"/>
          <w:numId w:val="2"/>
        </w:numPr>
        <w:spacing w:after="80"/>
      </w:pPr>
      <w:r>
        <w:rPr>
          <w:color w:val="111928"/>
          <w:sz w:val="22"/>
          <w:szCs w:val="22"/>
        </w:rPr>
        <w:t xml:space="preserve">Droit à l'oubli : suppression complète ou anonymisation sur demande sous 30 jours</w:t>
      </w:r>
    </w:p>
    <w:p>
      <w:pPr>
        <w:pStyle w:val="ListParagraph"/>
        <w:numPr>
          <w:ilvl w:val="0"/>
          <w:numId w:val="2"/>
        </w:numPr>
        <w:spacing w:after="80"/>
      </w:pPr>
      <w:r>
        <w:rPr>
          <w:color w:val="111928"/>
          <w:sz w:val="22"/>
          <w:szCs w:val="22"/>
        </w:rPr>
        <w:t xml:space="preserve">Portabilité : export JSON/CSV de toutes les données personnelles de l'utilisateur</w:t>
      </w:r>
    </w:p>
    <w:p>
      <w:pPr>
        <w:pStyle w:val="ListParagraph"/>
        <w:numPr>
          <w:ilvl w:val="0"/>
          <w:numId w:val="2"/>
        </w:numPr>
        <w:spacing w:after="80"/>
      </w:pPr>
      <w:r>
        <w:rPr>
          <w:color w:val="111928"/>
          <w:sz w:val="22"/>
          <w:szCs w:val="22"/>
        </w:rPr>
        <w:t xml:space="preserve">Durées de conservation configurables par type de données</w:t>
      </w:r>
    </w:p>
    <w:p>
      <w:pPr>
        <w:pStyle w:val="ListParagraph"/>
        <w:numPr>
          <w:ilvl w:val="0"/>
          <w:numId w:val="2"/>
        </w:numPr>
        <w:spacing w:after="80"/>
      </w:pPr>
      <w:r>
        <w:rPr>
          <w:color w:val="111928"/>
          <w:sz w:val="22"/>
          <w:szCs w:val="22"/>
        </w:rPr>
        <w:t xml:space="preserve">Mentions légales, CGU, politique de confidentialité bilingues (FR/AR)</w:t>
      </w:r>
    </w:p>
    <w:p>
      <w:pPr>
        <w:pStyle w:val="ListParagraph"/>
        <w:numPr>
          <w:ilvl w:val="0"/>
          <w:numId w:val="2"/>
        </w:numPr>
        <w:spacing w:after="80"/>
      </w:pPr>
      <w:r>
        <w:rPr>
          <w:color w:val="111928"/>
          <w:sz w:val="22"/>
          <w:szCs w:val="22"/>
        </w:rPr>
        <w:t xml:space="preserve">Hébergement données en Europe ou Maroc (conformité recommandation CNDP Maroc)</w:t>
      </w:r>
    </w:p>
    <w:p>
      <w:pPr>
        <w:pStyle w:val="ListParagraph"/>
        <w:numPr>
          <w:ilvl w:val="0"/>
          <w:numId w:val="2"/>
        </w:numPr>
        <w:spacing w:after="80"/>
      </w:pPr>
      <w:r>
        <w:rPr>
          <w:color w:val="111928"/>
          <w:sz w:val="22"/>
          <w:szCs w:val="22"/>
        </w:rPr>
        <w:t xml:space="preserve">DPO désigné et coordonnées publiées dans la politique de confidentialité</w:t>
      </w:r>
    </w:p>
    <w:p>
      <w:r>
        <w:br w:type="page"/>
      </w:r>
    </w:p>
    <w:p>
      <w:pPr>
        <w:pStyle w:val="Heading1"/>
        <w:spacing w:after="200" w:before="440"/>
      </w:pPr>
      <w:r>
        <w:t xml:space="preserve">10. Exigences non fonctionnelles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72"/>
      </w:tblGrid>
      <w:tr>
        <w:trPr>
          <w:tblHeader/>
        </w:trPr>
        <w:tc>
          <w:tcPr>
            <w:tcW w:type="dxa" w:w="2600"/>
            <w:shd w:fill="0F4C81" w:color="auto" w:val="clear"/>
            <w:tcMar>
              <w:top w:type="dxa" w:w="80"/>
              <w:left w:type="dxa" w:w="100"/>
              <w:bottom w:type="dxa" w:w="80"/>
              <w:right w:type="dxa" w:w="100"/>
            </w:tcMar>
          </w:tcPr>
          <w:p>
            <w:pPr>
              <w:jc w:val="left"/>
            </w:pPr>
            <w:r>
              <w:rPr>
                <w:b/>
                <w:bCs/>
                <w:color w:val="FFFFFF"/>
                <w:sz w:val="20"/>
                <w:szCs w:val="20"/>
              </w:rPr>
              <w:t xml:space="preserve">Critère</w:t>
            </w:r>
          </w:p>
        </w:tc>
        <w:tc>
          <w:tcPr>
            <w:tcW w:type="dxa" w:w="2600"/>
            <w:shd w:fill="0F4C81" w:color="auto" w:val="clear"/>
            <w:tcMar>
              <w:top w:type="dxa" w:w="80"/>
              <w:left w:type="dxa" w:w="100"/>
              <w:bottom w:type="dxa" w:w="80"/>
              <w:right w:type="dxa" w:w="100"/>
            </w:tcMar>
          </w:tcPr>
          <w:p>
            <w:pPr>
              <w:jc w:val="left"/>
            </w:pPr>
            <w:r>
              <w:rPr>
                <w:b/>
                <w:bCs/>
                <w:color w:val="FFFFFF"/>
                <w:sz w:val="20"/>
                <w:szCs w:val="20"/>
              </w:rPr>
              <w:t xml:space="preserve">Exigence</w:t>
            </w:r>
          </w:p>
        </w:tc>
        <w:tc>
          <w:tcPr>
            <w:tcW w:type="dxa" w:w="3872"/>
            <w:shd w:fill="0F4C81" w:color="auto" w:val="clear"/>
            <w:tcMar>
              <w:top w:type="dxa" w:w="80"/>
              <w:left w:type="dxa" w:w="100"/>
              <w:bottom w:type="dxa" w:w="80"/>
              <w:right w:type="dxa" w:w="100"/>
            </w:tcMar>
          </w:tcPr>
          <w:p>
            <w:pPr>
              <w:jc w:val="left"/>
            </w:pPr>
            <w:r>
              <w:rPr>
                <w:b/>
                <w:bCs/>
                <w:color w:val="FFFFFF"/>
                <w:sz w:val="20"/>
                <w:szCs w:val="20"/>
              </w:rPr>
              <w:t xml:space="preserve">Cible mesurable</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Performance API</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Temps réponse P95</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&lt; 300ms</w:t>
            </w:r>
          </w:p>
        </w:tc>
      </w:tr>
      <w:tr>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Performance web</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First Contentful Paint</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&lt; 1,5s</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Performance mobile</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Time to Interactive</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&lt; 3s sur 4G</w:t>
            </w:r>
          </w:p>
        </w:tc>
      </w:tr>
      <w:tr>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Disponibilité</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SLA production</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99,9% uptime mensuel</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Scalabilité</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Copropriétés simultanées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10 000+</w:t>
            </w:r>
          </w:p>
        </w:tc>
      </w:tr>
      <w:tr>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Scalabilité vote AG</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Votes simultanés</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5 000 votes/min</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Stockage GED</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Capacité par tenant</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Variable selon plan</w:t>
            </w:r>
          </w:p>
        </w:tc>
      </w:tr>
      <w:tr>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Accessibilité web</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Standard WCAG</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Niveau AA minimum</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SEO</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Score Lighthouse SEO</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 90</w:t>
            </w:r>
          </w:p>
        </w:tc>
      </w:tr>
      <w:tr>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Core Web Vitals</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LCP, FID, CLS</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Tous en "Good"</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Internationalisation</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Langues supportées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FR + AR (RTL) dès V1</w:t>
            </w:r>
          </w:p>
        </w:tc>
      </w:tr>
      <w:tr>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Compatibilité navigateurs</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Support minimum</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Chrome 100+, Firefox 100+, Safari 15+</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Compatibilité mobile web</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Responsive breakpoints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320px → 1920px</w:t>
            </w:r>
          </w:p>
        </w:tc>
      </w:tr>
      <w:tr>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Récupération données</w:t>
            </w:r>
          </w:p>
        </w:tc>
        <w:tc>
          <w:tcPr>
            <w:tcW w:type="dxa" w:w="2600"/>
            <w:shd w:fill="F4F7FC" w:color="auto" w:val="clear"/>
            <w:tcMar>
              <w:top w:type="dxa" w:w="80"/>
              <w:left w:type="dxa" w:w="100"/>
              <w:bottom w:type="dxa" w:w="80"/>
              <w:right w:type="dxa" w:w="100"/>
            </w:tcMar>
          </w:tcPr>
          <w:p>
            <w:pPr>
              <w:jc w:val="left"/>
            </w:pPr>
            <w:r>
              <w:rPr>
                <w:b w:val="false"/>
                <w:bCs w:val="false"/>
                <w:color w:val="111928"/>
                <w:sz w:val="20"/>
                <w:szCs w:val="20"/>
              </w:rPr>
              <w:t xml:space="preserve">RPO (perte max)</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&lt; 1 heure</w:t>
            </w:r>
          </w:p>
        </w:tc>
      </w:tr>
      <w:tr>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Reprise activité</w:t>
            </w:r>
          </w:p>
        </w:tc>
        <w:tc>
          <w:tcPr>
            <w:tcW w:type="dxa" w:w="2600"/>
            <w:shd w:fill="FFFFFF" w:color="auto" w:val="clear"/>
            <w:tcMar>
              <w:top w:type="dxa" w:w="80"/>
              <w:left w:type="dxa" w:w="100"/>
              <w:bottom w:type="dxa" w:w="80"/>
              <w:right w:type="dxa" w:w="100"/>
            </w:tcMar>
          </w:tcPr>
          <w:p>
            <w:pPr>
              <w:jc w:val="left"/>
            </w:pPr>
            <w:r>
              <w:rPr>
                <w:b w:val="false"/>
                <w:bCs w:val="false"/>
                <w:color w:val="111928"/>
                <w:sz w:val="20"/>
                <w:szCs w:val="20"/>
              </w:rPr>
              <w:t xml:space="preserve">RTO (temps reprise)</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&lt; 4 heures</w:t>
            </w:r>
          </w:p>
        </w:tc>
      </w:tr>
    </w:tbl>
    <w:p>
      <w:r>
        <w:br w:type="page"/>
      </w:r>
    </w:p>
    <w:p>
      <w:pPr>
        <w:pStyle w:val="Heading1"/>
        <w:spacing w:after="200" w:before="440"/>
      </w:pPr>
      <w:r>
        <w:t xml:space="preserve">11. Charte graphique &amp; design system pour Claude Code</w:t>
      </w:r>
    </w:p>
    <w:p>
      <w:pPr>
        <w:pStyle w:val="Heading2"/>
        <w:spacing w:after="150" w:before="300"/>
      </w:pPr>
      <w:r>
        <w:t xml:space="preserve">11.1 Tokens CSS à implémenter</w:t>
      </w:r>
    </w:p>
    <w:p>
      <w:pPr>
        <w:spacing w:after="120"/>
      </w:pPr>
      <w:r>
        <w:rPr>
          <w:color w:val="111928"/>
          <w:sz w:val="22"/>
          <w:szCs w:val="22"/>
        </w:rPr>
        <w:t xml:space="preserve">Dans le fichier tailwind.config.ts, définir les tokens Syndic360 :</w:t>
      </w:r>
    </w:p>
    <w:p>
      <w:pPr>
        <w:pStyle w:val="ListParagraph"/>
        <w:numPr>
          <w:ilvl w:val="0"/>
          <w:numId w:val="2"/>
        </w:numPr>
        <w:spacing w:after="80"/>
      </w:pPr>
      <w:r>
        <w:rPr>
          <w:color w:val="111928"/>
          <w:sz w:val="22"/>
          <w:szCs w:val="22"/>
        </w:rPr>
        <w:t xml:space="preserve">primary: { DEFAULT: '#0F4C81', light: '#1A6CB5', dark: '#0A3560' }</w:t>
      </w:r>
    </w:p>
    <w:p>
      <w:pPr>
        <w:pStyle w:val="ListParagraph"/>
        <w:numPr>
          <w:ilvl w:val="0"/>
          <w:numId w:val="2"/>
        </w:numPr>
        <w:spacing w:after="80"/>
      </w:pPr>
      <w:r>
        <w:rPr>
          <w:color w:val="111928"/>
          <w:sz w:val="22"/>
          <w:szCs w:val="22"/>
        </w:rPr>
        <w:t xml:space="preserve">secondary: { DEFAULT: '#E87722', light: '#F0923A', dark: '#C45A0A' }</w:t>
      </w:r>
    </w:p>
    <w:p>
      <w:pPr>
        <w:pStyle w:val="ListParagraph"/>
        <w:numPr>
          <w:ilvl w:val="0"/>
          <w:numId w:val="2"/>
        </w:numPr>
        <w:spacing w:after="80"/>
      </w:pPr>
      <w:r>
        <w:rPr>
          <w:color w:val="111928"/>
          <w:sz w:val="22"/>
          <w:szCs w:val="22"/>
        </w:rPr>
        <w:t xml:space="preserve">success: { DEFAULT: '#1A6B4A', light: '#22A06B', dark: '#0F4A33' }</w:t>
      </w:r>
    </w:p>
    <w:p>
      <w:pPr>
        <w:pStyle w:val="ListParagraph"/>
        <w:numPr>
          <w:ilvl w:val="0"/>
          <w:numId w:val="2"/>
        </w:numPr>
        <w:spacing w:after="80"/>
      </w:pPr>
      <w:r>
        <w:rPr>
          <w:color w:val="111928"/>
          <w:sz w:val="22"/>
          <w:szCs w:val="22"/>
        </w:rPr>
        <w:t xml:space="preserve">background: { page: '#F4F7FC', card: '#FFFFFF', sidebar: '#0F4C81' }</w:t>
      </w:r>
    </w:p>
    <w:p>
      <w:pPr>
        <w:pStyle w:val="ListParagraph"/>
        <w:numPr>
          <w:ilvl w:val="0"/>
          <w:numId w:val="2"/>
        </w:numPr>
        <w:spacing w:after="80"/>
      </w:pPr>
      <w:r>
        <w:rPr>
          <w:color w:val="111928"/>
          <w:sz w:val="22"/>
          <w:szCs w:val="22"/>
        </w:rPr>
        <w:t xml:space="preserve">text: { primary: '#111928', secondary: '#6B7280', muted: '#9CA3AF' }</w:t>
      </w:r>
    </w:p>
    <w:p>
      <w:pPr>
        <w:pStyle w:val="ListParagraph"/>
        <w:numPr>
          <w:ilvl w:val="0"/>
          <w:numId w:val="2"/>
        </w:numPr>
        <w:spacing w:after="80"/>
      </w:pPr>
      <w:r>
        <w:rPr>
          <w:color w:val="111928"/>
          <w:sz w:val="22"/>
          <w:szCs w:val="22"/>
        </w:rPr>
        <w:t xml:space="preserve">border: { DEFAULT: '#E2EAF4', strong: '#C7D9EF' }</w:t>
      </w:r>
    </w:p>
    <w:p>
      <w:pPr>
        <w:pStyle w:val="Heading2"/>
        <w:spacing w:after="150" w:before="300"/>
      </w:pPr>
      <w:r>
        <w:t xml:space="preserve">11.2 Composants UI à créer (shadcn/ui + customisation)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72"/>
      </w:tblGrid>
      <w:tr>
        <w:trPr>
          <w:tblHeader/>
        </w:trPr>
        <w:tc>
          <w:tcPr>
            <w:tcW w:type="dxa" w:w="2200"/>
            <w:shd w:fill="0F4C81" w:color="auto" w:val="clear"/>
            <w:tcMar>
              <w:top w:type="dxa" w:w="80"/>
              <w:left w:type="dxa" w:w="100"/>
              <w:bottom w:type="dxa" w:w="80"/>
              <w:right w:type="dxa" w:w="100"/>
            </w:tcMar>
          </w:tcPr>
          <w:p>
            <w:pPr>
              <w:jc w:val="left"/>
            </w:pPr>
            <w:r>
              <w:rPr>
                <w:b/>
                <w:bCs/>
                <w:color w:val="FFFFFF"/>
                <w:sz w:val="20"/>
                <w:szCs w:val="20"/>
              </w:rPr>
              <w:t xml:space="preserve">Composant</w:t>
            </w:r>
          </w:p>
        </w:tc>
        <w:tc>
          <w:tcPr>
            <w:tcW w:type="dxa" w:w="3000"/>
            <w:shd w:fill="0F4C81" w:color="auto" w:val="clear"/>
            <w:tcMar>
              <w:top w:type="dxa" w:w="80"/>
              <w:left w:type="dxa" w:w="100"/>
              <w:bottom w:type="dxa" w:w="80"/>
              <w:right w:type="dxa" w:w="100"/>
            </w:tcMar>
          </w:tcPr>
          <w:p>
            <w:pPr>
              <w:jc w:val="left"/>
            </w:pPr>
            <w:r>
              <w:rPr>
                <w:b/>
                <w:bCs/>
                <w:color w:val="FFFFFF"/>
                <w:sz w:val="20"/>
                <w:szCs w:val="20"/>
              </w:rPr>
              <w:t xml:space="preserve">Description</w:t>
            </w:r>
          </w:p>
        </w:tc>
        <w:tc>
          <w:tcPr>
            <w:tcW w:type="dxa" w:w="3872"/>
            <w:shd w:fill="0F4C81" w:color="auto" w:val="clear"/>
            <w:tcMar>
              <w:top w:type="dxa" w:w="80"/>
              <w:left w:type="dxa" w:w="100"/>
              <w:bottom w:type="dxa" w:w="80"/>
              <w:right w:type="dxa" w:w="100"/>
            </w:tcMar>
          </w:tcPr>
          <w:p>
            <w:pPr>
              <w:jc w:val="left"/>
            </w:pPr>
            <w:r>
              <w:rPr>
                <w:b/>
                <w:bCs/>
                <w:color w:val="FFFFFF"/>
                <w:sz w:val="20"/>
                <w:szCs w:val="20"/>
              </w:rPr>
              <w:t xml:space="preserve">Props clés</w:t>
            </w:r>
          </w:p>
        </w:tc>
      </w:tr>
      <w:tr>
        <w:tc>
          <w:tcPr>
            <w:tcW w:type="dxa" w:w="2200"/>
            <w:shd w:fill="FFFFFF" w:color="auto" w:val="clear"/>
            <w:tcMar>
              <w:top w:type="dxa" w:w="80"/>
              <w:left w:type="dxa" w:w="100"/>
              <w:bottom w:type="dxa" w:w="80"/>
              <w:right w:type="dxa" w:w="100"/>
            </w:tcMar>
          </w:tcPr>
          <w:p>
            <w:pPr>
              <w:jc w:val="left"/>
            </w:pPr>
            <w:r>
              <w:rPr>
                <w:b w:val="false"/>
                <w:bCs w:val="false"/>
                <w:color w:val="111928"/>
                <w:sz w:val="20"/>
                <w:szCs w:val="20"/>
              </w:rPr>
              <w:t xml:space="preserve">&lt;SyndicLogo /&gt;</w:t>
            </w:r>
          </w:p>
        </w:tc>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Logo SVG Syndic360 avec variantes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size, variant (light/dark/colored)</w:t>
            </w:r>
          </w:p>
        </w:tc>
      </w:tr>
      <w:tr>
        <w:tc>
          <w:tcPr>
            <w:tcW w:type="dxa" w:w="2200"/>
            <w:shd w:fill="F4F7FC" w:color="auto" w:val="clear"/>
            <w:tcMar>
              <w:top w:type="dxa" w:w="80"/>
              <w:left w:type="dxa" w:w="100"/>
              <w:bottom w:type="dxa" w:w="80"/>
              <w:right w:type="dxa" w:w="100"/>
            </w:tcMar>
          </w:tcPr>
          <w:p>
            <w:pPr>
              <w:jc w:val="left"/>
            </w:pPr>
            <w:r>
              <w:rPr>
                <w:b w:val="false"/>
                <w:bCs w:val="false"/>
                <w:color w:val="111928"/>
                <w:sz w:val="20"/>
                <w:szCs w:val="20"/>
              </w:rPr>
              <w:t xml:space="preserve">&lt;KpiCard /&gt;</w:t>
            </w:r>
          </w:p>
        </w:tc>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Carte métrique avec icône, valeur, tendance</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label, value, trend, color</w:t>
            </w:r>
          </w:p>
        </w:tc>
      </w:tr>
      <w:tr>
        <w:tc>
          <w:tcPr>
            <w:tcW w:type="dxa" w:w="2200"/>
            <w:shd w:fill="FFFFFF" w:color="auto" w:val="clear"/>
            <w:tcMar>
              <w:top w:type="dxa" w:w="80"/>
              <w:left w:type="dxa" w:w="100"/>
              <w:bottom w:type="dxa" w:w="80"/>
              <w:right w:type="dxa" w:w="100"/>
            </w:tcMar>
          </w:tcPr>
          <w:p>
            <w:pPr>
              <w:jc w:val="left"/>
            </w:pPr>
            <w:r>
              <w:rPr>
                <w:b w:val="false"/>
                <w:bCs w:val="false"/>
                <w:color w:val="111928"/>
                <w:sz w:val="20"/>
                <w:szCs w:val="20"/>
              </w:rPr>
              <w:t xml:space="preserve">&lt;ResidenceCard /&gt;</w:t>
            </w:r>
          </w:p>
        </w:tc>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Carte résidence avec statut et KPIs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residence, onSelect</w:t>
            </w:r>
          </w:p>
        </w:tc>
      </w:tr>
      <w:tr>
        <w:tc>
          <w:tcPr>
            <w:tcW w:type="dxa" w:w="2200"/>
            <w:shd w:fill="F4F7FC" w:color="auto" w:val="clear"/>
            <w:tcMar>
              <w:top w:type="dxa" w:w="80"/>
              <w:left w:type="dxa" w:w="100"/>
              <w:bottom w:type="dxa" w:w="80"/>
              <w:right w:type="dxa" w:w="100"/>
            </w:tcMar>
          </w:tcPr>
          <w:p>
            <w:pPr>
              <w:jc w:val="left"/>
            </w:pPr>
            <w:r>
              <w:rPr>
                <w:b w:val="false"/>
                <w:bCs w:val="false"/>
                <w:color w:val="111928"/>
                <w:sz w:val="20"/>
                <w:szCs w:val="20"/>
              </w:rPr>
              <w:t xml:space="preserve">&lt;StatusBadge /&gt;</w:t>
            </w:r>
          </w:p>
        </w:tc>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Badge coloré selon statut</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status (payé/retard/attente), size</w:t>
            </w:r>
          </w:p>
        </w:tc>
      </w:tr>
      <w:tr>
        <w:tc>
          <w:tcPr>
            <w:tcW w:type="dxa" w:w="2200"/>
            <w:shd w:fill="FFFFFF" w:color="auto" w:val="clear"/>
            <w:tcMar>
              <w:top w:type="dxa" w:w="80"/>
              <w:left w:type="dxa" w:w="100"/>
              <w:bottom w:type="dxa" w:w="80"/>
              <w:right w:type="dxa" w:w="100"/>
            </w:tcMar>
          </w:tcPr>
          <w:p>
            <w:pPr>
              <w:jc w:val="left"/>
            </w:pPr>
            <w:r>
              <w:rPr>
                <w:b w:val="false"/>
                <w:bCs w:val="false"/>
                <w:color w:val="111928"/>
                <w:sz w:val="20"/>
                <w:szCs w:val="20"/>
              </w:rPr>
              <w:t xml:space="preserve">&lt;ChargesTable /&gt;</w:t>
            </w:r>
          </w:p>
        </w:tc>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Tableau appels de charges avec actions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data, onPay, onRelance</w:t>
            </w:r>
          </w:p>
        </w:tc>
      </w:tr>
      <w:tr>
        <w:tc>
          <w:tcPr>
            <w:tcW w:type="dxa" w:w="2200"/>
            <w:shd w:fill="F4F7FC" w:color="auto" w:val="clear"/>
            <w:tcMar>
              <w:top w:type="dxa" w:w="80"/>
              <w:left w:type="dxa" w:w="100"/>
              <w:bottom w:type="dxa" w:w="80"/>
              <w:right w:type="dxa" w:w="100"/>
            </w:tcMar>
          </w:tcPr>
          <w:p>
            <w:pPr>
              <w:jc w:val="left"/>
            </w:pPr>
            <w:r>
              <w:rPr>
                <w:b w:val="false"/>
                <w:bCs w:val="false"/>
                <w:color w:val="111928"/>
                <w:sz w:val="20"/>
                <w:szCs w:val="20"/>
              </w:rPr>
              <w:t xml:space="preserve">&lt;VoteButton /&gt;</w:t>
            </w:r>
          </w:p>
        </w:tc>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Bouton vote AG (POUR/CONTRE/ABSTENTION)</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value, selected, disabled</w:t>
            </w:r>
          </w:p>
        </w:tc>
      </w:tr>
      <w:tr>
        <w:tc>
          <w:tcPr>
            <w:tcW w:type="dxa" w:w="2200"/>
            <w:shd w:fill="FFFFFF" w:color="auto" w:val="clear"/>
            <w:tcMar>
              <w:top w:type="dxa" w:w="80"/>
              <w:left w:type="dxa" w:w="100"/>
              <w:bottom w:type="dxa" w:w="80"/>
              <w:right w:type="dxa" w:w="100"/>
            </w:tcMar>
          </w:tcPr>
          <w:p>
            <w:pPr>
              <w:jc w:val="left"/>
            </w:pPr>
            <w:r>
              <w:rPr>
                <w:b w:val="false"/>
                <w:bCs w:val="false"/>
                <w:color w:val="111928"/>
                <w:sz w:val="20"/>
                <w:szCs w:val="20"/>
              </w:rPr>
              <w:t xml:space="preserve">&lt;TicketKanban /&gt;</w:t>
            </w:r>
          </w:p>
        </w:tc>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Tableau Kanban pour les tickets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tickets, onMove, onAssign</w:t>
            </w:r>
          </w:p>
        </w:tc>
      </w:tr>
      <w:tr>
        <w:tc>
          <w:tcPr>
            <w:tcW w:type="dxa" w:w="2200"/>
            <w:shd w:fill="F4F7FC" w:color="auto" w:val="clear"/>
            <w:tcMar>
              <w:top w:type="dxa" w:w="80"/>
              <w:left w:type="dxa" w:w="100"/>
              <w:bottom w:type="dxa" w:w="80"/>
              <w:right w:type="dxa" w:w="100"/>
            </w:tcMar>
          </w:tcPr>
          <w:p>
            <w:pPr>
              <w:jc w:val="left"/>
            </w:pPr>
            <w:r>
              <w:rPr>
                <w:b w:val="false"/>
                <w:bCs w:val="false"/>
                <w:color w:val="111928"/>
                <w:sz w:val="20"/>
                <w:szCs w:val="20"/>
              </w:rPr>
              <w:t xml:space="preserve">&lt;DocumentUpload /&gt;</w:t>
            </w:r>
          </w:p>
        </w:tc>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Zone drag-and-drop upload documents</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onUpload, accept, maxSize</w:t>
            </w:r>
          </w:p>
        </w:tc>
      </w:tr>
      <w:tr>
        <w:tc>
          <w:tcPr>
            <w:tcW w:type="dxa" w:w="2200"/>
            <w:shd w:fill="FFFFFF" w:color="auto" w:val="clear"/>
            <w:tcMar>
              <w:top w:type="dxa" w:w="80"/>
              <w:left w:type="dxa" w:w="100"/>
              <w:bottom w:type="dxa" w:w="80"/>
              <w:right w:type="dxa" w:w="100"/>
            </w:tcMar>
          </w:tcPr>
          <w:p>
            <w:pPr>
              <w:jc w:val="left"/>
            </w:pPr>
            <w:r>
              <w:rPr>
                <w:b w:val="false"/>
                <w:bCs w:val="false"/>
                <w:color w:val="111928"/>
                <w:sz w:val="20"/>
                <w:szCs w:val="20"/>
              </w:rPr>
              <w:t xml:space="preserve">&lt;AIAssistant /&gt;</w:t>
            </w:r>
          </w:p>
        </w:tc>
        <w:tc>
          <w:tcPr>
            <w:tcW w:type="dxa" w:w="3000"/>
            <w:shd w:fill="FFFFFF" w:color="auto" w:val="clear"/>
            <w:tcMar>
              <w:top w:type="dxa" w:w="80"/>
              <w:left w:type="dxa" w:w="100"/>
              <w:bottom w:type="dxa" w:w="80"/>
              <w:right w:type="dxa" w:w="100"/>
            </w:tcMar>
          </w:tcPr>
          <w:p>
            <w:pPr>
              <w:jc w:val="left"/>
            </w:pPr>
            <w:r>
              <w:rPr>
                <w:b w:val="false"/>
                <w:bCs w:val="false"/>
                <w:color w:val="111928"/>
                <w:sz w:val="20"/>
                <w:szCs w:val="20"/>
              </w:rPr>
              <w:t xml:space="preserve">Widget assistant IA (génération documents)</w:t>
            </w:r>
          </w:p>
        </w:tc>
        <w:tc>
          <w:tcPr>
            <w:tcW w:type="dxa" w:w="3872"/>
            <w:shd w:fill="FFFFFF" w:color="auto" w:val="clear"/>
            <w:tcMar>
              <w:top w:type="dxa" w:w="80"/>
              <w:left w:type="dxa" w:w="100"/>
              <w:bottom w:type="dxa" w:w="80"/>
              <w:right w:type="dxa" w:w="100"/>
            </w:tcMar>
          </w:tcPr>
          <w:p>
            <w:pPr>
              <w:jc w:val="left"/>
            </w:pPr>
            <w:r>
              <w:rPr>
                <w:b w:val="false"/>
                <w:bCs w:val="false"/>
                <w:color w:val="111928"/>
                <w:sz w:val="20"/>
                <w:szCs w:val="20"/>
              </w:rPr>
              <w:t xml:space="preserve">type, context, onGenerate</w:t>
            </w:r>
          </w:p>
        </w:tc>
      </w:tr>
      <w:tr>
        <w:tc>
          <w:tcPr>
            <w:tcW w:type="dxa" w:w="2200"/>
            <w:shd w:fill="F4F7FC" w:color="auto" w:val="clear"/>
            <w:tcMar>
              <w:top w:type="dxa" w:w="80"/>
              <w:left w:type="dxa" w:w="100"/>
              <w:bottom w:type="dxa" w:w="80"/>
              <w:right w:type="dxa" w:w="100"/>
            </w:tcMar>
          </w:tcPr>
          <w:p>
            <w:pPr>
              <w:jc w:val="left"/>
            </w:pPr>
            <w:r>
              <w:rPr>
                <w:b w:val="false"/>
                <w:bCs w:val="false"/>
                <w:color w:val="111928"/>
                <w:sz w:val="20"/>
                <w:szCs w:val="20"/>
              </w:rPr>
              <w:t xml:space="preserve">&lt;NotifCenter /&gt;</w:t>
            </w:r>
          </w:p>
        </w:tc>
        <w:tc>
          <w:tcPr>
            <w:tcW w:type="dxa" w:w="3000"/>
            <w:shd w:fill="F4F7FC" w:color="auto" w:val="clear"/>
            <w:tcMar>
              <w:top w:type="dxa" w:w="80"/>
              <w:left w:type="dxa" w:w="100"/>
              <w:bottom w:type="dxa" w:w="80"/>
              <w:right w:type="dxa" w:w="100"/>
            </w:tcMar>
          </w:tcPr>
          <w:p>
            <w:pPr>
              <w:jc w:val="left"/>
            </w:pPr>
            <w:r>
              <w:rPr>
                <w:b w:val="false"/>
                <w:bCs w:val="false"/>
                <w:color w:val="111928"/>
                <w:sz w:val="20"/>
                <w:szCs w:val="20"/>
              </w:rPr>
              <w:t xml:space="preserve">Centre de notifications temps réel</w:t>
            </w:r>
          </w:p>
        </w:tc>
        <w:tc>
          <w:tcPr>
            <w:tcW w:type="dxa" w:w="3872"/>
            <w:shd w:fill="F4F7FC" w:color="auto" w:val="clear"/>
            <w:tcMar>
              <w:top w:type="dxa" w:w="80"/>
              <w:left w:type="dxa" w:w="100"/>
              <w:bottom w:type="dxa" w:w="80"/>
              <w:right w:type="dxa" w:w="100"/>
            </w:tcMar>
          </w:tcPr>
          <w:p>
            <w:pPr>
              <w:jc w:val="left"/>
            </w:pPr>
            <w:r>
              <w:rPr>
                <w:b w:val="false"/>
                <w:bCs w:val="false"/>
                <w:color w:val="111928"/>
                <w:sz w:val="20"/>
                <w:szCs w:val="20"/>
              </w:rPr>
              <w:t xml:space="preserve">notifications, onRead</w:t>
            </w:r>
          </w:p>
        </w:tc>
      </w:tr>
    </w:tbl>
    <w:p>
      <w:pPr>
        <w:pStyle w:val="Heading2"/>
        <w:spacing w:after="150" w:before="300"/>
      </w:pPr>
      <w:r>
        <w:t xml:space="preserve">11.3 Layout global</w:t>
      </w:r>
    </w:p>
    <w:p>
      <w:pPr>
        <w:pStyle w:val="ListParagraph"/>
        <w:numPr>
          <w:ilvl w:val="0"/>
          <w:numId w:val="2"/>
        </w:numPr>
        <w:spacing w:after="80"/>
      </w:pPr>
      <w:r>
        <w:rPr>
          <w:color w:val="111928"/>
          <w:sz w:val="22"/>
          <w:szCs w:val="22"/>
        </w:rPr>
        <w:t xml:space="preserve">Sidebar gauche fixe (#0F4C81) : logo + navigation principale + user menu</w:t>
      </w:r>
    </w:p>
    <w:p>
      <w:pPr>
        <w:pStyle w:val="ListParagraph"/>
        <w:numPr>
          <w:ilvl w:val="0"/>
          <w:numId w:val="2"/>
        </w:numPr>
        <w:spacing w:after="80"/>
      </w:pPr>
      <w:r>
        <w:rPr>
          <w:color w:val="111928"/>
          <w:sz w:val="22"/>
          <w:szCs w:val="22"/>
        </w:rPr>
        <w:t xml:space="preserve">Header : fil d'Ariane + sélecteur de copropriété + notifications + profil</w:t>
      </w:r>
    </w:p>
    <w:p>
      <w:pPr>
        <w:pStyle w:val="ListParagraph"/>
        <w:numPr>
          <w:ilvl w:val="0"/>
          <w:numId w:val="2"/>
        </w:numPr>
        <w:spacing w:after="80"/>
      </w:pPr>
      <w:r>
        <w:rPr>
          <w:color w:val="111928"/>
          <w:sz w:val="22"/>
          <w:szCs w:val="22"/>
        </w:rPr>
        <w:t xml:space="preserve">Zone de contenu : fond #F4F7FC, padding 24px, max-width 1400px</w:t>
      </w:r>
    </w:p>
    <w:p>
      <w:pPr>
        <w:pStyle w:val="ListParagraph"/>
        <w:numPr>
          <w:ilvl w:val="0"/>
          <w:numId w:val="2"/>
        </w:numPr>
        <w:spacing w:after="80"/>
      </w:pPr>
      <w:r>
        <w:rPr>
          <w:color w:val="111928"/>
          <w:sz w:val="22"/>
          <w:szCs w:val="22"/>
        </w:rPr>
        <w:t xml:space="preserve">Mobile : bottom navigation bar avec 5 icônes principales</w:t>
      </w:r>
    </w:p>
    <w:p>
      <w:r>
        <w:br w:type="page"/>
      </w:r>
    </w:p>
    <w:p>
      <w:pPr>
        <w:pStyle w:val="Heading1"/>
        <w:spacing w:after="200" w:before="440"/>
      </w:pPr>
      <w:r>
        <w:t xml:space="preserve">12. Modèle économique &amp; plans tarifaires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300"/>
        <w:gridCol w:w="1200"/>
        <w:gridCol w:w="2500"/>
        <w:gridCol w:w="1072"/>
      </w:tblGrid>
      <w:tr>
        <w:trPr>
          <w:tblHeader/>
        </w:trPr>
        <w:tc>
          <w:tcPr>
            <w:tcW w:type="dxa" w:w="1200"/>
            <w:shd w:fill="0F4C81" w:color="auto" w:val="clear"/>
            <w:tcMar>
              <w:top w:type="dxa" w:w="80"/>
              <w:left w:type="dxa" w:w="100"/>
              <w:bottom w:type="dxa" w:w="80"/>
              <w:right w:type="dxa" w:w="100"/>
            </w:tcMar>
          </w:tcPr>
          <w:p>
            <w:pPr>
              <w:jc w:val="left"/>
            </w:pPr>
            <w:r>
              <w:rPr>
                <w:b/>
                <w:bCs/>
                <w:color w:val="FFFFFF"/>
                <w:sz w:val="20"/>
                <w:szCs w:val="20"/>
              </w:rPr>
              <w:t xml:space="preserve">Plan</w:t>
            </w:r>
          </w:p>
        </w:tc>
        <w:tc>
          <w:tcPr>
            <w:tcW w:type="dxa" w:w="1800"/>
            <w:shd w:fill="0F4C81" w:color="auto" w:val="clear"/>
            <w:tcMar>
              <w:top w:type="dxa" w:w="80"/>
              <w:left w:type="dxa" w:w="100"/>
              <w:bottom w:type="dxa" w:w="80"/>
              <w:right w:type="dxa" w:w="100"/>
            </w:tcMar>
          </w:tcPr>
          <w:p>
            <w:pPr>
              <w:jc w:val="left"/>
            </w:pPr>
            <w:r>
              <w:rPr>
                <w:b/>
                <w:bCs/>
                <w:color w:val="FFFFFF"/>
                <w:sz w:val="20"/>
                <w:szCs w:val="20"/>
              </w:rPr>
              <w:t xml:space="preserve">Cible</w:t>
            </w:r>
          </w:p>
        </w:tc>
        <w:tc>
          <w:tcPr>
            <w:tcW w:type="dxa" w:w="1300"/>
            <w:shd w:fill="0F4C81" w:color="auto" w:val="clear"/>
            <w:tcMar>
              <w:top w:type="dxa" w:w="80"/>
              <w:left w:type="dxa" w:w="100"/>
              <w:bottom w:type="dxa" w:w="80"/>
              <w:right w:type="dxa" w:w="100"/>
            </w:tcMar>
          </w:tcPr>
          <w:p>
            <w:pPr>
              <w:jc w:val="left"/>
            </w:pPr>
            <w:r>
              <w:rPr>
                <w:b/>
                <w:bCs/>
                <w:color w:val="FFFFFF"/>
                <w:sz w:val="20"/>
                <w:szCs w:val="20"/>
              </w:rPr>
              <w:t xml:space="preserve">Copropriétés</w:t>
            </w:r>
          </w:p>
        </w:tc>
        <w:tc>
          <w:tcPr>
            <w:tcW w:type="dxa" w:w="1200"/>
            <w:shd w:fill="0F4C81" w:color="auto" w:val="clear"/>
            <w:tcMar>
              <w:top w:type="dxa" w:w="80"/>
              <w:left w:type="dxa" w:w="100"/>
              <w:bottom w:type="dxa" w:w="80"/>
              <w:right w:type="dxa" w:w="100"/>
            </w:tcMar>
          </w:tcPr>
          <w:p>
            <w:pPr>
              <w:jc w:val="left"/>
            </w:pPr>
            <w:r>
              <w:rPr>
                <w:b/>
                <w:bCs/>
                <w:color w:val="FFFFFF"/>
                <w:sz w:val="20"/>
                <w:szCs w:val="20"/>
              </w:rPr>
              <w:t xml:space="preserve">Lots max</w:t>
            </w:r>
          </w:p>
        </w:tc>
        <w:tc>
          <w:tcPr>
            <w:tcW w:type="dxa" w:w="2500"/>
            <w:shd w:fill="0F4C81" w:color="auto" w:val="clear"/>
            <w:tcMar>
              <w:top w:type="dxa" w:w="80"/>
              <w:left w:type="dxa" w:w="100"/>
              <w:bottom w:type="dxa" w:w="80"/>
              <w:right w:type="dxa" w:w="100"/>
            </w:tcMar>
          </w:tcPr>
          <w:p>
            <w:pPr>
              <w:jc w:val="left"/>
            </w:pPr>
            <w:r>
              <w:rPr>
                <w:b/>
                <w:bCs/>
                <w:color w:val="FFFFFF"/>
                <w:sz w:val="20"/>
                <w:szCs w:val="20"/>
              </w:rPr>
              <w:t xml:space="preserve">Fonctionnalités</w:t>
            </w:r>
          </w:p>
        </w:tc>
        <w:tc>
          <w:tcPr>
            <w:tcW w:type="dxa" w:w="1072"/>
            <w:shd w:fill="0F4C81" w:color="auto" w:val="clear"/>
            <w:tcMar>
              <w:top w:type="dxa" w:w="80"/>
              <w:left w:type="dxa" w:w="100"/>
              <w:bottom w:type="dxa" w:w="80"/>
              <w:right w:type="dxa" w:w="100"/>
            </w:tcMar>
          </w:tcPr>
          <w:p>
            <w:pPr>
              <w:jc w:val="left"/>
            </w:pPr>
            <w:r>
              <w:rPr>
                <w:b/>
                <w:bCs/>
                <w:color w:val="FFFFFF"/>
                <w:sz w:val="20"/>
                <w:szCs w:val="20"/>
              </w:rPr>
              <w:t xml:space="preserve">Prix (MAD/mois)</w:t>
            </w:r>
          </w:p>
        </w:tc>
      </w:tr>
      <w:tr>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Bénévole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Syndic bénévole</w:t>
            </w:r>
          </w:p>
        </w:tc>
        <w:tc>
          <w:tcPr>
            <w:tcW w:type="dxa" w:w="1300"/>
            <w:shd w:fill="FFFFFF" w:color="auto" w:val="clear"/>
            <w:tcMar>
              <w:top w:type="dxa" w:w="80"/>
              <w:left w:type="dxa" w:w="100"/>
              <w:bottom w:type="dxa" w:w="80"/>
              <w:right w:type="dxa" w:w="100"/>
            </w:tcMar>
          </w:tcPr>
          <w:p>
            <w:pPr>
              <w:jc w:val="left"/>
            </w:pPr>
            <w:r>
              <w:rPr>
                <w:b w:val="false"/>
                <w:bCs w:val="false"/>
                <w:color w:val="111928"/>
                <w:sz w:val="20"/>
                <w:szCs w:val="20"/>
              </w:rPr>
              <w:t xml:space="preserve">1</w:t>
            </w:r>
          </w:p>
        </w:tc>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50</w:t>
            </w:r>
          </w:p>
        </w:tc>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Essentielles, mode guidé, IA basique</w:t>
            </w:r>
          </w:p>
        </w:tc>
        <w:tc>
          <w:tcPr>
            <w:tcW w:type="dxa" w:w="1072"/>
            <w:shd w:fill="FFFFFF" w:color="auto" w:val="clear"/>
            <w:tcMar>
              <w:top w:type="dxa" w:w="80"/>
              <w:left w:type="dxa" w:w="100"/>
              <w:bottom w:type="dxa" w:w="80"/>
              <w:right w:type="dxa" w:w="100"/>
            </w:tcMar>
          </w:tcPr>
          <w:p>
            <w:pPr>
              <w:jc w:val="left"/>
            </w:pPr>
            <w:r>
              <w:rPr>
                <w:b w:val="false"/>
                <w:bCs w:val="false"/>
                <w:color w:val="111928"/>
                <w:sz w:val="20"/>
                <w:szCs w:val="20"/>
              </w:rPr>
              <w:t xml:space="preserve">Gratuit</w:t>
            </w:r>
          </w:p>
        </w:tc>
      </w:tr>
      <w:tr>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Starter</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Petit cabinet</w:t>
            </w:r>
          </w:p>
        </w:tc>
        <w:tc>
          <w:tcPr>
            <w:tcW w:type="dxa" w:w="1300"/>
            <w:shd w:fill="F4F7FC" w:color="auto" w:val="clear"/>
            <w:tcMar>
              <w:top w:type="dxa" w:w="80"/>
              <w:left w:type="dxa" w:w="100"/>
              <w:bottom w:type="dxa" w:w="80"/>
              <w:right w:type="dxa" w:w="100"/>
            </w:tcMar>
          </w:tcPr>
          <w:p>
            <w:pPr>
              <w:jc w:val="left"/>
            </w:pPr>
            <w:r>
              <w:rPr>
                <w:b w:val="false"/>
                <w:bCs w:val="false"/>
                <w:color w:val="111928"/>
                <w:sz w:val="20"/>
                <w:szCs w:val="20"/>
              </w:rPr>
              <w:t xml:space="preserve">5</w:t>
            </w:r>
          </w:p>
        </w:tc>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500</w:t>
            </w:r>
          </w:p>
        </w:tc>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Toutes fonctions, 20 Go GED, support email</w:t>
            </w:r>
          </w:p>
        </w:tc>
        <w:tc>
          <w:tcPr>
            <w:tcW w:type="dxa" w:w="1072"/>
            <w:shd w:fill="F4F7FC" w:color="auto" w:val="clear"/>
            <w:tcMar>
              <w:top w:type="dxa" w:w="80"/>
              <w:left w:type="dxa" w:w="100"/>
              <w:bottom w:type="dxa" w:w="80"/>
              <w:right w:type="dxa" w:w="100"/>
            </w:tcMar>
          </w:tcPr>
          <w:p>
            <w:pPr>
              <w:jc w:val="left"/>
            </w:pPr>
            <w:r>
              <w:rPr>
                <w:b w:val="false"/>
                <w:bCs w:val="false"/>
                <w:color w:val="111928"/>
                <w:sz w:val="20"/>
                <w:szCs w:val="20"/>
              </w:rPr>
              <w:t xml:space="preserve">490 MAD</w:t>
            </w:r>
          </w:p>
        </w:tc>
      </w:tr>
      <w:tr>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Pro</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Cabinet moyen</w:t>
            </w:r>
          </w:p>
        </w:tc>
        <w:tc>
          <w:tcPr>
            <w:tcW w:type="dxa" w:w="1300"/>
            <w:shd w:fill="FFFFFF" w:color="auto" w:val="clear"/>
            <w:tcMar>
              <w:top w:type="dxa" w:w="80"/>
              <w:left w:type="dxa" w:w="100"/>
              <w:bottom w:type="dxa" w:w="80"/>
              <w:right w:type="dxa" w:w="100"/>
            </w:tcMar>
          </w:tcPr>
          <w:p>
            <w:pPr>
              <w:jc w:val="left"/>
            </w:pPr>
            <w:r>
              <w:rPr>
                <w:b w:val="false"/>
                <w:bCs w:val="false"/>
                <w:color w:val="111928"/>
                <w:sz w:val="20"/>
                <w:szCs w:val="20"/>
              </w:rPr>
              <w:t xml:space="preserve">30</w:t>
            </w:r>
          </w:p>
        </w:tc>
        <w:tc>
          <w:tcPr>
            <w:tcW w:type="dxa" w:w="1200"/>
            <w:shd w:fill="FFFFFF" w:color="auto" w:val="clear"/>
            <w:tcMar>
              <w:top w:type="dxa" w:w="80"/>
              <w:left w:type="dxa" w:w="100"/>
              <w:bottom w:type="dxa" w:w="80"/>
              <w:right w:type="dxa" w:w="100"/>
            </w:tcMar>
          </w:tcPr>
          <w:p>
            <w:pPr>
              <w:jc w:val="left"/>
            </w:pPr>
            <w:r>
              <w:rPr>
                <w:b w:val="false"/>
                <w:bCs w:val="false"/>
                <w:color w:val="111928"/>
                <w:sz w:val="20"/>
                <w:szCs w:val="20"/>
              </w:rPr>
              <w:t xml:space="preserve">Illimités</w:t>
            </w:r>
          </w:p>
        </w:tc>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Toutes fonctions + IA avancée, 100 Go, support téléphone</w:t>
            </w:r>
          </w:p>
        </w:tc>
        <w:tc>
          <w:tcPr>
            <w:tcW w:type="dxa" w:w="1072"/>
            <w:shd w:fill="FFFFFF" w:color="auto" w:val="clear"/>
            <w:tcMar>
              <w:top w:type="dxa" w:w="80"/>
              <w:left w:type="dxa" w:w="100"/>
              <w:bottom w:type="dxa" w:w="80"/>
              <w:right w:type="dxa" w:w="100"/>
            </w:tcMar>
          </w:tcPr>
          <w:p>
            <w:pPr>
              <w:jc w:val="left"/>
            </w:pPr>
            <w:r>
              <w:rPr>
                <w:b w:val="false"/>
                <w:bCs w:val="false"/>
                <w:color w:val="111928"/>
                <w:sz w:val="20"/>
                <w:szCs w:val="20"/>
              </w:rPr>
              <w:t xml:space="preserve">1 490 MAD</w:t>
            </w:r>
          </w:p>
        </w:tc>
      </w:tr>
      <w:tr>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Enterprise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Grand cabinet</w:t>
            </w:r>
          </w:p>
        </w:tc>
        <w:tc>
          <w:tcPr>
            <w:tcW w:type="dxa" w:w="1300"/>
            <w:shd w:fill="F4F7FC" w:color="auto" w:val="clear"/>
            <w:tcMar>
              <w:top w:type="dxa" w:w="80"/>
              <w:left w:type="dxa" w:w="100"/>
              <w:bottom w:type="dxa" w:w="80"/>
              <w:right w:type="dxa" w:w="100"/>
            </w:tcMar>
          </w:tcPr>
          <w:p>
            <w:pPr>
              <w:jc w:val="left"/>
            </w:pPr>
            <w:r>
              <w:rPr>
                <w:b w:val="false"/>
                <w:bCs w:val="false"/>
                <w:color w:val="111928"/>
                <w:sz w:val="20"/>
                <w:szCs w:val="20"/>
              </w:rPr>
              <w:t xml:space="preserve">Illimité</w:t>
            </w:r>
          </w:p>
        </w:tc>
        <w:tc>
          <w:tcPr>
            <w:tcW w:type="dxa" w:w="1200"/>
            <w:shd w:fill="F4F7FC" w:color="auto" w:val="clear"/>
            <w:tcMar>
              <w:top w:type="dxa" w:w="80"/>
              <w:left w:type="dxa" w:w="100"/>
              <w:bottom w:type="dxa" w:w="80"/>
              <w:right w:type="dxa" w:w="100"/>
            </w:tcMar>
          </w:tcPr>
          <w:p>
            <w:pPr>
              <w:jc w:val="left"/>
            </w:pPr>
            <w:r>
              <w:rPr>
                <w:b w:val="false"/>
                <w:bCs w:val="false"/>
                <w:color w:val="111928"/>
                <w:sz w:val="20"/>
                <w:szCs w:val="20"/>
              </w:rPr>
              <w:t xml:space="preserve">Illimités</w:t>
            </w:r>
          </w:p>
        </w:tc>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White-label, API, SLA 99,9%, déploiement dédié</w:t>
            </w:r>
          </w:p>
        </w:tc>
        <w:tc>
          <w:tcPr>
            <w:tcW w:type="dxa" w:w="1072"/>
            <w:shd w:fill="F4F7FC" w:color="auto" w:val="clear"/>
            <w:tcMar>
              <w:top w:type="dxa" w:w="80"/>
              <w:left w:type="dxa" w:w="100"/>
              <w:bottom w:type="dxa" w:w="80"/>
              <w:right w:type="dxa" w:w="100"/>
            </w:tcMar>
          </w:tcPr>
          <w:p>
            <w:pPr>
              <w:jc w:val="left"/>
            </w:pPr>
            <w:r>
              <w:rPr>
                <w:b w:val="false"/>
                <w:bCs w:val="false"/>
                <w:color w:val="111928"/>
                <w:sz w:val="20"/>
                <w:szCs w:val="20"/>
              </w:rPr>
              <w:t xml:space="preserve">Sur devis</w:t>
            </w:r>
          </w:p>
        </w:tc>
      </w:tr>
    </w:tbl>
    <w:p>
      <w:pPr>
        <w:spacing w:after="80"/>
      </w:pPr>
      <w:r>
        <w:t xml:space="preserve"/>
      </w:r>
    </w:p>
    <w:p>
      <w:pPr>
        <w:spacing w:after="120"/>
      </w:pPr>
      <w:r>
        <w:rPr>
          <w:color w:val="111928"/>
          <w:sz w:val="22"/>
          <w:szCs w:val="22"/>
        </w:rPr>
        <w:t xml:space="preserve">Options additionnelles : SMS (0,50 MAD/SMS), stockage GED supplémentaire (50 MAD/10 Go/mois), module signature électronique avancée (+200 MAD/mois), onboarding accompagné (sur devis).</w:t>
      </w:r>
    </w:p>
    <w:p>
      <w:pPr>
        <w:spacing w:after="120"/>
      </w:pPr>
      <w:r>
        <w:rPr>
          <w:color w:val="111928"/>
          <w:sz w:val="22"/>
          <w:szCs w:val="22"/>
        </w:rPr>
        <w:t xml:space="preserve">Commission sur paiements en ligne : 1% des charges encaissées via Syndic360 (en plus des frais Stripe/CMI).</w:t>
      </w:r>
    </w:p>
    <w:p>
      <w:r>
        <w:br w:type="page"/>
      </w:r>
    </w:p>
    <w:p>
      <w:pPr>
        <w:pStyle w:val="Heading1"/>
        <w:spacing w:after="200" w:before="440"/>
      </w:pPr>
      <w:r>
        <w:t xml:space="preserve">13. Roadmap &amp; phasage (18 mois)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072"/>
      </w:tblGrid>
      <w:tr>
        <w:trPr>
          <w:tblHeader/>
        </w:trPr>
        <w:tc>
          <w:tcPr>
            <w:tcW w:type="dxa" w:w="1800"/>
            <w:shd w:fill="0F4C81" w:color="auto" w:val="clear"/>
            <w:tcMar>
              <w:top w:type="dxa" w:w="80"/>
              <w:left w:type="dxa" w:w="100"/>
              <w:bottom w:type="dxa" w:w="80"/>
              <w:right w:type="dxa" w:w="100"/>
            </w:tcMar>
          </w:tcPr>
          <w:p>
            <w:pPr>
              <w:jc w:val="left"/>
            </w:pPr>
            <w:r>
              <w:rPr>
                <w:b/>
                <w:bCs/>
                <w:color w:val="FFFFFF"/>
                <w:sz w:val="20"/>
                <w:szCs w:val="20"/>
              </w:rPr>
              <w:t xml:space="preserve">Phase</w:t>
            </w:r>
          </w:p>
        </w:tc>
        <w:tc>
          <w:tcPr>
            <w:tcW w:type="dxa" w:w="1400"/>
            <w:shd w:fill="0F4C81" w:color="auto" w:val="clear"/>
            <w:tcMar>
              <w:top w:type="dxa" w:w="80"/>
              <w:left w:type="dxa" w:w="100"/>
              <w:bottom w:type="dxa" w:w="80"/>
              <w:right w:type="dxa" w:w="100"/>
            </w:tcMar>
          </w:tcPr>
          <w:p>
            <w:pPr>
              <w:jc w:val="left"/>
            </w:pPr>
            <w:r>
              <w:rPr>
                <w:b/>
                <w:bCs/>
                <w:color w:val="FFFFFF"/>
                <w:sz w:val="20"/>
                <w:szCs w:val="20"/>
              </w:rPr>
              <w:t xml:space="preserve">Durée</w:t>
            </w:r>
          </w:p>
        </w:tc>
        <w:tc>
          <w:tcPr>
            <w:tcW w:type="dxa" w:w="3800"/>
            <w:shd w:fill="0F4C81" w:color="auto" w:val="clear"/>
            <w:tcMar>
              <w:top w:type="dxa" w:w="80"/>
              <w:left w:type="dxa" w:w="100"/>
              <w:bottom w:type="dxa" w:w="80"/>
              <w:right w:type="dxa" w:w="100"/>
            </w:tcMar>
          </w:tcPr>
          <w:p>
            <w:pPr>
              <w:jc w:val="left"/>
            </w:pPr>
            <w:r>
              <w:rPr>
                <w:b/>
                <w:bCs/>
                <w:color w:val="FFFFFF"/>
                <w:sz w:val="20"/>
                <w:szCs w:val="20"/>
              </w:rPr>
              <w:t xml:space="preserve">Livrables</w:t>
            </w:r>
          </w:p>
        </w:tc>
        <w:tc>
          <w:tcPr>
            <w:tcW w:type="dxa" w:w="2072"/>
            <w:shd w:fill="0F4C81" w:color="auto" w:val="clear"/>
            <w:tcMar>
              <w:top w:type="dxa" w:w="80"/>
              <w:left w:type="dxa" w:w="100"/>
              <w:bottom w:type="dxa" w:w="80"/>
              <w:right w:type="dxa" w:w="100"/>
            </w:tcMar>
          </w:tcPr>
          <w:p>
            <w:pPr>
              <w:jc w:val="left"/>
            </w:pPr>
            <w:r>
              <w:rPr>
                <w:b/>
                <w:bCs/>
                <w:color w:val="FFFFFF"/>
                <w:sz w:val="20"/>
                <w:szCs w:val="20"/>
              </w:rPr>
              <w:t xml:space="preserve">Objectif</w:t>
            </w:r>
          </w:p>
        </w:tc>
      </w:tr>
      <w:tr>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Phase 1 — MVP Core</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Mois 1–3</w:t>
            </w:r>
          </w:p>
        </w:tc>
        <w:tc>
          <w:tcPr>
            <w:tcW w:type="dxa" w:w="3800"/>
            <w:shd w:fill="FFFFFF" w:color="auto" w:val="clear"/>
            <w:tcMar>
              <w:top w:type="dxa" w:w="80"/>
              <w:left w:type="dxa" w:w="100"/>
              <w:bottom w:type="dxa" w:w="80"/>
              <w:right w:type="dxa" w:w="100"/>
            </w:tcMar>
          </w:tcPr>
          <w:p>
            <w:pPr>
              <w:jc w:val="left"/>
            </w:pPr>
            <w:r>
              <w:rPr>
                <w:b w:val="false"/>
                <w:bCs w:val="false"/>
                <w:color w:val="111928"/>
                <w:sz w:val="20"/>
                <w:szCs w:val="20"/>
              </w:rPr>
              <w:t xml:space="preserve">Auth + RBAC, multi-résidences, lots/copropriétaires, GED basique, tableau de bord consolidé, appels de charges simples</w:t>
            </w:r>
          </w:p>
        </w:tc>
        <w:tc>
          <w:tcPr>
            <w:tcW w:type="dxa" w:w="2072"/>
            <w:shd w:fill="FFFFFF" w:color="auto" w:val="clear"/>
            <w:tcMar>
              <w:top w:type="dxa" w:w="80"/>
              <w:left w:type="dxa" w:w="100"/>
              <w:bottom w:type="dxa" w:w="80"/>
              <w:right w:type="dxa" w:w="100"/>
            </w:tcMar>
          </w:tcPr>
          <w:p>
            <w:pPr>
              <w:jc w:val="left"/>
            </w:pPr>
            <w:r>
              <w:rPr>
                <w:b w:val="false"/>
                <w:bCs w:val="false"/>
                <w:color w:val="111928"/>
                <w:sz w:val="20"/>
                <w:szCs w:val="20"/>
              </w:rPr>
              <w:t xml:space="preserve">5 clients pilotes</w:t>
            </w:r>
          </w:p>
        </w:tc>
      </w:tr>
      <w:tr>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Phase 2 — Finance &amp; AG</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Mois 3–6</w:t>
            </w:r>
          </w:p>
        </w:tc>
        <w:tc>
          <w:tcPr>
            <w:tcW w:type="dxa" w:w="3800"/>
            <w:shd w:fill="F4F7FC" w:color="auto" w:val="clear"/>
            <w:tcMar>
              <w:top w:type="dxa" w:w="80"/>
              <w:left w:type="dxa" w:w="100"/>
              <w:bottom w:type="dxa" w:w="80"/>
              <w:right w:type="dxa" w:w="100"/>
            </w:tcMar>
          </w:tcPr>
          <w:p>
            <w:pPr>
              <w:jc w:val="left"/>
            </w:pPr>
            <w:r>
              <w:rPr>
                <w:b w:val="false"/>
                <w:bCs w:val="false"/>
                <w:color w:val="111928"/>
                <w:sz w:val="20"/>
                <w:szCs w:val="20"/>
              </w:rPr>
              <w:t xml:space="preserve">Comptabilité complète, paiement CMI/Stripe, vote en ligne, PV automatique, relances automatiques</w:t>
            </w:r>
          </w:p>
        </w:tc>
        <w:tc>
          <w:tcPr>
            <w:tcW w:type="dxa" w:w="2072"/>
            <w:shd w:fill="F4F7FC" w:color="auto" w:val="clear"/>
            <w:tcMar>
              <w:top w:type="dxa" w:w="80"/>
              <w:left w:type="dxa" w:w="100"/>
              <w:bottom w:type="dxa" w:w="80"/>
              <w:right w:type="dxa" w:w="100"/>
            </w:tcMar>
          </w:tcPr>
          <w:p>
            <w:pPr>
              <w:jc w:val="left"/>
            </w:pPr>
            <w:r>
              <w:rPr>
                <w:b w:val="false"/>
                <w:bCs w:val="false"/>
                <w:color w:val="111928"/>
                <w:sz w:val="20"/>
                <w:szCs w:val="20"/>
              </w:rPr>
              <w:t xml:space="preserve">Mise sur le marché public</w:t>
            </w:r>
          </w:p>
        </w:tc>
      </w:tr>
      <w:tr>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Phase 3 — Mobile &amp; Travaux</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Mois 6–9</w:t>
            </w:r>
          </w:p>
        </w:tc>
        <w:tc>
          <w:tcPr>
            <w:tcW w:type="dxa" w:w="3800"/>
            <w:shd w:fill="FFFFFF" w:color="auto" w:val="clear"/>
            <w:tcMar>
              <w:top w:type="dxa" w:w="80"/>
              <w:left w:type="dxa" w:w="100"/>
              <w:bottom w:type="dxa" w:w="80"/>
              <w:right w:type="dxa" w:w="100"/>
            </w:tcMar>
          </w:tcPr>
          <w:p>
            <w:pPr>
              <w:jc w:val="left"/>
            </w:pPr>
            <w:r>
              <w:rPr>
                <w:b w:val="false"/>
                <w:bCs w:val="false"/>
                <w:color w:val="111928"/>
                <w:sz w:val="20"/>
                <w:szCs w:val="20"/>
              </w:rPr>
              <w:t xml:space="preserve">App React Native iOS/Android (Expo), tickets incidents avec photos, gestion prestataires, notifications push</w:t>
            </w:r>
          </w:p>
        </w:tc>
        <w:tc>
          <w:tcPr>
            <w:tcW w:type="dxa" w:w="2072"/>
            <w:shd w:fill="FFFFFF" w:color="auto" w:val="clear"/>
            <w:tcMar>
              <w:top w:type="dxa" w:w="80"/>
              <w:left w:type="dxa" w:w="100"/>
              <w:bottom w:type="dxa" w:w="80"/>
              <w:right w:type="dxa" w:w="100"/>
            </w:tcMar>
          </w:tcPr>
          <w:p>
            <w:pPr>
              <w:jc w:val="left"/>
            </w:pPr>
            <w:r>
              <w:rPr>
                <w:b w:val="false"/>
                <w:bCs w:val="false"/>
                <w:color w:val="111928"/>
                <w:sz w:val="20"/>
                <w:szCs w:val="20"/>
              </w:rPr>
              <w:t xml:space="preserve">Croissance &amp; rétention</w:t>
            </w:r>
          </w:p>
        </w:tc>
      </w:tr>
      <w:tr>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Phase 4 — IA &amp; Intégrations</w:t>
            </w:r>
          </w:p>
        </w:tc>
        <w:tc>
          <w:tcPr>
            <w:tcW w:type="dxa" w:w="1400"/>
            <w:shd w:fill="F4F7FC" w:color="auto" w:val="clear"/>
            <w:tcMar>
              <w:top w:type="dxa" w:w="80"/>
              <w:left w:type="dxa" w:w="100"/>
              <w:bottom w:type="dxa" w:w="80"/>
              <w:right w:type="dxa" w:w="100"/>
            </w:tcMar>
          </w:tcPr>
          <w:p>
            <w:pPr>
              <w:jc w:val="left"/>
            </w:pPr>
            <w:r>
              <w:rPr>
                <w:b w:val="false"/>
                <w:bCs w:val="false"/>
                <w:color w:val="111928"/>
                <w:sz w:val="20"/>
                <w:szCs w:val="20"/>
              </w:rPr>
              <w:t xml:space="preserve">Mois 9–12</w:t>
            </w:r>
          </w:p>
        </w:tc>
        <w:tc>
          <w:tcPr>
            <w:tcW w:type="dxa" w:w="3800"/>
            <w:shd w:fill="F4F7FC" w:color="auto" w:val="clear"/>
            <w:tcMar>
              <w:top w:type="dxa" w:w="80"/>
              <w:left w:type="dxa" w:w="100"/>
              <w:bottom w:type="dxa" w:w="80"/>
              <w:right w:type="dxa" w:w="100"/>
            </w:tcMar>
          </w:tcPr>
          <w:p>
            <w:pPr>
              <w:jc w:val="left"/>
            </w:pPr>
            <w:r>
              <w:rPr>
                <w:b w:val="false"/>
                <w:bCs w:val="false"/>
                <w:color w:val="111928"/>
                <w:sz w:val="20"/>
                <w:szCs w:val="20"/>
              </w:rPr>
              <w:t xml:space="preserve">Assistant IA (Claude API) : génération PV/convocations/courriers, open banking, LRE, API publique</w:t>
            </w:r>
          </w:p>
        </w:tc>
        <w:tc>
          <w:tcPr>
            <w:tcW w:type="dxa" w:w="2072"/>
            <w:shd w:fill="F4F7FC" w:color="auto" w:val="clear"/>
            <w:tcMar>
              <w:top w:type="dxa" w:w="80"/>
              <w:left w:type="dxa" w:w="100"/>
              <w:bottom w:type="dxa" w:w="80"/>
              <w:right w:type="dxa" w:w="100"/>
            </w:tcMar>
          </w:tcPr>
          <w:p>
            <w:pPr>
              <w:jc w:val="left"/>
            </w:pPr>
            <w:r>
              <w:rPr>
                <w:b w:val="false"/>
                <w:bCs w:val="false"/>
                <w:color w:val="111928"/>
                <w:sz w:val="20"/>
                <w:szCs w:val="20"/>
              </w:rPr>
              <w:t xml:space="preserve">Montée en gamme</w:t>
            </w:r>
          </w:p>
        </w:tc>
      </w:tr>
      <w:tr>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Phase 5 — Scale MENA</w:t>
            </w:r>
          </w:p>
        </w:tc>
        <w:tc>
          <w:tcPr>
            <w:tcW w:type="dxa" w:w="1400"/>
            <w:shd w:fill="FFFFFF" w:color="auto" w:val="clear"/>
            <w:tcMar>
              <w:top w:type="dxa" w:w="80"/>
              <w:left w:type="dxa" w:w="100"/>
              <w:bottom w:type="dxa" w:w="80"/>
              <w:right w:type="dxa" w:w="100"/>
            </w:tcMar>
          </w:tcPr>
          <w:p>
            <w:pPr>
              <w:jc w:val="left"/>
            </w:pPr>
            <w:r>
              <w:rPr>
                <w:b w:val="false"/>
                <w:bCs w:val="false"/>
                <w:color w:val="111928"/>
                <w:sz w:val="20"/>
                <w:szCs w:val="20"/>
              </w:rPr>
              <w:t xml:space="preserve">Mois 12–18</w:t>
            </w:r>
          </w:p>
        </w:tc>
        <w:tc>
          <w:tcPr>
            <w:tcW w:type="dxa" w:w="3800"/>
            <w:shd w:fill="FFFFFF" w:color="auto" w:val="clear"/>
            <w:tcMar>
              <w:top w:type="dxa" w:w="80"/>
              <w:left w:type="dxa" w:w="100"/>
              <w:bottom w:type="dxa" w:w="80"/>
              <w:right w:type="dxa" w:w="100"/>
            </w:tcMar>
          </w:tcPr>
          <w:p>
            <w:pPr>
              <w:jc w:val="left"/>
            </w:pPr>
            <w:r>
              <w:rPr>
                <w:b w:val="false"/>
                <w:bCs w:val="false"/>
                <w:color w:val="111928"/>
                <w:sz w:val="20"/>
                <w:szCs w:val="20"/>
              </w:rPr>
              <w:t xml:space="preserve">White-label, marketplace prestataires, Tunisie/Algérie, analytics avancés, mode enterprise</w:t>
            </w:r>
          </w:p>
        </w:tc>
        <w:tc>
          <w:tcPr>
            <w:tcW w:type="dxa" w:w="2072"/>
            <w:shd w:fill="FFFFFF" w:color="auto" w:val="clear"/>
            <w:tcMar>
              <w:top w:type="dxa" w:w="80"/>
              <w:left w:type="dxa" w:w="100"/>
              <w:bottom w:type="dxa" w:w="80"/>
              <w:right w:type="dxa" w:w="100"/>
            </w:tcMar>
          </w:tcPr>
          <w:p>
            <w:pPr>
              <w:jc w:val="left"/>
            </w:pPr>
            <w:r>
              <w:rPr>
                <w:b w:val="false"/>
                <w:bCs w:val="false"/>
                <w:color w:val="111928"/>
                <w:sz w:val="20"/>
                <w:szCs w:val="20"/>
              </w:rPr>
              <w:t xml:space="preserve">Expansion régionale</w:t>
            </w:r>
          </w:p>
        </w:tc>
      </w:tr>
    </w:tbl>
    <w:p>
      <w:r>
        <w:br w:type="page"/>
      </w:r>
    </w:p>
    <w:p>
      <w:pPr>
        <w:pStyle w:val="Heading1"/>
        <w:spacing w:after="200" w:before="440"/>
      </w:pPr>
      <w:r>
        <w:t xml:space="preserve">14. Instructions spécifiques pour Claude Code</w:t>
      </w:r>
    </w:p>
    <w:p>
      <w:pPr>
        <w:pStyle w:val="Heading2"/>
        <w:spacing w:after="150" w:before="300"/>
      </w:pPr>
      <w:r>
        <w:t xml:space="preserve">14.1 Par où commencer — ordre de développement recommandé</w:t>
      </w:r>
    </w:p>
    <w:p>
      <w:pPr>
        <w:pStyle w:val="ListParagraph"/>
        <w:numPr>
          <w:ilvl w:val="0"/>
          <w:numId w:val="2"/>
        </w:numPr>
        <w:spacing w:after="80"/>
      </w:pPr>
      <w:r>
        <w:rPr>
          <w:color w:val="111928"/>
          <w:sz w:val="22"/>
          <w:szCs w:val="22"/>
        </w:rPr>
        <w:t xml:space="preserve">Étape 1 : Initialiser le monorepo (Turborepo ou Nx) avec les packages listés en section 4.3</w:t>
      </w:r>
    </w:p>
    <w:p>
      <w:pPr>
        <w:pStyle w:val="ListParagraph"/>
        <w:numPr>
          <w:ilvl w:val="0"/>
          <w:numId w:val="2"/>
        </w:numPr>
        <w:spacing w:after="80"/>
      </w:pPr>
      <w:r>
        <w:rPr>
          <w:color w:val="111928"/>
          <w:sz w:val="22"/>
          <w:szCs w:val="22"/>
        </w:rPr>
        <w:t xml:space="preserve">Étape 2 : Configurer la base de données PostgreSQL + Prisma schema (section 5)</w:t>
      </w:r>
    </w:p>
    <w:p>
      <w:pPr>
        <w:pStyle w:val="ListParagraph"/>
        <w:numPr>
          <w:ilvl w:val="0"/>
          <w:numId w:val="2"/>
        </w:numPr>
        <w:spacing w:after="80"/>
      </w:pPr>
      <w:r>
        <w:rPr>
          <w:color w:val="111928"/>
          <w:sz w:val="22"/>
          <w:szCs w:val="22"/>
        </w:rPr>
        <w:t xml:space="preserve">Étape 3 : Implémenter le module Auth NestJS (JWT, 2FA, RBAC, multi-tenant)</w:t>
      </w:r>
    </w:p>
    <w:p>
      <w:pPr>
        <w:pStyle w:val="ListParagraph"/>
        <w:numPr>
          <w:ilvl w:val="0"/>
          <w:numId w:val="2"/>
        </w:numPr>
        <w:spacing w:after="80"/>
      </w:pPr>
      <w:r>
        <w:rPr>
          <w:color w:val="111928"/>
          <w:sz w:val="22"/>
          <w:szCs w:val="22"/>
        </w:rPr>
        <w:t xml:space="preserve">Étape 4 : Créer le frontend Next.js avec la charte graphique Syndic360 (section 11)</w:t>
      </w:r>
    </w:p>
    <w:p>
      <w:pPr>
        <w:pStyle w:val="ListParagraph"/>
        <w:numPr>
          <w:ilvl w:val="0"/>
          <w:numId w:val="2"/>
        </w:numPr>
        <w:spacing w:after="80"/>
      </w:pPr>
      <w:r>
        <w:rPr>
          <w:color w:val="111928"/>
          <w:sz w:val="22"/>
          <w:szCs w:val="22"/>
        </w:rPr>
        <w:t xml:space="preserve">Étape 5 : Implémenter les modules dans l'ordre : Copropriétés → Lots → Finances → AG → Tickets → GED</w:t>
      </w:r>
    </w:p>
    <w:p>
      <w:pPr>
        <w:pStyle w:val="ListParagraph"/>
        <w:numPr>
          <w:ilvl w:val="0"/>
          <w:numId w:val="2"/>
        </w:numPr>
        <w:spacing w:after="80"/>
      </w:pPr>
      <w:r>
        <w:rPr>
          <w:color w:val="111928"/>
          <w:sz w:val="22"/>
          <w:szCs w:val="22"/>
        </w:rPr>
        <w:t xml:space="preserve">Étape 6 : Intégrations : CMI Maroc → Stripe → Resend → YouSign → Claude API</w:t>
      </w:r>
    </w:p>
    <w:p>
      <w:pPr>
        <w:pStyle w:val="ListParagraph"/>
        <w:numPr>
          <w:ilvl w:val="0"/>
          <w:numId w:val="2"/>
        </w:numPr>
        <w:spacing w:after="80"/>
      </w:pPr>
      <w:r>
        <w:rPr>
          <w:color w:val="111928"/>
          <w:sz w:val="22"/>
          <w:szCs w:val="22"/>
        </w:rPr>
        <w:t xml:space="preserve">Étape 7 : Application mobile React Native</w:t>
      </w:r>
    </w:p>
    <w:p>
      <w:pPr>
        <w:pStyle w:val="ListParagraph"/>
        <w:numPr>
          <w:ilvl w:val="0"/>
          <w:numId w:val="2"/>
        </w:numPr>
        <w:spacing w:after="80"/>
      </w:pPr>
      <w:r>
        <w:rPr>
          <w:color w:val="111928"/>
          <w:sz w:val="22"/>
          <w:szCs w:val="22"/>
        </w:rPr>
        <w:t xml:space="preserve">Étape 8 : Tests, optimisation, déploiement</w:t>
      </w:r>
    </w:p>
    <w:p>
      <w:pPr>
        <w:pStyle w:val="Heading2"/>
        <w:spacing w:after="150" w:before="300"/>
      </w:pPr>
      <w:r>
        <w:t xml:space="preserve">14.2 Conventions de code à respecter</w:t>
      </w:r>
    </w:p>
    <w:p>
      <w:pPr>
        <w:pStyle w:val="ListParagraph"/>
        <w:numPr>
          <w:ilvl w:val="0"/>
          <w:numId w:val="2"/>
        </w:numPr>
        <w:spacing w:after="80"/>
      </w:pPr>
      <w:r>
        <w:rPr>
          <w:color w:val="111928"/>
          <w:sz w:val="22"/>
          <w:szCs w:val="22"/>
        </w:rPr>
        <w:t xml:space="preserve">TypeScript strict mode activé partout (strict: true dans tsconfig.json)</w:t>
      </w:r>
    </w:p>
    <w:p>
      <w:pPr>
        <w:pStyle w:val="ListParagraph"/>
        <w:numPr>
          <w:ilvl w:val="0"/>
          <w:numId w:val="2"/>
        </w:numPr>
        <w:spacing w:after="80"/>
      </w:pPr>
      <w:r>
        <w:rPr>
          <w:color w:val="111928"/>
          <w:sz w:val="22"/>
          <w:szCs w:val="22"/>
        </w:rPr>
        <w:t xml:space="preserve">Nommage : camelCase pour variables/fonctions, PascalCase pour composants/classes, UPPER_SNAKE_CASE pour constantes</w:t>
      </w:r>
    </w:p>
    <w:p>
      <w:pPr>
        <w:pStyle w:val="ListParagraph"/>
        <w:numPr>
          <w:ilvl w:val="0"/>
          <w:numId w:val="2"/>
        </w:numPr>
        <w:spacing w:after="80"/>
      </w:pPr>
      <w:r>
        <w:rPr>
          <w:color w:val="111928"/>
          <w:sz w:val="22"/>
          <w:szCs w:val="22"/>
        </w:rPr>
        <w:t xml:space="preserve">Composants React : functional components uniquement, hooks personnalisés préfixés use</w:t>
      </w:r>
    </w:p>
    <w:p>
      <w:pPr>
        <w:pStyle w:val="ListParagraph"/>
        <w:numPr>
          <w:ilvl w:val="0"/>
          <w:numId w:val="2"/>
        </w:numPr>
        <w:spacing w:after="80"/>
      </w:pPr>
      <w:r>
        <w:rPr>
          <w:color w:val="111928"/>
          <w:sz w:val="22"/>
          <w:szCs w:val="22"/>
        </w:rPr>
        <w:t xml:space="preserve">API NestJS : un module par domaine métier, controllers minces, logique dans les services</w:t>
      </w:r>
    </w:p>
    <w:p>
      <w:pPr>
        <w:pStyle w:val="ListParagraph"/>
        <w:numPr>
          <w:ilvl w:val="0"/>
          <w:numId w:val="2"/>
        </w:numPr>
        <w:spacing w:after="80"/>
      </w:pPr>
      <w:r>
        <w:rPr>
          <w:color w:val="111928"/>
          <w:sz w:val="22"/>
          <w:szCs w:val="22"/>
        </w:rPr>
        <w:t xml:space="preserve">Commits : Conventional Commits (feat:, fix:, chore:, docs:, test:)</w:t>
      </w:r>
    </w:p>
    <w:p>
      <w:pPr>
        <w:pStyle w:val="ListParagraph"/>
        <w:numPr>
          <w:ilvl w:val="0"/>
          <w:numId w:val="2"/>
        </w:numPr>
        <w:spacing w:after="80"/>
      </w:pPr>
      <w:r>
        <w:rPr>
          <w:color w:val="111928"/>
          <w:sz w:val="22"/>
          <w:szCs w:val="22"/>
        </w:rPr>
        <w:t xml:space="preserve">Imports absolus via alias @ : @/components, @/lib, @/types, @/hooks</w:t>
      </w:r>
    </w:p>
    <w:p>
      <w:pPr>
        <w:pStyle w:val="ListParagraph"/>
        <w:numPr>
          <w:ilvl w:val="0"/>
          <w:numId w:val="2"/>
        </w:numPr>
        <w:spacing w:after="80"/>
      </w:pPr>
      <w:r>
        <w:rPr>
          <w:color w:val="111928"/>
          <w:sz w:val="22"/>
          <w:szCs w:val="22"/>
        </w:rPr>
        <w:t xml:space="preserve">Pas de any TypeScript sauf cas exceptionnel documenté</w:t>
      </w:r>
    </w:p>
    <w:p>
      <w:pPr>
        <w:pStyle w:val="Heading2"/>
        <w:spacing w:after="150" w:before="300"/>
      </w:pPr>
      <w:r>
        <w:t xml:space="preserve">14.3 Variables d'environnement requises</w:t>
      </w:r>
    </w:p>
    <w:p>
      <w:pPr>
        <w:pStyle w:val="ListParagraph"/>
        <w:numPr>
          <w:ilvl w:val="0"/>
          <w:numId w:val="2"/>
        </w:numPr>
        <w:spacing w:after="80"/>
      </w:pPr>
      <w:r>
        <w:rPr>
          <w:color w:val="111928"/>
          <w:sz w:val="22"/>
          <w:szCs w:val="22"/>
        </w:rPr>
        <w:t xml:space="preserve">DATABASE_URL — URL de connexion PostgreSQL</w:t>
      </w:r>
    </w:p>
    <w:p>
      <w:pPr>
        <w:pStyle w:val="ListParagraph"/>
        <w:numPr>
          <w:ilvl w:val="0"/>
          <w:numId w:val="2"/>
        </w:numPr>
        <w:spacing w:after="80"/>
      </w:pPr>
      <w:r>
        <w:rPr>
          <w:color w:val="111928"/>
          <w:sz w:val="22"/>
          <w:szCs w:val="22"/>
        </w:rPr>
        <w:t xml:space="preserve">REDIS_URL — URL Redis (BullMQ + cache)</w:t>
      </w:r>
    </w:p>
    <w:p>
      <w:pPr>
        <w:pStyle w:val="ListParagraph"/>
        <w:numPr>
          <w:ilvl w:val="0"/>
          <w:numId w:val="2"/>
        </w:numPr>
        <w:spacing w:after="80"/>
      </w:pPr>
      <w:r>
        <w:rPr>
          <w:color w:val="111928"/>
          <w:sz w:val="22"/>
          <w:szCs w:val="22"/>
        </w:rPr>
        <w:t xml:space="preserve">JWT_SECRET + JWT_REFRESH_SECRET — Secrets pour les tokens</w:t>
      </w:r>
    </w:p>
    <w:p>
      <w:pPr>
        <w:pStyle w:val="ListParagraph"/>
        <w:numPr>
          <w:ilvl w:val="0"/>
          <w:numId w:val="2"/>
        </w:numPr>
        <w:spacing w:after="80"/>
      </w:pPr>
      <w:r>
        <w:rPr>
          <w:color w:val="111928"/>
          <w:sz w:val="22"/>
          <w:szCs w:val="22"/>
        </w:rPr>
        <w:t xml:space="preserve">NEXTAUTH_SECRET + NEXTAUTH_URL — Configuration NextAuth</w:t>
      </w:r>
    </w:p>
    <w:p>
      <w:pPr>
        <w:pStyle w:val="ListParagraph"/>
        <w:numPr>
          <w:ilvl w:val="0"/>
          <w:numId w:val="2"/>
        </w:numPr>
        <w:spacing w:after="80"/>
      </w:pPr>
      <w:r>
        <w:rPr>
          <w:color w:val="111928"/>
          <w:sz w:val="22"/>
          <w:szCs w:val="22"/>
        </w:rPr>
        <w:t xml:space="preserve">AWS_ACCESS_KEY_ID + AWS_SECRET_ACCESS_KEY + AWS_S3_BUCKET — Stockage S3</w:t>
      </w:r>
    </w:p>
    <w:p>
      <w:pPr>
        <w:pStyle w:val="ListParagraph"/>
        <w:numPr>
          <w:ilvl w:val="0"/>
          <w:numId w:val="2"/>
        </w:numPr>
        <w:spacing w:after="80"/>
      </w:pPr>
      <w:r>
        <w:rPr>
          <w:color w:val="111928"/>
          <w:sz w:val="22"/>
          <w:szCs w:val="22"/>
        </w:rPr>
        <w:t xml:space="preserve">STRIPE_SECRET_KEY + STRIPE_WEBHOOK_SECRET — Paiements Stripe</w:t>
      </w:r>
    </w:p>
    <w:p>
      <w:pPr>
        <w:pStyle w:val="ListParagraph"/>
        <w:numPr>
          <w:ilvl w:val="0"/>
          <w:numId w:val="2"/>
        </w:numPr>
        <w:spacing w:after="80"/>
      </w:pPr>
      <w:r>
        <w:rPr>
          <w:color w:val="111928"/>
          <w:sz w:val="22"/>
          <w:szCs w:val="22"/>
        </w:rPr>
        <w:t xml:space="preserve">CMI_MERCHANT_ID + CMI_STORE_KEY — Paiements CMI Maroc</w:t>
      </w:r>
    </w:p>
    <w:p>
      <w:pPr>
        <w:pStyle w:val="ListParagraph"/>
        <w:numPr>
          <w:ilvl w:val="0"/>
          <w:numId w:val="2"/>
        </w:numPr>
        <w:spacing w:after="80"/>
      </w:pPr>
      <w:r>
        <w:rPr>
          <w:color w:val="111928"/>
          <w:sz w:val="22"/>
          <w:szCs w:val="22"/>
        </w:rPr>
        <w:t xml:space="preserve">RESEND_API_KEY — Envoi emails</w:t>
      </w:r>
    </w:p>
    <w:p>
      <w:pPr>
        <w:pStyle w:val="ListParagraph"/>
        <w:numPr>
          <w:ilvl w:val="0"/>
          <w:numId w:val="2"/>
        </w:numPr>
        <w:spacing w:after="80"/>
      </w:pPr>
      <w:r>
        <w:rPr>
          <w:color w:val="111928"/>
          <w:sz w:val="22"/>
          <w:szCs w:val="22"/>
        </w:rPr>
        <w:t xml:space="preserve">TWILIO_SID + TWILIO_TOKEN + TWILIO_PHONE — SMS</w:t>
      </w:r>
    </w:p>
    <w:p>
      <w:pPr>
        <w:pStyle w:val="ListParagraph"/>
        <w:numPr>
          <w:ilvl w:val="0"/>
          <w:numId w:val="2"/>
        </w:numPr>
        <w:spacing w:after="80"/>
      </w:pPr>
      <w:r>
        <w:rPr>
          <w:color w:val="111928"/>
          <w:sz w:val="22"/>
          <w:szCs w:val="22"/>
        </w:rPr>
        <w:t xml:space="preserve">ANTHROPIC_API_KEY — Claude API (génération IA)</w:t>
      </w:r>
    </w:p>
    <w:p>
      <w:pPr>
        <w:pStyle w:val="ListParagraph"/>
        <w:numPr>
          <w:ilvl w:val="0"/>
          <w:numId w:val="2"/>
        </w:numPr>
        <w:spacing w:after="80"/>
      </w:pPr>
      <w:r>
        <w:rPr>
          <w:color w:val="111928"/>
          <w:sz w:val="22"/>
          <w:szCs w:val="22"/>
        </w:rPr>
        <w:t xml:space="preserve">YOUSIGN_API_KEY — Signature électronique</w:t>
      </w:r>
    </w:p>
    <w:p>
      <w:pPr>
        <w:pStyle w:val="Heading2"/>
        <w:spacing w:after="150" w:before="300"/>
      </w:pPr>
      <w:r>
        <w:t xml:space="preserve">14.4 Commandes de démarrage projet</w:t>
      </w:r>
    </w:p>
    <w:p>
      <w:pPr>
        <w:pStyle w:val="ListParagraph"/>
        <w:numPr>
          <w:ilvl w:val="0"/>
          <w:numId w:val="2"/>
        </w:numPr>
        <w:spacing w:after="80"/>
      </w:pPr>
      <w:r>
        <w:rPr>
          <w:color w:val="111928"/>
          <w:sz w:val="22"/>
          <w:szCs w:val="22"/>
        </w:rPr>
        <w:t xml:space="preserve">pnpm install — Installation des dépendances (monorepo pnpm workspaces)</w:t>
      </w:r>
    </w:p>
    <w:p>
      <w:pPr>
        <w:pStyle w:val="ListParagraph"/>
        <w:numPr>
          <w:ilvl w:val="0"/>
          <w:numId w:val="2"/>
        </w:numPr>
        <w:spacing w:after="80"/>
      </w:pPr>
      <w:r>
        <w:rPr>
          <w:color w:val="111928"/>
          <w:sz w:val="22"/>
          <w:szCs w:val="22"/>
        </w:rPr>
        <w:t xml:space="preserve">pnpm db:generate — Génération du client Prisma</w:t>
      </w:r>
    </w:p>
    <w:p>
      <w:pPr>
        <w:pStyle w:val="ListParagraph"/>
        <w:numPr>
          <w:ilvl w:val="0"/>
          <w:numId w:val="2"/>
        </w:numPr>
        <w:spacing w:after="80"/>
      </w:pPr>
      <w:r>
        <w:rPr>
          <w:color w:val="111928"/>
          <w:sz w:val="22"/>
          <w:szCs w:val="22"/>
        </w:rPr>
        <w:t xml:space="preserve">pnpm db:migrate — Exécution des migrations</w:t>
      </w:r>
    </w:p>
    <w:p>
      <w:pPr>
        <w:pStyle w:val="ListParagraph"/>
        <w:numPr>
          <w:ilvl w:val="0"/>
          <w:numId w:val="2"/>
        </w:numPr>
        <w:spacing w:after="80"/>
      </w:pPr>
      <w:r>
        <w:rPr>
          <w:color w:val="111928"/>
          <w:sz w:val="22"/>
          <w:szCs w:val="22"/>
        </w:rPr>
        <w:t xml:space="preserve">pnpm db:seed — Peuplement des données de test</w:t>
      </w:r>
    </w:p>
    <w:p>
      <w:pPr>
        <w:pStyle w:val="ListParagraph"/>
        <w:numPr>
          <w:ilvl w:val="0"/>
          <w:numId w:val="2"/>
        </w:numPr>
        <w:spacing w:after="80"/>
      </w:pPr>
      <w:r>
        <w:rPr>
          <w:color w:val="111928"/>
          <w:sz w:val="22"/>
          <w:szCs w:val="22"/>
        </w:rPr>
        <w:t xml:space="preserve">pnpm dev — Démarrage en développement (tous les services)</w:t>
      </w:r>
    </w:p>
    <w:p>
      <w:pPr>
        <w:pStyle w:val="ListParagraph"/>
        <w:numPr>
          <w:ilvl w:val="0"/>
          <w:numId w:val="2"/>
        </w:numPr>
        <w:spacing w:after="80"/>
      </w:pPr>
      <w:r>
        <w:rPr>
          <w:color w:val="111928"/>
          <w:sz w:val="22"/>
          <w:szCs w:val="22"/>
        </w:rPr>
        <w:t xml:space="preserve">pnpm build — Build de production</w:t>
      </w:r>
    </w:p>
    <w:p>
      <w:pPr>
        <w:pStyle w:val="ListParagraph"/>
        <w:numPr>
          <w:ilvl w:val="0"/>
          <w:numId w:val="2"/>
        </w:numPr>
        <w:spacing w:after="80"/>
      </w:pPr>
      <w:r>
        <w:rPr>
          <w:color w:val="111928"/>
          <w:sz w:val="22"/>
          <w:szCs w:val="22"/>
        </w:rPr>
        <w:t xml:space="preserve">pnpm test — Tous les tests (Jest + Playwright)</w:t>
      </w:r>
    </w:p>
    <w:p>
      <w:r>
        <w:br w:type="page"/>
      </w:r>
    </w:p>
    <w:p>
      <w:pPr>
        <w:pStyle w:val="Heading1"/>
        <w:spacing w:after="200" w:before="440"/>
      </w:pPr>
      <w:r>
        <w:t xml:space="preserve">15. Critères de qualité &amp; tests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72"/>
      </w:tblGrid>
      <w:tr>
        <w:trPr>
          <w:tblHeader/>
        </w:trPr>
        <w:tc>
          <w:tcPr>
            <w:tcW w:type="dxa" w:w="2000"/>
            <w:shd w:fill="0F4C81" w:color="auto" w:val="clear"/>
            <w:tcMar>
              <w:top w:type="dxa" w:w="80"/>
              <w:left w:type="dxa" w:w="100"/>
              <w:bottom w:type="dxa" w:w="80"/>
              <w:right w:type="dxa" w:w="100"/>
            </w:tcMar>
          </w:tcPr>
          <w:p>
            <w:pPr>
              <w:jc w:val="left"/>
            </w:pPr>
            <w:r>
              <w:rPr>
                <w:b/>
                <w:bCs/>
                <w:color w:val="FFFFFF"/>
                <w:sz w:val="20"/>
                <w:szCs w:val="20"/>
              </w:rPr>
              <w:t xml:space="preserve">Type de test</w:t>
            </w:r>
          </w:p>
        </w:tc>
        <w:tc>
          <w:tcPr>
            <w:tcW w:type="dxa" w:w="1800"/>
            <w:shd w:fill="0F4C81" w:color="auto" w:val="clear"/>
            <w:tcMar>
              <w:top w:type="dxa" w:w="80"/>
              <w:left w:type="dxa" w:w="100"/>
              <w:bottom w:type="dxa" w:w="80"/>
              <w:right w:type="dxa" w:w="100"/>
            </w:tcMar>
          </w:tcPr>
          <w:p>
            <w:pPr>
              <w:jc w:val="left"/>
            </w:pPr>
            <w:r>
              <w:rPr>
                <w:b/>
                <w:bCs/>
                <w:color w:val="FFFFFF"/>
                <w:sz w:val="20"/>
                <w:szCs w:val="20"/>
              </w:rPr>
              <w:t xml:space="preserve">Outil</w:t>
            </w:r>
          </w:p>
        </w:tc>
        <w:tc>
          <w:tcPr>
            <w:tcW w:type="dxa" w:w="1800"/>
            <w:shd w:fill="0F4C81" w:color="auto" w:val="clear"/>
            <w:tcMar>
              <w:top w:type="dxa" w:w="80"/>
              <w:left w:type="dxa" w:w="100"/>
              <w:bottom w:type="dxa" w:w="80"/>
              <w:right w:type="dxa" w:w="100"/>
            </w:tcMar>
          </w:tcPr>
          <w:p>
            <w:pPr>
              <w:jc w:val="left"/>
            </w:pPr>
            <w:r>
              <w:rPr>
                <w:b/>
                <w:bCs/>
                <w:color w:val="FFFFFF"/>
                <w:sz w:val="20"/>
                <w:szCs w:val="20"/>
              </w:rPr>
              <w:t xml:space="preserve">Couverture cible</w:t>
            </w:r>
          </w:p>
        </w:tc>
        <w:tc>
          <w:tcPr>
            <w:tcW w:type="dxa" w:w="3472"/>
            <w:shd w:fill="0F4C81" w:color="auto" w:val="clear"/>
            <w:tcMar>
              <w:top w:type="dxa" w:w="80"/>
              <w:left w:type="dxa" w:w="100"/>
              <w:bottom w:type="dxa" w:w="80"/>
              <w:right w:type="dxa" w:w="100"/>
            </w:tcMar>
          </w:tcPr>
          <w:p>
            <w:pPr>
              <w:jc w:val="left"/>
            </w:pPr>
            <w:r>
              <w:rPr>
                <w:b/>
                <w:bCs/>
                <w:color w:val="FFFFFF"/>
                <w:sz w:val="20"/>
                <w:szCs w:val="20"/>
              </w:rPr>
              <w:t xml:space="preserve">Ce qui est testé</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Tests unitaires</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Jest + Testing Library</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&gt; 80%</w:t>
            </w:r>
          </w:p>
        </w:tc>
        <w:tc>
          <w:tcPr>
            <w:tcW w:type="dxa" w:w="3472"/>
            <w:shd w:fill="FFFFFF" w:color="auto" w:val="clear"/>
            <w:tcMar>
              <w:top w:type="dxa" w:w="80"/>
              <w:left w:type="dxa" w:w="100"/>
              <w:bottom w:type="dxa" w:w="80"/>
              <w:right w:type="dxa" w:w="100"/>
            </w:tcMar>
          </w:tcPr>
          <w:p>
            <w:pPr>
              <w:jc w:val="left"/>
            </w:pPr>
            <w:r>
              <w:rPr>
                <w:b w:val="false"/>
                <w:bCs w:val="false"/>
                <w:color w:val="111928"/>
                <w:sz w:val="20"/>
                <w:szCs w:val="20"/>
              </w:rPr>
              <w:t xml:space="preserve">Services NestJS, utilitaires, calculs (tantièmes, majorités AG)</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Tests d'intégration</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Jest + Supertest</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&gt; 70%</w:t>
            </w:r>
          </w:p>
        </w:tc>
        <w:tc>
          <w:tcPr>
            <w:tcW w:type="dxa" w:w="3472"/>
            <w:shd w:fill="F4F7FC" w:color="auto" w:val="clear"/>
            <w:tcMar>
              <w:top w:type="dxa" w:w="80"/>
              <w:left w:type="dxa" w:w="100"/>
              <w:bottom w:type="dxa" w:w="80"/>
              <w:right w:type="dxa" w:w="100"/>
            </w:tcMar>
          </w:tcPr>
          <w:p>
            <w:pPr>
              <w:jc w:val="left"/>
            </w:pPr>
            <w:r>
              <w:rPr>
                <w:b w:val="false"/>
                <w:bCs w:val="false"/>
                <w:color w:val="111928"/>
                <w:sz w:val="20"/>
                <w:szCs w:val="20"/>
              </w:rPr>
              <w:t xml:space="preserve">Endpoints API critiques (auth, paiements, votes)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Tests E2E web</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Playwright</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Parcours critiques</w:t>
            </w:r>
          </w:p>
        </w:tc>
        <w:tc>
          <w:tcPr>
            <w:tcW w:type="dxa" w:w="3472"/>
            <w:shd w:fill="FFFFFF" w:color="auto" w:val="clear"/>
            <w:tcMar>
              <w:top w:type="dxa" w:w="80"/>
              <w:left w:type="dxa" w:w="100"/>
              <w:bottom w:type="dxa" w:w="80"/>
              <w:right w:type="dxa" w:w="100"/>
            </w:tcMar>
          </w:tcPr>
          <w:p>
            <w:pPr>
              <w:jc w:val="left"/>
            </w:pPr>
            <w:r>
              <w:rPr>
                <w:b w:val="false"/>
                <w:bCs w:val="false"/>
                <w:color w:val="111928"/>
                <w:sz w:val="20"/>
                <w:szCs w:val="20"/>
              </w:rPr>
              <w:t xml:space="preserve">Inscription, paiement, vote AG, création ticket</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Tests E2E mobile</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Detox</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Parcours critiques</w:t>
            </w:r>
          </w:p>
        </w:tc>
        <w:tc>
          <w:tcPr>
            <w:tcW w:type="dxa" w:w="3472"/>
            <w:shd w:fill="F4F7FC" w:color="auto" w:val="clear"/>
            <w:tcMar>
              <w:top w:type="dxa" w:w="80"/>
              <w:left w:type="dxa" w:w="100"/>
              <w:bottom w:type="dxa" w:w="80"/>
              <w:right w:type="dxa" w:w="100"/>
            </w:tcMar>
          </w:tcPr>
          <w:p>
            <w:pPr>
              <w:jc w:val="left"/>
            </w:pPr>
            <w:r>
              <w:rPr>
                <w:b w:val="false"/>
                <w:bCs w:val="false"/>
                <w:color w:val="111928"/>
                <w:sz w:val="20"/>
                <w:szCs w:val="20"/>
              </w:rPr>
              <w:t xml:space="preserve">Login biométrique, paiement mobile, création ticket photo</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Tests de charge</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k6</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AG avec 5000 votes</w:t>
            </w:r>
          </w:p>
        </w:tc>
        <w:tc>
          <w:tcPr>
            <w:tcW w:type="dxa" w:w="3472"/>
            <w:shd w:fill="FFFFFF" w:color="auto" w:val="clear"/>
            <w:tcMar>
              <w:top w:type="dxa" w:w="80"/>
              <w:left w:type="dxa" w:w="100"/>
              <w:bottom w:type="dxa" w:w="80"/>
              <w:right w:type="dxa" w:w="100"/>
            </w:tcMar>
          </w:tcPr>
          <w:p>
            <w:pPr>
              <w:jc w:val="left"/>
            </w:pPr>
            <w:r>
              <w:rPr>
                <w:b w:val="false"/>
                <w:bCs w:val="false"/>
                <w:color w:val="111928"/>
                <w:sz w:val="20"/>
                <w:szCs w:val="20"/>
              </w:rPr>
              <w:t xml:space="preserve">Simultanéité votes, performance API sous charge</w:t>
            </w:r>
          </w:p>
        </w:tc>
      </w:tr>
      <w:tr>
        <w:tc>
          <w:tcPr>
            <w:tcW w:type="dxa" w:w="2000"/>
            <w:shd w:fill="F4F7FC" w:color="auto" w:val="clear"/>
            <w:tcMar>
              <w:top w:type="dxa" w:w="80"/>
              <w:left w:type="dxa" w:w="100"/>
              <w:bottom w:type="dxa" w:w="80"/>
              <w:right w:type="dxa" w:w="100"/>
            </w:tcMar>
          </w:tcPr>
          <w:p>
            <w:pPr>
              <w:jc w:val="left"/>
            </w:pPr>
            <w:r>
              <w:rPr>
                <w:b w:val="false"/>
                <w:bCs w:val="false"/>
                <w:color w:val="111928"/>
                <w:sz w:val="20"/>
                <w:szCs w:val="20"/>
              </w:rPr>
              <w:t xml:space="preserve">Tests accessibilité</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axe-core + Playwright</w:t>
            </w:r>
          </w:p>
        </w:tc>
        <w:tc>
          <w:tcPr>
            <w:tcW w:type="dxa" w:w="1800"/>
            <w:shd w:fill="F4F7FC" w:color="auto" w:val="clear"/>
            <w:tcMar>
              <w:top w:type="dxa" w:w="80"/>
              <w:left w:type="dxa" w:w="100"/>
              <w:bottom w:type="dxa" w:w="80"/>
              <w:right w:type="dxa" w:w="100"/>
            </w:tcMar>
          </w:tcPr>
          <w:p>
            <w:pPr>
              <w:jc w:val="left"/>
            </w:pPr>
            <w:r>
              <w:rPr>
                <w:b w:val="false"/>
                <w:bCs w:val="false"/>
                <w:color w:val="111928"/>
                <w:sz w:val="20"/>
                <w:szCs w:val="20"/>
              </w:rPr>
              <w:t xml:space="preserve">WCAG AA</w:t>
            </w:r>
          </w:p>
        </w:tc>
        <w:tc>
          <w:tcPr>
            <w:tcW w:type="dxa" w:w="3472"/>
            <w:shd w:fill="F4F7FC" w:color="auto" w:val="clear"/>
            <w:tcMar>
              <w:top w:type="dxa" w:w="80"/>
              <w:left w:type="dxa" w:w="100"/>
              <w:bottom w:type="dxa" w:w="80"/>
              <w:right w:type="dxa" w:w="100"/>
            </w:tcMar>
          </w:tcPr>
          <w:p>
            <w:pPr>
              <w:jc w:val="left"/>
            </w:pPr>
            <w:r>
              <w:rPr>
                <w:b w:val="false"/>
                <w:bCs w:val="false"/>
                <w:color w:val="111928"/>
                <w:sz w:val="20"/>
                <w:szCs w:val="20"/>
              </w:rPr>
              <w:t xml:space="preserve">Toutes les pages principales</w:t>
            </w:r>
          </w:p>
        </w:tc>
      </w:tr>
      <w:tr>
        <w:tc>
          <w:tcPr>
            <w:tcW w:type="dxa" w:w="2000"/>
            <w:shd w:fill="FFFFFF" w:color="auto" w:val="clear"/>
            <w:tcMar>
              <w:top w:type="dxa" w:w="80"/>
              <w:left w:type="dxa" w:w="100"/>
              <w:bottom w:type="dxa" w:w="80"/>
              <w:right w:type="dxa" w:w="100"/>
            </w:tcMar>
          </w:tcPr>
          <w:p>
            <w:pPr>
              <w:jc w:val="left"/>
            </w:pPr>
            <w:r>
              <w:rPr>
                <w:b w:val="false"/>
                <w:bCs w:val="false"/>
                <w:color w:val="111928"/>
                <w:sz w:val="20"/>
                <w:szCs w:val="20"/>
              </w:rPr>
              <w:t xml:space="preserve">Tests sécurité</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OWASP ZAP</w:t>
            </w:r>
          </w:p>
        </w:tc>
        <w:tc>
          <w:tcPr>
            <w:tcW w:type="dxa" w:w="1800"/>
            <w:shd w:fill="FFFFFF" w:color="auto" w:val="clear"/>
            <w:tcMar>
              <w:top w:type="dxa" w:w="80"/>
              <w:left w:type="dxa" w:w="100"/>
              <w:bottom w:type="dxa" w:w="80"/>
              <w:right w:type="dxa" w:w="100"/>
            </w:tcMar>
          </w:tcPr>
          <w:p>
            <w:pPr>
              <w:jc w:val="left"/>
            </w:pPr>
            <w:r>
              <w:rPr>
                <w:b w:val="false"/>
                <w:bCs w:val="false"/>
                <w:color w:val="111928"/>
                <w:sz w:val="20"/>
                <w:szCs w:val="20"/>
              </w:rPr>
              <w:t xml:space="preserve">OWASP Top 10</w:t>
            </w:r>
          </w:p>
        </w:tc>
        <w:tc>
          <w:tcPr>
            <w:tcW w:type="dxa" w:w="3472"/>
            <w:shd w:fill="FFFFFF" w:color="auto" w:val="clear"/>
            <w:tcMar>
              <w:top w:type="dxa" w:w="80"/>
              <w:left w:type="dxa" w:w="100"/>
              <w:bottom w:type="dxa" w:w="80"/>
              <w:right w:type="dxa" w:w="100"/>
            </w:tcMar>
          </w:tcPr>
          <w:p>
            <w:pPr>
              <w:jc w:val="left"/>
            </w:pPr>
            <w:r>
              <w:rPr>
                <w:b w:val="false"/>
                <w:bCs w:val="false"/>
                <w:color w:val="111928"/>
                <w:sz w:val="20"/>
                <w:szCs w:val="20"/>
              </w:rPr>
              <w:t xml:space="preserve">Injections, XSS, CSRF, auth</w:t>
            </w:r>
          </w:p>
        </w:tc>
      </w:tr>
    </w:tbl>
    <w:p>
      <w:pPr>
        <w:spacing w:after="80"/>
      </w:pPr>
      <w:r>
        <w:t xml:space="preserve"/>
      </w:r>
    </w:p>
    <w:p>
      <w:pPr>
        <w:pStyle w:val="Heading2"/>
        <w:spacing w:after="150" w:before="300"/>
      </w:pPr>
      <w:r>
        <w:t xml:space="preserve">15.1 Critères de validation avant mise en production</w:t>
      </w:r>
    </w:p>
    <w:p>
      <w:pPr>
        <w:pStyle w:val="ListParagraph"/>
        <w:numPr>
          <w:ilvl w:val="0"/>
          <w:numId w:val="2"/>
        </w:numPr>
        <w:spacing w:after="80"/>
      </w:pPr>
      <w:r>
        <w:rPr>
          <w:color w:val="111928"/>
          <w:sz w:val="22"/>
          <w:szCs w:val="22"/>
        </w:rPr>
        <w:t xml:space="preserve">Zéro bug bloquant ou critique ouvert</w:t>
      </w:r>
    </w:p>
    <w:p>
      <w:pPr>
        <w:pStyle w:val="ListParagraph"/>
        <w:numPr>
          <w:ilvl w:val="0"/>
          <w:numId w:val="2"/>
        </w:numPr>
        <w:spacing w:after="80"/>
      </w:pPr>
      <w:r>
        <w:rPr>
          <w:color w:val="111928"/>
          <w:sz w:val="22"/>
          <w:szCs w:val="22"/>
        </w:rPr>
        <w:t xml:space="preserve">Score Lighthouse ≥ 90 sur Performance, Accessibility, SEO, Best Practices</w:t>
      </w:r>
    </w:p>
    <w:p>
      <w:pPr>
        <w:pStyle w:val="ListParagraph"/>
        <w:numPr>
          <w:ilvl w:val="0"/>
          <w:numId w:val="2"/>
        </w:numPr>
        <w:spacing w:after="80"/>
      </w:pPr>
      <w:r>
        <w:rPr>
          <w:color w:val="111928"/>
          <w:sz w:val="22"/>
          <w:szCs w:val="22"/>
        </w:rPr>
        <w:t xml:space="preserve">Core Web Vitals tous en "Good" sur les pages principales</w:t>
      </w:r>
    </w:p>
    <w:p>
      <w:pPr>
        <w:pStyle w:val="ListParagraph"/>
        <w:numPr>
          <w:ilvl w:val="0"/>
          <w:numId w:val="2"/>
        </w:numPr>
        <w:spacing w:after="80"/>
      </w:pPr>
      <w:r>
        <w:rPr>
          <w:color w:val="111928"/>
          <w:sz w:val="22"/>
          <w:szCs w:val="22"/>
        </w:rPr>
        <w:t xml:space="preserve">Tous les tests de paiement CMI et Stripe validés en environnement sandbox</w:t>
      </w:r>
    </w:p>
    <w:p>
      <w:pPr>
        <w:pStyle w:val="ListParagraph"/>
        <w:numPr>
          <w:ilvl w:val="0"/>
          <w:numId w:val="2"/>
        </w:numPr>
        <w:spacing w:after="80"/>
      </w:pPr>
      <w:r>
        <w:rPr>
          <w:color w:val="111928"/>
          <w:sz w:val="22"/>
          <w:szCs w:val="22"/>
        </w:rPr>
        <w:t xml:space="preserve">Audit RGPD validé + mentions légales bilingues FR/AR en ligne</w:t>
      </w:r>
    </w:p>
    <w:p>
      <w:pPr>
        <w:pStyle w:val="ListParagraph"/>
        <w:numPr>
          <w:ilvl w:val="0"/>
          <w:numId w:val="2"/>
        </w:numPr>
        <w:spacing w:after="80"/>
      </w:pPr>
      <w:r>
        <w:rPr>
          <w:color w:val="111928"/>
          <w:sz w:val="22"/>
          <w:szCs w:val="22"/>
        </w:rPr>
        <w:t xml:space="preserve">Tests de charge validés : 5000 votes simultanés sans dégradation</w:t>
      </w:r>
    </w:p>
    <w:p>
      <w:pPr>
        <w:pStyle w:val="ListParagraph"/>
        <w:numPr>
          <w:ilvl w:val="0"/>
          <w:numId w:val="2"/>
        </w:numPr>
        <w:spacing w:after="80"/>
      </w:pPr>
      <w:r>
        <w:rPr>
          <w:color w:val="111928"/>
          <w:sz w:val="22"/>
          <w:szCs w:val="22"/>
        </w:rPr>
        <w:t xml:space="preserve">Revue de sécurité OWASP complète sans vulnérabilité critique</w:t>
      </w:r>
    </w:p>
    <w:p>
      <w:r>
        <w:br w:type="page"/>
      </w:r>
    </w:p>
    <w:p>
      <w:pPr>
        <w:pStyle w:val="Heading1"/>
        <w:spacing w:after="200" w:before="440"/>
      </w:pPr>
      <w:r>
        <w:t xml:space="preserve">16. Glossaire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shd w:fill="0F4C81" w:color="auto" w:val="clear"/>
            <w:tcMar>
              <w:top w:type="dxa" w:w="80"/>
              <w:left w:type="dxa" w:w="100"/>
              <w:bottom w:type="dxa" w:w="80"/>
              <w:right w:type="dxa" w:w="100"/>
            </w:tcMar>
          </w:tcPr>
          <w:p>
            <w:pPr>
              <w:jc w:val="left"/>
            </w:pPr>
            <w:r>
              <w:rPr>
                <w:b/>
                <w:bCs/>
                <w:color w:val="FFFFFF"/>
                <w:sz w:val="20"/>
                <w:szCs w:val="20"/>
              </w:rPr>
              <w:t xml:space="preserve">Terme</w:t>
            </w:r>
          </w:p>
        </w:tc>
        <w:tc>
          <w:tcPr>
            <w:tcW w:type="dxa" w:w="6572"/>
            <w:shd w:fill="0F4C81" w:color="auto" w:val="clear"/>
            <w:tcMar>
              <w:top w:type="dxa" w:w="80"/>
              <w:left w:type="dxa" w:w="100"/>
              <w:bottom w:type="dxa" w:w="80"/>
              <w:right w:type="dxa" w:w="100"/>
            </w:tcMar>
          </w:tcPr>
          <w:p>
            <w:pPr>
              <w:jc w:val="left"/>
            </w:pPr>
            <w:r>
              <w:rPr>
                <w:b/>
                <w:bCs/>
                <w:color w:val="FFFFFF"/>
                <w:sz w:val="20"/>
                <w:szCs w:val="20"/>
              </w:rPr>
              <w:t xml:space="preserve">Définition</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AG</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Assemblée Générale des copropriétaires (annuelle obligatoire + extraordinaires)</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Loi 18-00</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Loi marocaine relative à la copropriété des immeubles bâtis (+ amendements 2016)</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Tantième</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Quote-part d'un lot dans les parties communes, exprimée en millièmes</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Lot</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Partie privative d'une copropriété (appartement, commerce, parking, cave)</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Fonds de travaux</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Épargne obligatoire pour financer les futurs travaux (% du budget)</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CMI</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Centre Monétique Interbancaire — plateforme de paiement par carte au Maroc</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CNDP</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Commission Nationale de contrôle de la protection des Données à caractère Personnel (Maroc)</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FEC</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Fichier des Écritures Comptables — format d'export comptable standard</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GED</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Gestion Électronique des Documents</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LRE</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Lettre Recommandée Électronique — recommandé légalement valable</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RBAC</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Role-Based Access Control — contrôle d'accès par rôles</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eIDAS</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Règlement européen sur l'identification électronique et les services de confiance</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SaaS</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Software as a Service — logiciel hébergé et fourni comme service en ligne</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Multi-tenant</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Architecture où plusieurs clients partagent la même infrastructure de façon isolée</w:t>
            </w:r>
          </w:p>
        </w:tc>
      </w:tr>
      <w:tr>
        <w:tc>
          <w:tcPr>
            <w:tcW w:type="dxa" w:w="2500"/>
            <w:shd w:fill="FFFFFF" w:color="auto" w:val="clear"/>
            <w:tcMar>
              <w:top w:type="dxa" w:w="80"/>
              <w:left w:type="dxa" w:w="100"/>
              <w:bottom w:type="dxa" w:w="80"/>
              <w:right w:type="dxa" w:w="100"/>
            </w:tcMar>
          </w:tcPr>
          <w:p>
            <w:pPr>
              <w:jc w:val="left"/>
            </w:pPr>
            <w:r>
              <w:rPr>
                <w:b w:val="false"/>
                <w:bCs w:val="false"/>
                <w:color w:val="111928"/>
                <w:sz w:val="20"/>
                <w:szCs w:val="20"/>
              </w:rPr>
              <w:t xml:space="preserve">MRR</w:t>
            </w:r>
          </w:p>
        </w:tc>
        <w:tc>
          <w:tcPr>
            <w:tcW w:type="dxa" w:w="6572"/>
            <w:shd w:fill="FFFFFF" w:color="auto" w:val="clear"/>
            <w:tcMar>
              <w:top w:type="dxa" w:w="80"/>
              <w:left w:type="dxa" w:w="100"/>
              <w:bottom w:type="dxa" w:w="80"/>
              <w:right w:type="dxa" w:w="100"/>
            </w:tcMar>
          </w:tcPr>
          <w:p>
            <w:pPr>
              <w:jc w:val="left"/>
            </w:pPr>
            <w:r>
              <w:rPr>
                <w:b w:val="false"/>
                <w:bCs w:val="false"/>
                <w:color w:val="111928"/>
                <w:sz w:val="20"/>
                <w:szCs w:val="20"/>
              </w:rPr>
              <w:t xml:space="preserve">Monthly Recurring Revenue — revenu mensuel récurrent (indicateur SaaS clé)</w:t>
            </w:r>
          </w:p>
        </w:tc>
      </w:tr>
      <w:tr>
        <w:tc>
          <w:tcPr>
            <w:tcW w:type="dxa" w:w="2500"/>
            <w:shd w:fill="F4F7FC" w:color="auto" w:val="clear"/>
            <w:tcMar>
              <w:top w:type="dxa" w:w="80"/>
              <w:left w:type="dxa" w:w="100"/>
              <w:bottom w:type="dxa" w:w="80"/>
              <w:right w:type="dxa" w:w="100"/>
            </w:tcMar>
          </w:tcPr>
          <w:p>
            <w:pPr>
              <w:jc w:val="left"/>
            </w:pPr>
            <w:r>
              <w:rPr>
                <w:b w:val="false"/>
                <w:bCs w:val="false"/>
                <w:color w:val="111928"/>
                <w:sz w:val="20"/>
                <w:szCs w:val="20"/>
              </w:rPr>
              <w:t xml:space="preserve">RTL</w:t>
            </w:r>
          </w:p>
        </w:tc>
        <w:tc>
          <w:tcPr>
            <w:tcW w:type="dxa" w:w="6572"/>
            <w:shd w:fill="F4F7FC" w:color="auto" w:val="clear"/>
            <w:tcMar>
              <w:top w:type="dxa" w:w="80"/>
              <w:left w:type="dxa" w:w="100"/>
              <w:bottom w:type="dxa" w:w="80"/>
              <w:right w:type="dxa" w:w="100"/>
            </w:tcMar>
          </w:tcPr>
          <w:p>
            <w:pPr>
              <w:jc w:val="left"/>
            </w:pPr>
            <w:r>
              <w:rPr>
                <w:b w:val="false"/>
                <w:bCs w:val="false"/>
                <w:color w:val="111928"/>
                <w:sz w:val="20"/>
                <w:szCs w:val="20"/>
              </w:rPr>
              <w:t xml:space="preserve">Right-To-Left — affichage de droite à gauche pour la langue arabe</w:t>
            </w:r>
          </w:p>
        </w:tc>
      </w:tr>
    </w:tbl>
    <w:p>
      <w:pPr>
        <w:spacing w:after="80"/>
      </w:pPr>
      <w:r>
        <w:t xml:space="preserve"/>
      </w:r>
    </w:p>
    <w:p>
      <w:pPr>
        <w:spacing w:after="80"/>
      </w:pPr>
      <w:r>
        <w:t xml:space="preserve"/>
      </w:r>
    </w:p>
    <w:p>
      <w:pPr>
        <w:spacing w:before="400"/>
        <w:jc w:val="center"/>
      </w:pPr>
      <w:r>
        <w:rPr>
          <w:b/>
          <w:bCs/>
          <w:color w:val="0F4C81"/>
          <w:sz w:val="28"/>
          <w:szCs w:val="28"/>
        </w:rPr>
        <w:t xml:space="preserve">Syndic</w:t>
      </w:r>
      <w:r>
        <w:rPr>
          <w:b/>
          <w:bCs/>
          <w:color w:val="E87722"/>
          <w:sz w:val="28"/>
          <w:szCs w:val="28"/>
        </w:rPr>
        <w:t xml:space="preserve">360</w:t>
      </w:r>
      <w:r>
        <w:rPr>
          <w:i/>
          <w:iCs/>
          <w:color w:val="6B7280"/>
          <w:sz w:val="22"/>
          <w:szCs w:val="22"/>
        </w:rPr>
        <w:t xml:space="preserve"> — Gérez votre copropriété à 360°</w:t>
      </w:r>
    </w:p>
    <w:p>
      <w:pPr>
        <w:spacing w:after="100"/>
        <w:jc w:val="center"/>
      </w:pPr>
      <w:r>
        <w:rPr>
          <w:i/>
          <w:iCs/>
          <w:color w:val="6B7280"/>
          <w:sz w:val="18"/>
          <w:szCs w:val="18"/>
        </w:rPr>
        <w:t xml:space="preserve">— Fin du cahier des charges technique v2.0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0F4C81"/>
        <w:sz w:val="18"/>
        <w:szCs w:val="18"/>
      </w:rPr>
      <w:t xml:space="preserve">Syndic360</w:t>
    </w:r>
    <w:r>
      <w:rPr>
        <w:color w:val="6B7280"/>
        <w:sz w:val="18"/>
        <w:szCs w:val="18"/>
      </w:rPr>
      <w:t xml:space="preserve"> · Cahier des charges technique v2.0 · Pour Claude Code  |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sz w:val="22"/>
        <w:szCs w:val="22"/>
      </w:rPr>
    </w:lvl>
    <w:lvl w:ilvl="1" w15:tentative="1">
      <w:start w:val="1"/>
      <w:numFmt w:val="bullet"/>
      <w:lvlText w:val="◦"/>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928"/>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722" w:sz="4" w:space="4"/>
      </w:pBdr>
      <w:spacing w:after="200" w:before="440"/>
      <w:outlineLvl w:val="0"/>
    </w:pPr>
    <w:rPr>
      <w:rFonts w:ascii="Calibri" w:cs="Calibri" w:eastAsia="Calibri" w:hAnsi="Calibri"/>
      <w:b/>
      <w:bCs/>
      <w:color w:val="0F4C8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928"/>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0F4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2026-08-17T18:04:05.322Z</dcterms:created>
  <dcterms:modified xsi:type="dcterms:W3CDTF">2026-08-17T18:04:05.337Z</dcterms:modified>
</cp:coreProperties>
</file>

<file path=docProps/custom.xml><?xml version="1.0" encoding="utf-8"?>
<Properties xmlns="http://schemas.openxmlformats.org/officeDocument/2006/custom-properties" xmlns:vt="http://schemas.openxmlformats.org/officeDocument/2006/docPropsVTypes"/>
</file>