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24CEA" w14:textId="77777777" w:rsidR="002D0725" w:rsidRDefault="002D0725"/>
    <w:p w14:paraId="0B0DB8FA" w14:textId="3B6E8522" w:rsidR="002D0725" w:rsidRDefault="002D072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  <w:r w:rsidR="00F617C0">
        <w:rPr>
          <w:rFonts w:ascii="Arial" w:hAnsi="Arial" w:cs="Arial"/>
          <w:b/>
        </w:rPr>
        <w:t>Sports Club Management System</w:t>
      </w:r>
      <w:r>
        <w:rPr>
          <w:rFonts w:ascii="Arial" w:hAnsi="Arial" w:cs="Arial"/>
          <w:b/>
        </w:rPr>
        <w:t>}</w:t>
      </w:r>
    </w:p>
    <w:p w14:paraId="287E0DFD" w14:textId="6EF34FD7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 w:rsidR="00F617C0">
        <w:rPr>
          <w:rFonts w:ascii="Arial" w:hAnsi="Arial" w:cs="Arial"/>
          <w:b/>
          <w:u w:val="single"/>
        </w:rPr>
        <w:t>Michael Kwan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 w:rsidR="00F617C0">
        <w:rPr>
          <w:rFonts w:ascii="Arial" w:hAnsi="Arial" w:cs="Arial"/>
          <w:b/>
          <w:u w:val="single"/>
        </w:rPr>
        <w:t>4/20/2020</w:t>
      </w:r>
    </w:p>
    <w:p w14:paraId="06EB5B1C" w14:textId="77777777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__________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2D0725" w14:paraId="5DACAAC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E12FD7E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9386B8" w14:textId="1FE89455" w:rsidR="002D0725" w:rsidRDefault="00814B6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Register For Competition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BA4004E" w14:textId="77777777" w:rsidR="002D0725" w:rsidRDefault="002D0725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2D0725" w14:paraId="63CFCE5A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442019E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8EF163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CCF3276" w14:textId="77777777" w:rsidR="002D0725" w:rsidRDefault="002D0725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2D0725" w14:paraId="64C276A0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362C4BB5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611FA4" w14:textId="592482B9" w:rsidR="002D0725" w:rsidRDefault="00814B6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507BBF6" w14:textId="77777777" w:rsidR="002D0725" w:rsidRDefault="002D072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F92F3E" w14:paraId="2B37F1E1" w14:textId="77777777" w:rsidTr="001F4AE2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34DC30D" w14:textId="77777777" w:rsidR="00F92F3E" w:rsidRDefault="00F92F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084EB" w14:textId="77777777" w:rsidR="00F92F3E" w:rsidRDefault="00F92F3E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2D0725" w14:paraId="72F0B157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C471BA8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EFCCA7B" w14:textId="4BC53B69" w:rsidR="002D0725" w:rsidRDefault="00814B6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Athlete</w:t>
            </w:r>
          </w:p>
        </w:tc>
      </w:tr>
      <w:tr w:rsidR="002D0725" w14:paraId="773B7651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6D03CBC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B6C1F3" w14:textId="77777777" w:rsidR="002D0725" w:rsidRDefault="002D0725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</w:p>
        </w:tc>
      </w:tr>
      <w:tr w:rsidR="002D0725" w14:paraId="274F1A71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F3708F9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D600290" w14:textId="77777777" w:rsidR="002D0725" w:rsidRDefault="002D0725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</w:p>
        </w:tc>
      </w:tr>
      <w:tr w:rsidR="002D0725" w14:paraId="02AF2742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0B62982" w14:textId="77777777" w:rsidR="002D0725" w:rsidRDefault="00F92F3E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SHORT </w:t>
            </w:r>
            <w:r w:rsidR="002D0725">
              <w:rPr>
                <w:rFonts w:ascii="Arial" w:hAnsi="Arial" w:cs="Arial"/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632C82" w14:textId="223D172A" w:rsidR="002D0725" w:rsidRDefault="00814B62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use case describes the event where the user wants to register for a competition. The user will access the competitions schedule and see all the competitions that are available for them to register for. </w:t>
            </w:r>
            <w:r w:rsidR="005247D0">
              <w:rPr>
                <w:rFonts w:ascii="Arial" w:hAnsi="Arial" w:cs="Arial"/>
              </w:rPr>
              <w:t xml:space="preserve">Once the user has made the appropriate payment, they can register for the competition. The user’s schedule will be updated accordingly. </w:t>
            </w:r>
          </w:p>
        </w:tc>
      </w:tr>
      <w:tr w:rsidR="002D0725" w14:paraId="479B5ECB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1481D304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88F13C" w14:textId="653A5C21" w:rsidR="002D0725" w:rsidRDefault="003D6F10" w:rsidP="003D6F10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is an athlete.</w:t>
            </w:r>
          </w:p>
        </w:tc>
      </w:tr>
      <w:tr w:rsidR="002D0725" w14:paraId="37EE1AF8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E905CF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4BA461" w14:textId="259E7618" w:rsidR="002D0725" w:rsidRDefault="003D6F10" w:rsidP="003D6F10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This use case is initiated when the athlete opens up the competitions schedule.</w:t>
            </w:r>
          </w:p>
        </w:tc>
      </w:tr>
      <w:tr w:rsidR="002D0725" w14:paraId="420FAC2F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8D6E24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0C730F3" w14:textId="77777777" w:rsidR="002D0725" w:rsidRDefault="002D072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AD93E5" w14:textId="77777777" w:rsidR="002D0725" w:rsidRDefault="002D0725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2D0725" w14:paraId="6E9ECB9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E4D4CFB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268F251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C8E5FAF" w14:textId="1AD37383" w:rsidR="002D0725" w:rsidRDefault="002D07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623763">
              <w:rPr>
                <w:rFonts w:ascii="Arial" w:hAnsi="Arial" w:cs="Arial"/>
                <w:sz w:val="20"/>
              </w:rPr>
              <w:t>The user clicks the button to access the competitions schedule.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F99A3C" w14:textId="783AD5C6" w:rsidR="002D0725" w:rsidRDefault="002D07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623763">
              <w:rPr>
                <w:rFonts w:ascii="Arial" w:hAnsi="Arial" w:cs="Arial"/>
                <w:sz w:val="20"/>
              </w:rPr>
              <w:t>The system displays the competitions schedule that the user can register for.</w:t>
            </w:r>
          </w:p>
        </w:tc>
      </w:tr>
      <w:tr w:rsidR="002D0725" w14:paraId="4D4D615E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5CF50086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E21F603" w14:textId="635267A9" w:rsidR="002D0725" w:rsidRDefault="00623763">
            <w:pPr>
              <w:rPr>
                <w:rFonts w:ascii="Arial" w:hAnsi="Arial" w:cs="Arial"/>
                <w:sz w:val="20"/>
              </w:rPr>
            </w:pPr>
            <w:r w:rsidRPr="00623763">
              <w:rPr>
                <w:rFonts w:ascii="Arial" w:hAnsi="Arial" w:cs="Arial"/>
                <w:b/>
                <w:bCs/>
                <w:sz w:val="20"/>
              </w:rPr>
              <w:t>Step 3</w:t>
            </w:r>
            <w:r>
              <w:rPr>
                <w:rFonts w:ascii="Arial" w:hAnsi="Arial" w:cs="Arial"/>
                <w:sz w:val="20"/>
              </w:rPr>
              <w:t>: The user selects the competition they want to register for.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7A90E" w14:textId="49D4905C" w:rsidR="002D0725" w:rsidRDefault="00623763">
            <w:pPr>
              <w:rPr>
                <w:rFonts w:ascii="Arial" w:hAnsi="Arial" w:cs="Arial"/>
                <w:sz w:val="20"/>
              </w:rPr>
            </w:pPr>
            <w:r w:rsidRPr="00623763">
              <w:rPr>
                <w:rFonts w:ascii="Arial" w:hAnsi="Arial" w:cs="Arial"/>
                <w:b/>
                <w:bCs/>
                <w:sz w:val="20"/>
              </w:rPr>
              <w:t>Step 4</w:t>
            </w:r>
            <w:r>
              <w:rPr>
                <w:rFonts w:ascii="Arial" w:hAnsi="Arial" w:cs="Arial"/>
                <w:sz w:val="20"/>
              </w:rPr>
              <w:t>: Make Payment use case.</w:t>
            </w:r>
          </w:p>
        </w:tc>
      </w:tr>
      <w:tr w:rsidR="002D0725" w14:paraId="4A2372AE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2C9D207A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2F3AD2E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4794C6" w14:textId="3929A6BB" w:rsidR="002D0725" w:rsidRDefault="00623763">
            <w:pPr>
              <w:rPr>
                <w:rFonts w:ascii="Arial" w:hAnsi="Arial" w:cs="Arial"/>
                <w:sz w:val="20"/>
              </w:rPr>
            </w:pPr>
            <w:r w:rsidRPr="00623763">
              <w:rPr>
                <w:rFonts w:ascii="Arial" w:hAnsi="Arial" w:cs="Arial"/>
                <w:b/>
                <w:bCs/>
                <w:sz w:val="20"/>
              </w:rPr>
              <w:t>Step 5</w:t>
            </w:r>
            <w:r>
              <w:rPr>
                <w:rFonts w:ascii="Arial" w:hAnsi="Arial" w:cs="Arial"/>
                <w:sz w:val="20"/>
              </w:rPr>
              <w:t>: Update the athlete’s schedule with the new competition</w:t>
            </w:r>
            <w:r w:rsidR="00F15688">
              <w:rPr>
                <w:rFonts w:ascii="Arial" w:hAnsi="Arial" w:cs="Arial"/>
                <w:sz w:val="20"/>
              </w:rPr>
              <w:t xml:space="preserve"> and record the athlete’s participation.</w:t>
            </w:r>
          </w:p>
        </w:tc>
      </w:tr>
      <w:tr w:rsidR="002D0725" w14:paraId="1349733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CF355B3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E2BA1B9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E80D0C" w14:textId="1B6A97E8" w:rsidR="002D0725" w:rsidRDefault="00623763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Step 6: </w:t>
            </w:r>
            <w:r w:rsidRPr="00623763">
              <w:rPr>
                <w:rFonts w:ascii="Arial" w:hAnsi="Arial" w:cs="Arial"/>
                <w:bCs/>
                <w:sz w:val="20"/>
              </w:rPr>
              <w:t>Redirect the user to their schedule.</w:t>
            </w:r>
          </w:p>
        </w:tc>
      </w:tr>
      <w:tr w:rsidR="002D0725" w14:paraId="16292BDC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03D576AC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F3663BA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9C95BC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2621578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84533D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37A2D78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2F140F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6DF976B2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8275B83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EE9465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BFBE70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0ECC2B6D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164B8AB8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B1578A7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C2874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5FF279EC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9AAA168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1FEDE16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9ABA87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0ADD95AF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743C4B5E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243FEC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1B5146E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80785F" w14:paraId="13B7D48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1C40641" w14:textId="77777777" w:rsidR="0080785F" w:rsidRDefault="0080785F" w:rsidP="0080785F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0830E7D9" w14:textId="77777777" w:rsidR="0080785F" w:rsidRDefault="0080785F" w:rsidP="0080785F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73B299A" w14:textId="17B8C699" w:rsidR="0080785F" w:rsidRDefault="0080785F" w:rsidP="0080785F">
            <w:pPr>
              <w:rPr>
                <w:rFonts w:ascii="Arial" w:hAnsi="Arial" w:cs="Arial"/>
                <w:sz w:val="20"/>
              </w:rPr>
            </w:pPr>
            <w:r w:rsidRPr="00750CEA">
              <w:rPr>
                <w:rFonts w:ascii="Arial" w:hAnsi="Arial" w:cs="Arial"/>
                <w:b/>
                <w:bCs/>
                <w:sz w:val="20"/>
              </w:rPr>
              <w:t>Alt-Step 4</w:t>
            </w:r>
            <w:r>
              <w:rPr>
                <w:rFonts w:ascii="Arial" w:hAnsi="Arial" w:cs="Arial"/>
                <w:sz w:val="20"/>
              </w:rPr>
              <w:t>: If there was a problem and the Make Payment was not successful, then do not update the schedule and go to step 6.</w:t>
            </w:r>
          </w:p>
        </w:tc>
      </w:tr>
      <w:tr w:rsidR="0080785F" w14:paraId="48F79630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E6057B8" w14:textId="77777777" w:rsidR="0080785F" w:rsidRDefault="0080785F" w:rsidP="0080785F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111F52D" w14:textId="3E53B99C" w:rsidR="0080785F" w:rsidRPr="0080785F" w:rsidRDefault="0080785F" w:rsidP="0080785F">
            <w:pPr>
              <w:rPr>
                <w:rFonts w:ascii="Arial" w:hAnsi="Arial" w:cs="Arial"/>
                <w:sz w:val="20"/>
              </w:rPr>
            </w:pPr>
            <w:r w:rsidRPr="00750CEA">
              <w:rPr>
                <w:rFonts w:ascii="Arial" w:hAnsi="Arial" w:cs="Arial"/>
                <w:b/>
                <w:bCs/>
                <w:sz w:val="20"/>
              </w:rPr>
              <w:t xml:space="preserve">Alt-Step </w:t>
            </w:r>
            <w:r>
              <w:rPr>
                <w:rFonts w:ascii="Arial" w:hAnsi="Arial" w:cs="Arial"/>
                <w:b/>
                <w:bCs/>
                <w:sz w:val="20"/>
              </w:rPr>
              <w:t>5</w:t>
            </w:r>
            <w:r>
              <w:rPr>
                <w:rFonts w:ascii="Arial" w:hAnsi="Arial" w:cs="Arial"/>
                <w:sz w:val="20"/>
              </w:rPr>
              <w:t>: If the timeslot conflicts with the athletes preexisting schedule, then there will be an error message and no changes will be made to any schedules.</w:t>
            </w:r>
          </w:p>
        </w:tc>
      </w:tr>
      <w:tr w:rsidR="0080785F" w14:paraId="3154316E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5D499D48" w14:textId="77777777" w:rsidR="0080785F" w:rsidRDefault="0080785F" w:rsidP="0080785F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C23B7EF" w14:textId="77777777" w:rsidR="0080785F" w:rsidRDefault="0080785F" w:rsidP="0080785F">
            <w:pPr>
              <w:rPr>
                <w:rFonts w:ascii="Arial" w:hAnsi="Arial" w:cs="Arial"/>
                <w:sz w:val="20"/>
              </w:rPr>
            </w:pPr>
          </w:p>
        </w:tc>
      </w:tr>
      <w:tr w:rsidR="0080785F" w14:paraId="1329F7C2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5F90821" w14:textId="77777777" w:rsidR="0080785F" w:rsidRDefault="0080785F" w:rsidP="0080785F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DB9922F" w14:textId="77777777" w:rsidR="0080785F" w:rsidRDefault="0080785F" w:rsidP="0080785F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80785F" w14:paraId="60B0AE18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4C12896B" w14:textId="77777777" w:rsidR="0080785F" w:rsidRDefault="0080785F" w:rsidP="0080785F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E2EB3B2" w14:textId="77777777" w:rsidR="0080785F" w:rsidRDefault="0080785F" w:rsidP="0080785F">
            <w:pPr>
              <w:rPr>
                <w:rFonts w:ascii="Arial" w:hAnsi="Arial" w:cs="Arial"/>
                <w:sz w:val="20"/>
              </w:rPr>
            </w:pPr>
          </w:p>
        </w:tc>
      </w:tr>
      <w:tr w:rsidR="0080785F" w14:paraId="4CB8E341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513C76D" w14:textId="77777777" w:rsidR="0080785F" w:rsidRDefault="0080785F" w:rsidP="0080785F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2D69258" w14:textId="77777777" w:rsidR="0080785F" w:rsidRDefault="0080785F" w:rsidP="0080785F">
            <w:pPr>
              <w:rPr>
                <w:rFonts w:ascii="Arial" w:hAnsi="Arial" w:cs="Arial"/>
                <w:sz w:val="20"/>
              </w:rPr>
            </w:pPr>
          </w:p>
        </w:tc>
      </w:tr>
      <w:tr w:rsidR="00F15688" w14:paraId="1BB6535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BF311AC" w14:textId="77777777" w:rsidR="00F15688" w:rsidRDefault="00F15688" w:rsidP="00F1568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6F9E440" w14:textId="6ADD8871" w:rsidR="00F15688" w:rsidRDefault="00F15688" w:rsidP="00F1568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This use case concludes when the athlete is redirected to their schedule.</w:t>
            </w:r>
          </w:p>
        </w:tc>
      </w:tr>
      <w:tr w:rsidR="00F15688" w14:paraId="3F4F139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CA77C75" w14:textId="77777777" w:rsidR="00F15688" w:rsidRDefault="00F15688" w:rsidP="00F1568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05E5E2A" w14:textId="6FCA7E89" w:rsidR="00F15688" w:rsidRDefault="00F15688" w:rsidP="00F15688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new competition is added into the athlete’s schedule.</w:t>
            </w:r>
          </w:p>
        </w:tc>
      </w:tr>
      <w:tr w:rsidR="00F15688" w14:paraId="0D43FC0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57AECF96" w14:textId="77777777" w:rsidR="00F15688" w:rsidRDefault="00F15688" w:rsidP="00F1568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85E85E8" w14:textId="77777777" w:rsidR="00F15688" w:rsidRDefault="00F15688" w:rsidP="00F15688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</w:p>
        </w:tc>
      </w:tr>
      <w:tr w:rsidR="00F15688" w14:paraId="6D24021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0427B3B2" w14:textId="77777777" w:rsidR="00F15688" w:rsidRDefault="00F15688" w:rsidP="00F1568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IMPLEMENTATION CONSTRAINTS AND 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02255469" w14:textId="50EC2B69" w:rsidR="00F15688" w:rsidRDefault="00DD7DCD" w:rsidP="00F15688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system should keep track of all the athletes in a competition. The system should also keep a log of every time an athlete registers for a competition.</w:t>
            </w:r>
          </w:p>
        </w:tc>
      </w:tr>
      <w:tr w:rsidR="00F15688" w14:paraId="4E3D252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970B37B" w14:textId="77777777" w:rsidR="00F15688" w:rsidRDefault="00F15688" w:rsidP="00F1568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13A2239E" w14:textId="524FABA4" w:rsidR="00F15688" w:rsidRDefault="00741787" w:rsidP="00F15688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Athlete is logged into their account.</w:t>
            </w:r>
          </w:p>
        </w:tc>
      </w:tr>
      <w:tr w:rsidR="00F15688" w14:paraId="0D6926DE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AC68729" w14:textId="77777777" w:rsidR="00F15688" w:rsidRDefault="00F15688" w:rsidP="00F15688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3BE265" w14:textId="77777777" w:rsidR="00F15688" w:rsidRDefault="00F15688" w:rsidP="00F15688">
            <w:pPr>
              <w:numPr>
                <w:ilvl w:val="0"/>
                <w:numId w:val="3"/>
              </w:numPr>
              <w:tabs>
                <w:tab w:val="num" w:pos="432"/>
              </w:tabs>
              <w:rPr>
                <w:rFonts w:ascii="Arial" w:hAnsi="Arial" w:cs="Arial"/>
                <w:sz w:val="20"/>
              </w:rPr>
            </w:pPr>
          </w:p>
        </w:tc>
      </w:tr>
    </w:tbl>
    <w:p w14:paraId="1604D4E3" w14:textId="77777777" w:rsidR="002D0725" w:rsidRDefault="002D0725">
      <w:pPr>
        <w:rPr>
          <w:rFonts w:ascii="Arial" w:hAnsi="Arial" w:cs="Arial"/>
          <w:sz w:val="20"/>
        </w:rPr>
      </w:pPr>
    </w:p>
    <w:sectPr w:rsidR="002D0725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3E"/>
    <w:rsid w:val="001F4AE2"/>
    <w:rsid w:val="002D0725"/>
    <w:rsid w:val="003D6F10"/>
    <w:rsid w:val="005247D0"/>
    <w:rsid w:val="00623763"/>
    <w:rsid w:val="006F0BF7"/>
    <w:rsid w:val="00710907"/>
    <w:rsid w:val="00741787"/>
    <w:rsid w:val="0080785F"/>
    <w:rsid w:val="00814B62"/>
    <w:rsid w:val="00A53254"/>
    <w:rsid w:val="00DB6726"/>
    <w:rsid w:val="00DD7DCD"/>
    <w:rsid w:val="00F15688"/>
    <w:rsid w:val="00F617C0"/>
    <w:rsid w:val="00F9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3E93875"/>
  <w15:chartTrackingRefBased/>
  <w15:docId w15:val="{58FD1117-8CB9-0245-A12E-F218B471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 Services System</vt:lpstr>
    </vt:vector>
  </TitlesOfParts>
  <Company>Purdue University</Company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 Services System</dc:title>
  <dc:subject/>
  <dc:creator>School of Technology</dc:creator>
  <cp:keywords/>
  <dc:description/>
  <cp:lastModifiedBy>Michael Kwan</cp:lastModifiedBy>
  <cp:revision>8</cp:revision>
  <dcterms:created xsi:type="dcterms:W3CDTF">2020-04-20T11:11:00Z</dcterms:created>
  <dcterms:modified xsi:type="dcterms:W3CDTF">2020-04-21T11:35:00Z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-1890627053</vt:i4>
  </property>
  <property fmtid="{D5CDD505-2E9C-101B-9397-08002B2CF9AE}" pid="3" name="_EmailSubject">
    <vt:lpwstr>Student CD</vt:lpwstr>
  </property>
  <property fmtid="{D5CDD505-2E9C-101B-9397-08002B2CF9AE}" pid="4" name="_AuthorEmail">
    <vt:lpwstr>ldbentley@tech.purdue.edu</vt:lpwstr>
  </property>
  <property fmtid="{D5CDD505-2E9C-101B-9397-08002B2CF9AE}" pid="5" name="_AuthorEmailDisplayName">
    <vt:lpwstr>Bentley, Lonnie D.</vt:lpwstr>
  </property>
  <property fmtid="{D5CDD505-2E9C-101B-9397-08002B2CF9AE}" pid="6" name="_ReviewingToolsShownOnce">
    <vt:lpwstr/>
  </property>
</Properties>
</file>