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Harbor Relay pilot review memo</w:t>
      </w:r>
    </w:p>
    <w:p>
      <w:r>
        <w:rPr>
          <w:b/>
        </w:rPr>
        <w:t>Version 1 working baseline — for review against version 2</w:t>
      </w:r>
    </w:p>
    <w:p>
      <w:r>
        <w:rPr>
          <w:i/>
        </w:rPr>
        <w:t>Matter: the internal record · US pilot launch 21 October 2026</w:t>
      </w:r>
    </w:p>
    <w:p>
      <w:pPr>
        <w:pStyle w:val="Quote"/>
      </w:pPr>
      <w:r>
        <w:rPr>
          <w:b/>
        </w:rPr>
        <w:t>Status note:</w:t>
      </w:r>
      <w:r>
        <w:rPr/>
        <w:t xml:space="preserve"> This memo is a </w:t>
      </w:r>
      <w:r>
        <w:rPr>
          <w:b/>
        </w:rPr>
        <w:t>version 1 working baseline</w:t>
      </w:r>
      <w:r>
        <w:rPr/>
        <w:t xml:space="preserve"> built from the supplied specification v1 and the original saved advice. It reflects a </w:t>
      </w:r>
      <w:r>
        <w:rPr>
          <w:b/>
        </w:rPr>
        <w:t>30-day report retention, customer-only access, and support access unconfirmed</w:t>
      </w:r>
      <w:r>
        <w:rPr/>
        <w:t>.) It must be reviewed against specification version 2 (which changes retention to 180 days and specifies ticket-only, logged support access) before any conclusion is relied on. No legal decision is recorded and no final draft exists.</w:t>
      </w:r>
    </w:p>
    <w:p>
      <w:pPr>
        <w:pStyle w:val="Heading2"/>
      </w:pPr>
      <w:r>
        <w:rPr/>
        <w:t>Summary</w:t>
      </w:r>
    </w:p>
    <w:p>
      <w:r>
        <w:rPr/>
        <w:t>Harbor Relay is planned for a US pilot launching 21 October 2026. The product sends an account activity report to the customer. Under the version 1 baseline, reports are retained for 30 days and only the customer can open them; whether support staff can open reports is unconfirmed. Because the report contains customer transaction/account data, the retention period and the access model are privacy and data-access controls that should be confirmed and documented before launch. This memo is a baseline only and needs review against version 2.</w:t>
      </w:r>
    </w:p>
    <w:p>
      <w:pPr>
        <w:pStyle w:val="Heading2"/>
      </w:pPr>
      <w:r>
        <w:rPr/>
        <w:t>Retention</w:t>
      </w:r>
    </w:p>
    <w:p>
      <w:pPr>
        <w:pStyle w:val="ListBullet"/>
      </w:pPr>
      <w:r>
        <w:rPr>
          <w:b/>
        </w:rPr>
        <w:t>Baseline (v2):</w:t>
      </w:r>
      <w:r>
        <w:rPr/>
        <w:t xml:space="preserve"> Reports are retained for </w:t>
      </w:r>
      <w:r>
        <w:rPr>
          <w:b/>
        </w:rPr>
        <w:t>180 days</w:t>
      </w:r>
      <w:r>
        <w:rPr/>
        <w:t>.</w:t>
      </w:r>
    </w:p>
    <w:p>
      <w:pPr>
        <w:pStyle w:val="ListBullet"/>
      </w:pPr>
      <w:r>
        <w:rPr/>
        <w:t>The 180-day window should be confirmed as deliberate and consistent with any data-minimization or deletion commitments.</w:t>
      </w:r>
    </w:p>
    <w:p>
      <w:pPr>
        <w:pStyle w:val="ListBullet"/>
      </w:pPr>
      <w:r>
        <w:rPr>
          <w:b/>
        </w:rPr>
        <w:t>Review point:</w:t>
      </w:r>
      <w:r>
        <w:rPr/>
        <w:t xml:space="preserve"> Version 2 changes retention to </w:t>
      </w:r>
      <w:r>
        <w:rPr>
          <w:b/>
        </w:rPr>
        <w:t>180 days</w:t>
      </w:r>
      <w:r>
        <w:rPr/>
        <w:t>. That is a materially longer window and must be reviewed on its own — the business rationale, consistency with deletion/data-minimization commitments, and whether the longer window is disclosed.</w:t>
      </w:r>
    </w:p>
    <w:p>
      <w:pPr>
        <w:pStyle w:val="Heading2"/>
      </w:pPr>
      <w:r>
        <w:rPr/>
        <w:t>Support access</w:t>
      </w:r>
    </w:p>
    <w:p>
      <w:pPr>
        <w:pStyle w:val="ListBullet"/>
      </w:pPr>
      <w:r>
        <w:rPr>
          <w:b/>
        </w:rPr>
        <w:t>Baseline (v1):</w:t>
      </w:r>
      <w:r>
        <w:rPr/>
        <w:t xml:space="preserve"> The supplied specification states only the customer can open reports; support access is </w:t>
      </w:r>
      <w:r>
        <w:rPr>
          <w:b/>
        </w:rPr>
        <w:t>unconfirmed</w:t>
      </w:r>
      <w:r>
        <w:rPr/>
        <w:t>.</w:t>
      </w:r>
    </w:p>
    <w:p>
      <w:pPr>
        <w:pStyle w:val="ListBullet"/>
      </w:pPr>
      <w:r>
        <w:rPr>
          <w:b/>
        </w:rPr>
        <w:t>Reported (not independently verified):</w:t>
      </w:r>
      <w:r>
        <w:rPr/>
        <w:t xml:space="preserve"> Sam Patel reports that support can open a report only for a customer support ticket, and every access is logged. This is a reported fact, not a verified one.</w:t>
      </w:r>
    </w:p>
    <w:p>
      <w:pPr>
        <w:pStyle w:val="ListBullet"/>
      </w:pPr>
      <w:r>
        <w:rPr>
          <w:b/>
        </w:rPr>
        <w:t>Review point:</w:t>
      </w:r>
      <w:r>
        <w:rPr/>
        <w:t xml:space="preserve"> Version 2 specifies that customers and support staff can open reports, with support access requiring a customer support ticket and being logged. If that is the intended model, the earlier "only the customer can open" language is superseded, and any customer-facing disclosure should reflect the actual access model.</w:t>
      </w:r>
    </w:p>
    <w:p>
      <w:pPr>
        <w:pStyle w:val="Heading2"/>
      </w:pPr>
      <w:r>
        <w:rPr/>
        <w:t>Open items</w:t>
      </w:r>
    </w:p>
    <w:p>
      <w:pPr>
        <w:pStyle w:val="ListBullet"/>
      </w:pPr>
      <w:r>
        <w:rPr/>
        <w:t>Confirm the intended retention period (30 vs 180 days) and the rationale for any change.</w:t>
      </w:r>
    </w:p>
    <w:p>
      <w:pPr>
        <w:pStyle w:val="ListBullet"/>
      </w:pPr>
      <w:r>
        <w:rPr/>
        <w:t>Confirm the intended support-access model: ticket-only and logged (per Sam Patel's report and v2) versus customer-only (per v1).</w:t>
      </w:r>
    </w:p>
    <w:p>
      <w:pPr>
        <w:pStyle w:val="ListBullet"/>
      </w:pPr>
      <w:r>
        <w:rPr/>
        <w:t>Confirm whether the "only the customer can open" access statement needs reconciling with any support access.</w:t>
      </w:r>
    </w:p>
    <w:p>
      <w:pPr>
        <w:pStyle w:val="ListBullet"/>
      </w:pPr>
      <w:r>
        <w:rPr/>
        <w:t>Confirm whether the ticket-gating and logging controls are sufficient and implemented as described.</w:t>
      </w:r>
    </w:p>
    <w:p>
      <w:pPr>
        <w:pStyle w:val="ListBullet"/>
      </w:pPr>
      <w:r>
        <w:rPr/>
        <w:t>Confirm whether the 30/180-day retention is disclosed to customers.</w:t>
      </w:r>
    </w:p>
    <w:p/>
    <w:p>
      <w:pPr>
        <w:pStyle w:val="Heading2"/>
      </w:pPr>
      <w:r>
        <w:rPr/>
        <w:t>Lawyer note</w:t>
      </w:r>
    </w:p>
    <w:p>
      <w:r>
        <w:rPr/>
        <w:t>Preserve this exact qualification: Sam Patel reported ticket-only logged support access; implementation and the retention rationale remain unverified.</w:t>
      </w:r>
    </w:p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harbor-relay-pilot-review-memo-55b2ed.md</dc:title>
  <dc:subject/>
  <dc:creator>Themis.ai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