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Launch advice</w:t>
      </w:r>
    </w:p>
    <w:p/>
    <w:p>
      <w:r>
        <w:rPr/>
        <w:t>Confirm audience and identifier use before release.</w:t>
      </w:r>
    </w:p>
    <w:p/>
    <w:p>
      <w:r>
        <w:rPr/>
        <w:t>Read the product specification and</w:t>
      </w:r>
      <w:r>
        <w:rPr/>
        <w:t xml:space="preserve"> </w:t>
      </w:r>
    </w:p>
    <w:p/>
    <w:p>
      <w:r>
        <w:rPr/>
        <w:t>definitions.</w:t>
      </w:r>
    </w:p>
    <w:p/>
    <w:p>
      <w:r>
        <w:rPr/>
        <w:t>UNSAVED A: Keep the audience review open.</w:t>
      </w:r>
    </w:p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launch-advice-5d7c27.md</dc:title>
  <dc:subject/>
  <dc:creator>Themis.ai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