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80" w:line="240" w:lineRule="auto"/>
      </w:pPr>
      <w:r>
        <w:rPr>
          <w:rFonts w:ascii="Calibri" w:hAnsi="Calibri"/>
          <w:b/>
          <w:color w:val="2E74B5"/>
          <w:sz w:val="20"/>
        </w:rPr>
        <w:t>MARKET RESEARCH BRIEF</w:t>
      </w:r>
    </w:p>
    <w:p>
      <w:pPr>
        <w:keepNext w:val="0"/>
        <w:spacing w:before="0" w:after="100" w:line="240" w:lineRule="auto"/>
      </w:pPr>
      <w:r>
        <w:rPr>
          <w:rFonts w:ascii="Calibri" w:hAnsi="Calibri"/>
          <w:b/>
          <w:color w:val="0B2545"/>
          <w:sz w:val="44"/>
        </w:rPr>
        <w:t>Why small legal teams choose ChatGPT or Claude - and what CounselOS must add</w:t>
      </w:r>
    </w:p>
    <w:p>
      <w:pPr>
        <w:keepNext w:val="0"/>
        <w:spacing w:before="0" w:after="320" w:line="240" w:lineRule="auto"/>
      </w:pPr>
      <w:r>
        <w:rPr>
          <w:rFonts w:ascii="Calibri" w:hAnsi="Calibri"/>
          <w:color w:val="5B6573"/>
          <w:sz w:val="26"/>
        </w:rPr>
        <w:t>Reddit evidence on Harvey, Legora, CoCounsel, GC AI, and the practical paid-workspace opportunity</w:t>
      </w:r>
    </w:p>
    <w:tbl>
      <w:tblPr>
        <w:tblStyle w:val="TableGrid"/>
        <w:tblW w:type="dxa" w:w="9360"/>
        <w:jc w:val="left"/>
        <w:tblLayout w:type="fixed"/>
        <w:tblLook w:firstColumn="1" w:firstRow="1" w:lastColumn="0" w:lastRow="0" w:noHBand="0" w:noVBand="1" w:val="04A0"/>
        <w:tblInd w:w="120" w:type="dxa"/>
      </w:tblPr>
      <w:tblGrid>
        <w:gridCol w:w="1440"/>
        <w:gridCol w:w="7920"/>
      </w:tblGrid>
      <w:tr>
        <w:tc>
          <w:tcPr>
            <w:tcW w:type="dxa" w:w="144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20"/>
              </w:rPr>
              <w:t>Prepared for</w:t>
            </w:r>
          </w:p>
        </w:tc>
        <w:tc>
          <w:tcPr>
            <w:tcW w:type="dxa" w:w="7920"/>
            <w:tcMar>
              <w:top w:w="80" w:type="dxa"/>
              <w:start w:w="120" w:type="dxa"/>
              <w:bottom w:w="80" w:type="dxa"/>
              <w:end w:w="120" w:type="dxa"/>
            </w:tcMar>
            <w:vAlign w:val="center"/>
          </w:tcPr>
          <w:p>
            <w:pPr>
              <w:keepNext w:val="0"/>
              <w:spacing w:before="0" w:after="0" w:line="240" w:lineRule="auto"/>
            </w:pPr>
            <w:r>
              <w:rPr>
                <w:rFonts w:ascii="Calibri" w:hAnsi="Calibri"/>
                <w:color w:val="0B2545"/>
                <w:sz w:val="20"/>
              </w:rPr>
              <w:t>CounselOS product strategy</w:t>
            </w:r>
          </w:p>
        </w:tc>
      </w:tr>
      <w:tr>
        <w:tc>
          <w:tcPr>
            <w:tcW w:type="dxa" w:w="144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20"/>
              </w:rPr>
              <w:t>Date</w:t>
            </w:r>
          </w:p>
        </w:tc>
        <w:tc>
          <w:tcPr>
            <w:tcW w:type="dxa" w:w="7920"/>
            <w:tcMar>
              <w:top w:w="80" w:type="dxa"/>
              <w:start w:w="120" w:type="dxa"/>
              <w:bottom w:w="80" w:type="dxa"/>
              <w:end w:w="120" w:type="dxa"/>
            </w:tcMar>
            <w:vAlign w:val="center"/>
          </w:tcPr>
          <w:p>
            <w:pPr>
              <w:keepNext w:val="0"/>
              <w:spacing w:before="0" w:after="0" w:line="240" w:lineRule="auto"/>
            </w:pPr>
            <w:r>
              <w:rPr>
                <w:rFonts w:ascii="Calibri" w:hAnsi="Calibri"/>
                <w:color w:val="0B2545"/>
                <w:sz w:val="20"/>
              </w:rPr>
              <w:t>August 31, 2026</w:t>
            </w:r>
          </w:p>
        </w:tc>
      </w:tr>
      <w:tr>
        <w:tc>
          <w:tcPr>
            <w:tcW w:type="dxa" w:w="144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20"/>
              </w:rPr>
              <w:t>Research scope</w:t>
            </w:r>
          </w:p>
        </w:tc>
        <w:tc>
          <w:tcPr>
            <w:tcW w:type="dxa" w:w="7920"/>
            <w:tcMar>
              <w:top w:w="80" w:type="dxa"/>
              <w:start w:w="120" w:type="dxa"/>
              <w:bottom w:w="80" w:type="dxa"/>
              <w:end w:w="120" w:type="dxa"/>
            </w:tcMar>
            <w:vAlign w:val="center"/>
          </w:tcPr>
          <w:p>
            <w:pPr>
              <w:keepNext w:val="0"/>
              <w:spacing w:before="0" w:after="0" w:line="240" w:lineRule="auto"/>
            </w:pPr>
            <w:r>
              <w:rPr>
                <w:rFonts w:ascii="Calibri" w:hAnsi="Calibri"/>
                <w:color w:val="0B2545"/>
                <w:sz w:val="20"/>
              </w:rPr>
              <w:t>Two Luna-medium agent waves across r/LegalTech and lawyer-centered Reddit communities</w:t>
            </w:r>
          </w:p>
        </w:tc>
      </w:tr>
      <w:tr>
        <w:tc>
          <w:tcPr>
            <w:tcW w:type="dxa" w:w="144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20"/>
              </w:rPr>
              <w:t>Evidence standard</w:t>
            </w:r>
          </w:p>
        </w:tc>
        <w:tc>
          <w:tcPr>
            <w:tcW w:type="dxa" w:w="7920"/>
            <w:tcMar>
              <w:top w:w="80" w:type="dxa"/>
              <w:start w:w="120" w:type="dxa"/>
              <w:bottom w:w="80" w:type="dxa"/>
              <w:end w:w="120" w:type="dxa"/>
            </w:tcMar>
            <w:vAlign w:val="center"/>
          </w:tcPr>
          <w:p>
            <w:pPr>
              <w:keepNext w:val="0"/>
              <w:spacing w:before="0" w:after="0" w:line="240" w:lineRule="auto"/>
            </w:pPr>
            <w:r>
              <w:rPr>
                <w:rFonts w:ascii="Calibri" w:hAnsi="Calibri"/>
                <w:color w:val="0B2545"/>
                <w:sz w:val="20"/>
              </w:rPr>
              <w:t>Firsthand reports prioritized; anonymous, vendor-linked, hearsay, and duplicate claims marked as lower confidence</w:t>
            </w:r>
          </w:p>
        </w:tc>
      </w:tr>
    </w:tbl>
    <w:p>
      <w:pPr>
        <w:spacing w:after="1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Bottom line</w:t>
            </w:r>
          </w:p>
          <w:p>
            <w:pPr>
              <w:keepNext w:val="0"/>
              <w:spacing w:before="0" w:after="0" w:line="264" w:lineRule="auto"/>
            </w:pPr>
            <w:r>
              <w:rPr>
                <w:rFonts w:ascii="Calibri" w:hAnsi="Calibri"/>
                <w:color w:val="0B2545"/>
                <w:sz w:val="22"/>
              </w:rPr>
              <w:t>Small teams do not want to pay for a legal label, a prompt library, or generic drafting. They may pay for a durable matter workspace that reduces repeated context setup, proves document coverage, links work to sources, and keeps the next action visible while they continue to use their preferred frontier model.</w:t>
            </w:r>
          </w:p>
        </w:tc>
      </w:tr>
    </w:tbl>
    <w:p>
      <w:pPr>
        <w:spacing w:after="80"/>
      </w:pPr>
    </w:p>
    <w:p>
      <w:r>
        <w:br w:type="page"/>
      </w:r>
    </w:p>
    <w:p>
      <w:pPr>
        <w:pStyle w:val="Heading1"/>
        <w:keepNext/>
        <w:spacing w:before="320" w:after="160" w:line="240" w:lineRule="auto"/>
      </w:pPr>
      <w:r>
        <w:rPr>
          <w:rFonts w:ascii="Calibri" w:hAnsi="Calibri"/>
          <w:b/>
          <w:color w:val="2E74B5"/>
          <w:sz w:val="32"/>
        </w:rPr>
        <w:t>Executive summary</w:t>
      </w:r>
    </w:p>
    <w:p>
      <w:pPr>
        <w:keepNext w:val="0"/>
        <w:spacing w:before="0" w:after="120" w:line="264" w:lineRule="auto"/>
      </w:pPr>
      <w:r>
        <w:rPr>
          <w:rFonts w:ascii="Calibri" w:hAnsi="Calibri"/>
          <w:color w:val="0B2545"/>
          <w:sz w:val="22"/>
        </w:rPr>
        <w:t>The strongest Reddit pattern is not that specialist legal products are useless. It is that their value is operational rather than model-based. Small firms and legal teams often see ChatGPT or Claude as better value for raw drafting, broad commercial reasoning, speed, price, and flexibility. They retain Westlaw, Lexis, or another controlled source for authoritative research.</w:t>
      </w:r>
    </w:p>
    <w:p>
      <w:pPr>
        <w:keepNext w:val="0"/>
        <w:spacing w:before="0" w:after="120" w:line="264" w:lineRule="auto"/>
      </w:pPr>
      <w:r>
        <w:rPr>
          <w:rFonts w:ascii="Calibri" w:hAnsi="Calibri"/>
          <w:color w:val="0B2545"/>
          <w:sz w:val="22"/>
        </w:rPr>
        <w:t>Paid legal products earn consideration when they reduce work that a general chat tool leaves behind: source checking, review of large document sets, persistent matter context, standardized reusable work, and low-friction handoffs. The evidence for superior legal reasoning from Harvey, Legora, CoCounsel, or GC AI is weak and contradictory.</w:t>
      </w:r>
    </w:p>
    <w:tbl>
      <w:tblPr>
        <w:tblStyle w:val="TableGrid"/>
        <w:tblW w:type="dxa" w:w="9360"/>
        <w:jc w:val="left"/>
        <w:tblLayout w:type="fixed"/>
        <w:tblLook w:firstColumn="1" w:firstRow="1" w:lastColumn="0" w:lastRow="0" w:noHBand="0" w:noVBand="1" w:val="04A0"/>
        <w:tblInd w:w="120" w:type="dxa"/>
      </w:tblPr>
      <w:tblGrid>
        <w:gridCol w:w="2700"/>
        <w:gridCol w:w="1900"/>
        <w:gridCol w:w="4760"/>
      </w:tblGrid>
      <w:tr>
        <w:trPr>
          <w:tblHeader w:val="true"/>
        </w:trPr>
        <w:tc>
          <w:tcPr>
            <w:tcW w:type="dxa" w:w="27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9"/>
              </w:rPr>
              <w:t>Finding</w:t>
            </w:r>
          </w:p>
        </w:tc>
        <w:tc>
          <w:tcPr>
            <w:tcW w:type="dxa" w:w="19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9"/>
              </w:rPr>
              <w:t>Evidence strength</w:t>
            </w:r>
          </w:p>
        </w:tc>
        <w:tc>
          <w:tcPr>
            <w:tcW w:type="dxa" w:w="47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9"/>
              </w:rPr>
              <w:t>CounselOS implication</w:t>
            </w:r>
          </w:p>
        </w:tc>
      </w:tr>
      <w:tr>
        <w:tc>
          <w:tcPr>
            <w:tcW w:type="dxa" w:w="2700"/>
          </w:tcPr>
          <w:p>
            <w:pPr>
              <w:keepNext w:val="0"/>
              <w:spacing w:before="0" w:after="0" w:line="252" w:lineRule="auto"/>
            </w:pPr>
            <w:r>
              <w:rPr>
                <w:rFonts w:ascii="Calibri" w:hAnsi="Calibri"/>
                <w:color w:val="0B2545"/>
                <w:sz w:val="19"/>
              </w:rPr>
              <w:t>General models are the low-cost baseline</w:t>
            </w:r>
          </w:p>
        </w:tc>
        <w:tc>
          <w:tcPr>
            <w:tcW w:type="dxa" w:w="1900"/>
          </w:tcPr>
          <w:p>
            <w:pPr>
              <w:keepNext w:val="0"/>
              <w:spacing w:before="0" w:after="0" w:line="252" w:lineRule="auto"/>
            </w:pPr>
            <w:r>
              <w:rPr>
                <w:rFonts w:ascii="Calibri" w:hAnsi="Calibri"/>
                <w:color w:val="0B2545"/>
                <w:sz w:val="19"/>
              </w:rPr>
              <w:t>High</w:t>
            </w:r>
          </w:p>
        </w:tc>
        <w:tc>
          <w:tcPr>
            <w:tcW w:type="dxa" w:w="4760"/>
          </w:tcPr>
          <w:p>
            <w:pPr>
              <w:keepNext w:val="0"/>
              <w:spacing w:before="0" w:after="0" w:line="252" w:lineRule="auto"/>
            </w:pPr>
            <w:r>
              <w:rPr>
                <w:rFonts w:ascii="Calibri" w:hAnsi="Calibri"/>
                <w:color w:val="0B2545"/>
                <w:sz w:val="19"/>
              </w:rPr>
              <w:t>Do not compete on model quality. Support the customer's preferred model.</w:t>
            </w:r>
          </w:p>
        </w:tc>
      </w:tr>
      <w:tr>
        <w:tc>
          <w:tcPr>
            <w:tcW w:type="dxa" w:w="2700"/>
          </w:tcPr>
          <w:p>
            <w:pPr>
              <w:keepNext w:val="0"/>
              <w:spacing w:before="0" w:after="0" w:line="252" w:lineRule="auto"/>
            </w:pPr>
            <w:r>
              <w:rPr>
                <w:rFonts w:ascii="Calibri" w:hAnsi="Calibri"/>
                <w:color w:val="0B2545"/>
                <w:sz w:val="19"/>
              </w:rPr>
              <w:t>Source-linked review is worth paying for</w:t>
            </w:r>
          </w:p>
        </w:tc>
        <w:tc>
          <w:tcPr>
            <w:tcW w:type="dxa" w:w="1900"/>
          </w:tcPr>
          <w:p>
            <w:pPr>
              <w:keepNext w:val="0"/>
              <w:spacing w:before="0" w:after="0" w:line="252" w:lineRule="auto"/>
            </w:pPr>
            <w:r>
              <w:rPr>
                <w:rFonts w:ascii="Calibri" w:hAnsi="Calibri"/>
                <w:color w:val="0B2545"/>
                <w:sz w:val="19"/>
              </w:rPr>
              <w:t>Medium-high</w:t>
            </w:r>
          </w:p>
        </w:tc>
        <w:tc>
          <w:tcPr>
            <w:tcW w:type="dxa" w:w="4760"/>
          </w:tcPr>
          <w:p>
            <w:pPr>
              <w:keepNext w:val="0"/>
              <w:spacing w:before="0" w:after="0" w:line="252" w:lineRule="auto"/>
            </w:pPr>
            <w:r>
              <w:rPr>
                <w:rFonts w:ascii="Calibri" w:hAnsi="Calibri"/>
                <w:color w:val="0B2545"/>
                <w:sz w:val="19"/>
              </w:rPr>
              <w:t>Link material claims to exact supplied or retrieved passages.</w:t>
            </w:r>
          </w:p>
        </w:tc>
      </w:tr>
      <w:tr>
        <w:tc>
          <w:tcPr>
            <w:tcW w:type="dxa" w:w="2700"/>
          </w:tcPr>
          <w:p>
            <w:pPr>
              <w:keepNext w:val="0"/>
              <w:spacing w:before="0" w:after="0" w:line="252" w:lineRule="auto"/>
            </w:pPr>
            <w:r>
              <w:rPr>
                <w:rFonts w:ascii="Calibri" w:hAnsi="Calibri"/>
                <w:color w:val="0B2545"/>
                <w:sz w:val="19"/>
              </w:rPr>
              <w:t>Large document sets create real value</w:t>
            </w:r>
          </w:p>
        </w:tc>
        <w:tc>
          <w:tcPr>
            <w:tcW w:type="dxa" w:w="1900"/>
          </w:tcPr>
          <w:p>
            <w:pPr>
              <w:keepNext w:val="0"/>
              <w:spacing w:before="0" w:after="0" w:line="252" w:lineRule="auto"/>
            </w:pPr>
            <w:r>
              <w:rPr>
                <w:rFonts w:ascii="Calibri" w:hAnsi="Calibri"/>
                <w:color w:val="0B2545"/>
                <w:sz w:val="19"/>
              </w:rPr>
              <w:t>Medium-high</w:t>
            </w:r>
          </w:p>
        </w:tc>
        <w:tc>
          <w:tcPr>
            <w:tcW w:type="dxa" w:w="4760"/>
          </w:tcPr>
          <w:p>
            <w:pPr>
              <w:keepNext w:val="0"/>
              <w:spacing w:before="0" w:after="0" w:line="252" w:lineRule="auto"/>
            </w:pPr>
            <w:r>
              <w:rPr>
                <w:rFonts w:ascii="Calibri" w:hAnsi="Calibri"/>
                <w:color w:val="0B2545"/>
                <w:sz w:val="19"/>
              </w:rPr>
              <w:t>Build structured batch review with a coverage receipt and exception queue.</w:t>
            </w:r>
          </w:p>
        </w:tc>
      </w:tr>
      <w:tr>
        <w:tc>
          <w:tcPr>
            <w:tcW w:type="dxa" w:w="2700"/>
          </w:tcPr>
          <w:p>
            <w:pPr>
              <w:keepNext w:val="0"/>
              <w:spacing w:before="0" w:after="0" w:line="252" w:lineRule="auto"/>
            </w:pPr>
            <w:r>
              <w:rPr>
                <w:rFonts w:ascii="Calibri" w:hAnsi="Calibri"/>
                <w:color w:val="0B2545"/>
                <w:sz w:val="19"/>
              </w:rPr>
              <w:t>Matter continuity removes repeated setup</w:t>
            </w:r>
          </w:p>
        </w:tc>
        <w:tc>
          <w:tcPr>
            <w:tcW w:type="dxa" w:w="1900"/>
          </w:tcPr>
          <w:p>
            <w:pPr>
              <w:keepNext w:val="0"/>
              <w:spacing w:before="0" w:after="0" w:line="252" w:lineRule="auto"/>
            </w:pPr>
            <w:r>
              <w:rPr>
                <w:rFonts w:ascii="Calibri" w:hAnsi="Calibri"/>
                <w:color w:val="0B2545"/>
                <w:sz w:val="19"/>
              </w:rPr>
              <w:t>Medium</w:t>
            </w:r>
          </w:p>
        </w:tc>
        <w:tc>
          <w:tcPr>
            <w:tcW w:type="dxa" w:w="4760"/>
          </w:tcPr>
          <w:p>
            <w:pPr>
              <w:keepNext w:val="0"/>
              <w:spacing w:before="0" w:after="0" w:line="252" w:lineRule="auto"/>
            </w:pPr>
            <w:r>
              <w:rPr>
                <w:rFonts w:ascii="Calibri" w:hAnsi="Calibri"/>
                <w:color w:val="0B2545"/>
                <w:sz w:val="19"/>
              </w:rPr>
              <w:t>Make company, matter, decision, file, and playbook context durable and visible.</w:t>
            </w:r>
          </w:p>
        </w:tc>
      </w:tr>
      <w:tr>
        <w:tc>
          <w:tcPr>
            <w:tcW w:type="dxa" w:w="2700"/>
          </w:tcPr>
          <w:p>
            <w:pPr>
              <w:keepNext w:val="0"/>
              <w:spacing w:before="0" w:after="0" w:line="252" w:lineRule="auto"/>
            </w:pPr>
            <w:r>
              <w:rPr>
                <w:rFonts w:ascii="Calibri" w:hAnsi="Calibri"/>
                <w:color w:val="0B2545"/>
                <w:sz w:val="19"/>
              </w:rPr>
              <w:t>Another manual system fails adoption</w:t>
            </w:r>
          </w:p>
        </w:tc>
        <w:tc>
          <w:tcPr>
            <w:tcW w:type="dxa" w:w="1900"/>
          </w:tcPr>
          <w:p>
            <w:pPr>
              <w:keepNext w:val="0"/>
              <w:spacing w:before="0" w:after="0" w:line="252" w:lineRule="auto"/>
            </w:pPr>
            <w:r>
              <w:rPr>
                <w:rFonts w:ascii="Calibri" w:hAnsi="Calibri"/>
                <w:color w:val="0B2545"/>
                <w:sz w:val="19"/>
              </w:rPr>
              <w:t>Medium-high</w:t>
            </w:r>
          </w:p>
        </w:tc>
        <w:tc>
          <w:tcPr>
            <w:tcW w:type="dxa" w:w="4760"/>
          </w:tcPr>
          <w:p>
            <w:pPr>
              <w:keepNext w:val="0"/>
              <w:spacing w:before="0" w:after="0" w:line="252" w:lineRule="auto"/>
            </w:pPr>
            <w:r>
              <w:rPr>
                <w:rFonts w:ascii="Calibri" w:hAnsi="Calibri"/>
                <w:color w:val="0B2545"/>
                <w:sz w:val="19"/>
              </w:rPr>
              <w:t>Automate intake and state updates; do not make lawyers maintain a separate database.</w:t>
            </w:r>
          </w:p>
        </w:tc>
      </w:tr>
    </w:tbl>
    <w:p>
      <w:pPr>
        <w:spacing w:after="40"/>
      </w:pPr>
    </w:p>
    <w:p>
      <w:pPr>
        <w:pStyle w:val="Heading1"/>
        <w:keepNext/>
        <w:spacing w:before="320" w:after="160" w:line="240" w:lineRule="auto"/>
      </w:pPr>
      <w:r>
        <w:rPr>
          <w:rFonts w:ascii="Calibri" w:hAnsi="Calibri"/>
          <w:b/>
          <w:color w:val="2E74B5"/>
          <w:sz w:val="32"/>
        </w:rPr>
        <w:t>How to read this research</w:t>
      </w:r>
    </w:p>
    <w:p>
      <w:pPr>
        <w:keepNext w:val="0"/>
        <w:spacing w:before="0" w:after="120" w:line="264" w:lineRule="auto"/>
      </w:pPr>
      <w:r>
        <w:rPr>
          <w:rFonts w:ascii="Calibri" w:hAnsi="Calibri"/>
          <w:color w:val="0B2545"/>
          <w:sz w:val="22"/>
        </w:rPr>
        <w:t>This report consolidates anonymous Reddit discussion. It is directional market evidence, not a controlled product study or representative survey. The strongest items name the task, describe a direct trial, and identify the lawyer's role or team size. Product claims from founders, vendors, affiliates, and unidentified accounts are treated as weak evidence.</w:t>
      </w:r>
    </w:p>
    <w:p>
      <w:pPr>
        <w:pStyle w:val="ListBullet"/>
        <w:keepNext w:val="0"/>
        <w:spacing w:before="0" w:after="80" w:line="280" w:lineRule="auto"/>
      </w:pPr>
      <w:r>
        <w:rPr>
          <w:rFonts w:ascii="Calibri" w:hAnsi="Calibri"/>
          <w:color w:val="0B2545"/>
          <w:sz w:val="22"/>
        </w:rPr>
        <w:t>High confidence: a detailed firsthand task comparison, explicit firm or team size, and an observable result.</w:t>
      </w:r>
    </w:p>
    <w:p>
      <w:pPr>
        <w:pStyle w:val="ListBullet"/>
        <w:keepNext w:val="0"/>
        <w:spacing w:before="0" w:after="80" w:line="280" w:lineRule="auto"/>
      </w:pPr>
      <w:r>
        <w:rPr>
          <w:rFonts w:ascii="Calibri" w:hAnsi="Calibri"/>
          <w:color w:val="0B2545"/>
          <w:sz w:val="22"/>
        </w:rPr>
        <w:t>Medium confidence: a firsthand report with limited testing, unclear firm size, or no measurable result.</w:t>
      </w:r>
    </w:p>
    <w:p>
      <w:pPr>
        <w:pStyle w:val="ListBullet"/>
        <w:keepNext w:val="0"/>
        <w:spacing w:before="0" w:after="80" w:line="280" w:lineRule="auto"/>
      </w:pPr>
      <w:r>
        <w:rPr>
          <w:rFonts w:ascii="Calibri" w:hAnsi="Calibri"/>
          <w:color w:val="0B2545"/>
          <w:sz w:val="22"/>
        </w:rPr>
        <w:t>Low confidence: hearsay, broad sentiment, vendor material, or a claim without a described task.</w:t>
      </w:r>
    </w:p>
    <w:p>
      <w:pPr>
        <w:pStyle w:val="ListBullet"/>
        <w:keepNext w:val="0"/>
        <w:spacing w:before="0" w:after="80" w:line="280" w:lineRule="auto"/>
      </w:pPr>
      <w:r>
        <w:rPr>
          <w:rFonts w:ascii="Calibri" w:hAnsi="Calibri"/>
          <w:color w:val="0B2545"/>
          <w:sz w:val="22"/>
        </w:rPr>
        <w:t>Reddit-reported pricing is illustrative only. It may reflect negotiated terms, region, plan tier, or an incomplete feature bundle.</w:t>
      </w:r>
    </w:p>
    <w:p>
      <w:r>
        <w:br w:type="page"/>
      </w:r>
    </w:p>
    <w:p>
      <w:pPr>
        <w:pStyle w:val="Heading1"/>
        <w:keepNext/>
        <w:spacing w:before="320" w:after="160" w:line="240" w:lineRule="auto"/>
      </w:pPr>
      <w:r>
        <w:rPr>
          <w:rFonts w:ascii="Calibri" w:hAnsi="Calibri"/>
          <w:b/>
          <w:color w:val="2E74B5"/>
          <w:sz w:val="32"/>
        </w:rPr>
        <w:t>Direct evidence from smaller teams</w:t>
      </w:r>
    </w:p>
    <w:p>
      <w:pPr>
        <w:keepNext w:val="0"/>
        <w:spacing w:before="0" w:after="120" w:line="264" w:lineRule="auto"/>
      </w:pPr>
      <w:r>
        <w:rPr>
          <w:rFonts w:ascii="Calibri" w:hAnsi="Calibri"/>
          <w:color w:val="0B2545"/>
          <w:sz w:val="22"/>
        </w:rPr>
        <w:t>The table below gives the most decision-relevant firsthand or role-specific examples. Team size is marked 'not stated' when a poster did not identify it.</w:t>
      </w:r>
    </w:p>
    <w:tbl>
      <w:tblPr>
        <w:tblStyle w:val="TableGrid"/>
        <w:tblW w:type="dxa" w:w="9360"/>
        <w:jc w:val="left"/>
        <w:tblLayout w:type="fixed"/>
        <w:tblLook w:firstColumn="1" w:firstRow="1" w:lastColumn="0" w:lastRow="0" w:noHBand="0" w:noVBand="1" w:val="04A0"/>
        <w:tblInd w:w="120" w:type="dxa"/>
      </w:tblPr>
      <w:tblGrid>
        <w:gridCol w:w="1450"/>
        <w:gridCol w:w="2500"/>
        <w:gridCol w:w="4150"/>
        <w:gridCol w:w="1260"/>
      </w:tblGrid>
      <w:tr>
        <w:trPr>
          <w:tblHeader w:val="true"/>
        </w:trPr>
        <w:tc>
          <w:tcPr>
            <w:tcW w:type="dxa" w:w="14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Team</w:t>
            </w:r>
          </w:p>
        </w:tc>
        <w:tc>
          <w:tcPr>
            <w:tcW w:type="dxa" w:w="25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Tested work</w:t>
            </w:r>
          </w:p>
        </w:tc>
        <w:tc>
          <w:tcPr>
            <w:tcW w:type="dxa" w:w="41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Reported buying reason</w:t>
            </w:r>
          </w:p>
        </w:tc>
        <w:tc>
          <w:tcPr>
            <w:tcW w:type="dxa" w:w="12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Product</w:t>
            </w:r>
          </w:p>
        </w:tc>
      </w:tr>
      <w:tr>
        <w:tc>
          <w:tcPr>
            <w:tcW w:type="dxa" w:w="1450"/>
          </w:tcPr>
          <w:p>
            <w:pPr>
              <w:keepNext w:val="0"/>
              <w:spacing w:before="0" w:after="0" w:line="252" w:lineRule="auto"/>
            </w:pPr>
            <w:r>
              <w:rPr>
                <w:rFonts w:ascii="Calibri" w:hAnsi="Calibri"/>
                <w:color w:val="0B2545"/>
                <w:sz w:val="17"/>
              </w:rPr>
              <w:t>3-attorney legal department</w:t>
            </w:r>
          </w:p>
        </w:tc>
        <w:tc>
          <w:tcPr>
            <w:tcW w:type="dxa" w:w="2500"/>
          </w:tcPr>
          <w:p>
            <w:pPr>
              <w:keepNext w:val="0"/>
              <w:spacing w:before="0" w:after="0" w:line="252" w:lineRule="auto"/>
            </w:pPr>
            <w:r>
              <w:rPr>
                <w:rFonts w:ascii="Calibri" w:hAnsi="Calibri"/>
                <w:color w:val="0B2545"/>
                <w:sz w:val="17"/>
              </w:rPr>
              <w:t>GC compared Harvey, ChatGPT, and Claude using the same prompts.</w:t>
            </w:r>
          </w:p>
        </w:tc>
        <w:tc>
          <w:tcPr>
            <w:tcW w:type="dxa" w:w="4150"/>
          </w:tcPr>
          <w:p>
            <w:pPr>
              <w:keepNext w:val="0"/>
              <w:spacing w:before="0" w:after="0" w:line="252" w:lineRule="auto"/>
            </w:pPr>
            <w:r>
              <w:rPr>
                <w:rFonts w:ascii="Calibri" w:hAnsi="Calibri"/>
                <w:color w:val="0B2545"/>
                <w:sz w:val="17"/>
              </w:rPr>
              <w:t>Harvey was too complete in places and missed issues in others. ChatGPT was preferred for reasoning, citations, Word documents, and redlines. The user did not see a reason to pay about $30,000/year for Harvey.</w:t>
            </w:r>
          </w:p>
        </w:tc>
        <w:tc>
          <w:tcPr>
            <w:tcW w:type="dxa" w:w="1260"/>
          </w:tcPr>
          <w:p>
            <w:pPr>
              <w:keepNext w:val="0"/>
              <w:spacing w:before="0" w:after="0" w:line="252" w:lineRule="auto"/>
            </w:pPr>
            <w:r>
              <w:rPr>
                <w:rFonts w:ascii="Calibri" w:hAnsi="Calibri"/>
                <w:color w:val="0B2545"/>
                <w:sz w:val="17"/>
              </w:rPr>
              <w:t>Harvey</w:t>
            </w:r>
          </w:p>
        </w:tc>
      </w:tr>
      <w:tr>
        <w:tc>
          <w:tcPr>
            <w:tcW w:type="dxa" w:w="1450"/>
          </w:tcPr>
          <w:p>
            <w:pPr>
              <w:keepNext w:val="0"/>
              <w:spacing w:before="0" w:after="0" w:line="252" w:lineRule="auto"/>
            </w:pPr>
            <w:r>
              <w:rPr>
                <w:rFonts w:ascii="Calibri" w:hAnsi="Calibri"/>
                <w:color w:val="0B2545"/>
                <w:sz w:val="17"/>
              </w:rPr>
              <w:t>Small firm; size not stated</w:t>
            </w:r>
          </w:p>
        </w:tc>
        <w:tc>
          <w:tcPr>
            <w:tcW w:type="dxa" w:w="2500"/>
          </w:tcPr>
          <w:p>
            <w:pPr>
              <w:keepNext w:val="0"/>
              <w:spacing w:before="0" w:after="0" w:line="252" w:lineRule="auto"/>
            </w:pPr>
            <w:r>
              <w:rPr>
                <w:rFonts w:ascii="Calibri" w:hAnsi="Calibri"/>
                <w:color w:val="0B2545"/>
                <w:sz w:val="17"/>
              </w:rPr>
              <w:t>Managing partner tested Harvey, Lexis AI, ChatGPT, and Claude.</w:t>
            </w:r>
          </w:p>
        </w:tc>
        <w:tc>
          <w:tcPr>
            <w:tcW w:type="dxa" w:w="4150"/>
          </w:tcPr>
          <w:p>
            <w:pPr>
              <w:keepNext w:val="0"/>
              <w:spacing w:before="0" w:after="0" w:line="252" w:lineRule="auto"/>
            </w:pPr>
            <w:r>
              <w:rPr>
                <w:rFonts w:ascii="Calibri" w:hAnsi="Calibri"/>
                <w:color w:val="0B2545"/>
                <w:sz w:val="17"/>
              </w:rPr>
              <w:t>Chose Claude Team for versatility and lower cost; kept Westlaw Classic as the research backbone.</w:t>
            </w:r>
          </w:p>
        </w:tc>
        <w:tc>
          <w:tcPr>
            <w:tcW w:type="dxa" w:w="1260"/>
          </w:tcPr>
          <w:p>
            <w:pPr>
              <w:keepNext w:val="0"/>
              <w:spacing w:before="0" w:after="0" w:line="252" w:lineRule="auto"/>
            </w:pPr>
            <w:r>
              <w:rPr>
                <w:rFonts w:ascii="Calibri" w:hAnsi="Calibri"/>
                <w:color w:val="0B2545"/>
                <w:sz w:val="17"/>
              </w:rPr>
              <w:t>Harvey / CoCounsel</w:t>
            </w:r>
          </w:p>
        </w:tc>
      </w:tr>
      <w:tr>
        <w:tc>
          <w:tcPr>
            <w:tcW w:type="dxa" w:w="1450"/>
          </w:tcPr>
          <w:p>
            <w:pPr>
              <w:keepNext w:val="0"/>
              <w:spacing w:before="0" w:after="0" w:line="252" w:lineRule="auto"/>
            </w:pPr>
            <w:r>
              <w:rPr>
                <w:rFonts w:ascii="Calibri" w:hAnsi="Calibri"/>
                <w:color w:val="0B2545"/>
                <w:sz w:val="17"/>
              </w:rPr>
              <w:t>About 30 attorneys</w:t>
            </w:r>
          </w:p>
        </w:tc>
        <w:tc>
          <w:tcPr>
            <w:tcW w:type="dxa" w:w="2500"/>
          </w:tcPr>
          <w:p>
            <w:pPr>
              <w:keepNext w:val="0"/>
              <w:spacing w:before="0" w:after="0" w:line="252" w:lineRule="auto"/>
            </w:pPr>
            <w:r>
              <w:rPr>
                <w:rFonts w:ascii="Calibri" w:hAnsi="Calibri"/>
                <w:color w:val="0B2545"/>
                <w:sz w:val="17"/>
              </w:rPr>
              <w:t>Technology lead ran three-week trials of Harvey, Legora, and CoCounsel on discovery, a motion, and a memo.</w:t>
            </w:r>
          </w:p>
        </w:tc>
        <w:tc>
          <w:tcPr>
            <w:tcW w:type="dxa" w:w="4150"/>
          </w:tcPr>
          <w:p>
            <w:pPr>
              <w:keepNext w:val="0"/>
              <w:spacing w:before="0" w:after="0" w:line="252" w:lineRule="auto"/>
            </w:pPr>
            <w:r>
              <w:rPr>
                <w:rFonts w:ascii="Calibri" w:hAnsi="Calibri"/>
                <w:color w:val="0B2545"/>
                <w:sz w:val="17"/>
              </w:rPr>
              <w:t>All legal products missed a material heirship issue. Claude Opus caught it. The firm chose a narrower internal tool rather than an off-the-shelf platform.</w:t>
            </w:r>
          </w:p>
        </w:tc>
        <w:tc>
          <w:tcPr>
            <w:tcW w:type="dxa" w:w="1260"/>
          </w:tcPr>
          <w:p>
            <w:pPr>
              <w:keepNext w:val="0"/>
              <w:spacing w:before="0" w:after="0" w:line="252" w:lineRule="auto"/>
            </w:pPr>
            <w:r>
              <w:rPr>
                <w:rFonts w:ascii="Calibri" w:hAnsi="Calibri"/>
                <w:color w:val="0B2545"/>
                <w:sz w:val="17"/>
              </w:rPr>
              <w:t>All three</w:t>
            </w:r>
          </w:p>
        </w:tc>
      </w:tr>
      <w:tr>
        <w:tc>
          <w:tcPr>
            <w:tcW w:type="dxa" w:w="1450"/>
          </w:tcPr>
          <w:p>
            <w:pPr>
              <w:keepNext w:val="0"/>
              <w:spacing w:before="0" w:after="0" w:line="252" w:lineRule="auto"/>
            </w:pPr>
            <w:r>
              <w:rPr>
                <w:rFonts w:ascii="Calibri" w:hAnsi="Calibri"/>
                <w:color w:val="0B2545"/>
                <w:sz w:val="17"/>
              </w:rPr>
              <w:t>Four-lawyer firm</w:t>
            </w:r>
          </w:p>
        </w:tc>
        <w:tc>
          <w:tcPr>
            <w:tcW w:type="dxa" w:w="2500"/>
          </w:tcPr>
          <w:p>
            <w:pPr>
              <w:keepNext w:val="0"/>
              <w:spacing w:before="0" w:after="0" w:line="252" w:lineRule="auto"/>
            </w:pPr>
            <w:r>
              <w:rPr>
                <w:rFonts w:ascii="Calibri" w:hAnsi="Calibri"/>
                <w:color w:val="0B2545"/>
                <w:sz w:val="17"/>
              </w:rPr>
              <w:t>Evaluated Westlaw Precision and CoCounsel for real estate research and a deposition outline.</w:t>
            </w:r>
          </w:p>
        </w:tc>
        <w:tc>
          <w:tcPr>
            <w:tcW w:type="dxa" w:w="4150"/>
          </w:tcPr>
          <w:p>
            <w:pPr>
              <w:keepNext w:val="0"/>
              <w:spacing w:before="0" w:after="0" w:line="252" w:lineRule="auto"/>
            </w:pPr>
            <w:r>
              <w:rPr>
                <w:rFonts w:ascii="Calibri" w:hAnsi="Calibri"/>
                <w:color w:val="0B2545"/>
                <w:sz w:val="17"/>
              </w:rPr>
              <w:t>Reported about $2,000/month for four lawyers. CoCounsel's large-upload advantage did not justify poor task following in the example given.</w:t>
            </w:r>
          </w:p>
        </w:tc>
        <w:tc>
          <w:tcPr>
            <w:tcW w:type="dxa" w:w="1260"/>
          </w:tcPr>
          <w:p>
            <w:pPr>
              <w:keepNext w:val="0"/>
              <w:spacing w:before="0" w:after="0" w:line="252" w:lineRule="auto"/>
            </w:pPr>
            <w:r>
              <w:rPr>
                <w:rFonts w:ascii="Calibri" w:hAnsi="Calibri"/>
                <w:color w:val="0B2545"/>
                <w:sz w:val="17"/>
              </w:rPr>
              <w:t>CoCounsel</w:t>
            </w:r>
          </w:p>
        </w:tc>
      </w:tr>
      <w:tr>
        <w:tc>
          <w:tcPr>
            <w:tcW w:type="dxa" w:w="1450"/>
          </w:tcPr>
          <w:p>
            <w:pPr>
              <w:keepNext w:val="0"/>
              <w:spacing w:before="0" w:after="0" w:line="252" w:lineRule="auto"/>
            </w:pPr>
            <w:r>
              <w:rPr>
                <w:rFonts w:ascii="Calibri" w:hAnsi="Calibri"/>
                <w:color w:val="0B2545"/>
                <w:sz w:val="17"/>
              </w:rPr>
              <w:t>Solo employment lawyer</w:t>
            </w:r>
          </w:p>
        </w:tc>
        <w:tc>
          <w:tcPr>
            <w:tcW w:type="dxa" w:w="2500"/>
          </w:tcPr>
          <w:p>
            <w:pPr>
              <w:keepNext w:val="0"/>
              <w:spacing w:before="0" w:after="0" w:line="252" w:lineRule="auto"/>
            </w:pPr>
            <w:r>
              <w:rPr>
                <w:rFonts w:ascii="Calibri" w:hAnsi="Calibri"/>
                <w:color w:val="0B2545"/>
                <w:sz w:val="17"/>
              </w:rPr>
              <w:t>Considered CoCounsel for discovery, medical records, depositions, motion work, and memos.</w:t>
            </w:r>
          </w:p>
        </w:tc>
        <w:tc>
          <w:tcPr>
            <w:tcW w:type="dxa" w:w="4150"/>
          </w:tcPr>
          <w:p>
            <w:pPr>
              <w:keepNext w:val="0"/>
              <w:spacing w:before="0" w:after="0" w:line="252" w:lineRule="auto"/>
            </w:pPr>
            <w:r>
              <w:rPr>
                <w:rFonts w:ascii="Calibri" w:hAnsi="Calibri"/>
                <w:color w:val="0B2545"/>
                <w:sz w:val="17"/>
              </w:rPr>
              <w:t>A user with access called it useful for broad overviews but not worth about $400/month for specific research, document review, or deposition summaries.</w:t>
            </w:r>
          </w:p>
        </w:tc>
        <w:tc>
          <w:tcPr>
            <w:tcW w:type="dxa" w:w="1260"/>
          </w:tcPr>
          <w:p>
            <w:pPr>
              <w:keepNext w:val="0"/>
              <w:spacing w:before="0" w:after="0" w:line="252" w:lineRule="auto"/>
            </w:pPr>
            <w:r>
              <w:rPr>
                <w:rFonts w:ascii="Calibri" w:hAnsi="Calibri"/>
                <w:color w:val="0B2545"/>
                <w:sz w:val="17"/>
              </w:rPr>
              <w:t>CoCounsel</w:t>
            </w:r>
          </w:p>
        </w:tc>
      </w:tr>
      <w:tr>
        <w:tc>
          <w:tcPr>
            <w:tcW w:type="dxa" w:w="1450"/>
          </w:tcPr>
          <w:p>
            <w:pPr>
              <w:keepNext w:val="0"/>
              <w:spacing w:before="0" w:after="0" w:line="252" w:lineRule="auto"/>
            </w:pPr>
            <w:r>
              <w:rPr>
                <w:rFonts w:ascii="Calibri" w:hAnsi="Calibri"/>
                <w:color w:val="0B2545"/>
                <w:sz w:val="17"/>
              </w:rPr>
              <w:t>20-person firm</w:t>
            </w:r>
          </w:p>
        </w:tc>
        <w:tc>
          <w:tcPr>
            <w:tcW w:type="dxa" w:w="2500"/>
          </w:tcPr>
          <w:p>
            <w:pPr>
              <w:keepNext w:val="0"/>
              <w:spacing w:before="0" w:after="0" w:line="252" w:lineRule="auto"/>
            </w:pPr>
            <w:r>
              <w:rPr>
                <w:rFonts w:ascii="Calibri" w:hAnsi="Calibri"/>
                <w:color w:val="0B2545"/>
                <w:sz w:val="17"/>
              </w:rPr>
              <w:t>Lawyer asked peers what the firm should buy for operations, summaries, research, and drafting.</w:t>
            </w:r>
          </w:p>
        </w:tc>
        <w:tc>
          <w:tcPr>
            <w:tcW w:type="dxa" w:w="4150"/>
          </w:tcPr>
          <w:p>
            <w:pPr>
              <w:keepNext w:val="0"/>
              <w:spacing w:before="0" w:after="0" w:line="252" w:lineRule="auto"/>
            </w:pPr>
            <w:r>
              <w:rPr>
                <w:rFonts w:ascii="Calibri" w:hAnsi="Calibri"/>
                <w:color w:val="0B2545"/>
                <w:sz w:val="17"/>
              </w:rPr>
              <w:t>ChatGPT and Claude were useful for broad work, but lawyers still wanted authoritative research and were cautious with confidential data.</w:t>
            </w:r>
          </w:p>
        </w:tc>
        <w:tc>
          <w:tcPr>
            <w:tcW w:type="dxa" w:w="1260"/>
          </w:tcPr>
          <w:p>
            <w:pPr>
              <w:keepNext w:val="0"/>
              <w:spacing w:before="0" w:after="0" w:line="252" w:lineRule="auto"/>
            </w:pPr>
            <w:r>
              <w:rPr>
                <w:rFonts w:ascii="Calibri" w:hAnsi="Calibri"/>
                <w:color w:val="0B2545"/>
                <w:sz w:val="17"/>
              </w:rPr>
              <w:t>General AI baseline</w:t>
            </w:r>
          </w:p>
        </w:tc>
      </w:tr>
    </w:tbl>
    <w:p>
      <w:pPr>
        <w:spacing w:after="40"/>
      </w:pPr>
    </w:p>
    <w:p>
      <w:pPr>
        <w:keepNext w:val="0"/>
        <w:spacing w:before="0" w:after="200" w:line="240" w:lineRule="auto"/>
      </w:pPr>
      <w:r>
        <w:rPr>
          <w:rFonts w:ascii="Calibri" w:hAnsi="Calibri"/>
          <w:b/>
          <w:color w:val="5B6573"/>
          <w:sz w:val="17"/>
        </w:rPr>
        <w:t xml:space="preserve">Primary sources: </w:t>
      </w:r>
      <w:hyperlink r:id="rId11">
        <w:r>
          <w:rPr>
            <w:color w:val="2E74B5"/>
            <w:u w:val="single"/>
          </w:rPr>
          <w:t>3-attorney comparison</w:t>
        </w:r>
      </w:hyperlink>
      <w:r>
        <w:rPr>
          <w:rFonts w:ascii="Calibri" w:hAnsi="Calibri"/>
          <w:color w:val="5B6573"/>
          <w:sz w:val="17"/>
        </w:rPr>
        <w:t xml:space="preserve"> | </w:t>
      </w:r>
      <w:hyperlink r:id="rId12">
        <w:r>
          <w:rPr>
            <w:color w:val="2E74B5"/>
            <w:u w:val="single"/>
          </w:rPr>
          <w:t>small-firm Claude choice</w:t>
        </w:r>
      </w:hyperlink>
      <w:r>
        <w:rPr>
          <w:rFonts w:ascii="Calibri" w:hAnsi="Calibri"/>
          <w:color w:val="5B6573"/>
          <w:sz w:val="17"/>
        </w:rPr>
        <w:t xml:space="preserve"> | </w:t>
      </w:r>
      <w:hyperlink r:id="rId13">
        <w:r>
          <w:rPr>
            <w:color w:val="2E74B5"/>
            <w:u w:val="single"/>
          </w:rPr>
          <w:t>30-attorney trial</w:t>
        </w:r>
      </w:hyperlink>
      <w:r>
        <w:rPr>
          <w:rFonts w:ascii="Calibri" w:hAnsi="Calibri"/>
          <w:color w:val="5B6573"/>
          <w:sz w:val="17"/>
        </w:rPr>
        <w:t xml:space="preserve"> | </w:t>
      </w:r>
      <w:hyperlink r:id="rId14">
        <w:r>
          <w:rPr>
            <w:color w:val="2E74B5"/>
            <w:u w:val="single"/>
          </w:rPr>
          <w:t>four-lawyer firm</w:t>
        </w:r>
      </w:hyperlink>
      <w:r>
        <w:rPr>
          <w:rFonts w:ascii="Calibri" w:hAnsi="Calibri"/>
          <w:color w:val="5B6573"/>
          <w:sz w:val="17"/>
        </w:rPr>
        <w:t xml:space="preserve"> | </w:t>
      </w:r>
      <w:hyperlink r:id="rId15">
        <w:r>
          <w:rPr>
            <w:color w:val="2E74B5"/>
            <w:u w:val="single"/>
          </w:rPr>
          <w:t>solo CoCounsel discussion</w:t>
        </w:r>
      </w:hyperlink>
      <w:r>
        <w:rPr>
          <w:rFonts w:ascii="Calibri" w:hAnsi="Calibri"/>
          <w:color w:val="5B6573"/>
          <w:sz w:val="17"/>
        </w:rPr>
        <w:t xml:space="preserve"> | </w:t>
      </w:r>
      <w:hyperlink r:id="rId16">
        <w:r>
          <w:rPr>
            <w:color w:val="2E74B5"/>
            <w:u w:val="single"/>
          </w:rPr>
          <w:t>20-person firm</w:t>
        </w:r>
      </w:hyperlink>
    </w:p>
    <w:p>
      <w:pPr>
        <w:pStyle w:val="Heading1"/>
        <w:keepNext/>
        <w:spacing w:before="320" w:after="160" w:line="240" w:lineRule="auto"/>
      </w:pPr>
      <w:r>
        <w:rPr>
          <w:rFonts w:ascii="Calibri" w:hAnsi="Calibri"/>
          <w:b/>
          <w:color w:val="2E74B5"/>
          <w:sz w:val="32"/>
        </w:rPr>
        <w:t>Why small teams choose ChatGPT or Claude</w:t>
      </w:r>
    </w:p>
    <w:p>
      <w:pPr>
        <w:pStyle w:val="Heading2"/>
        <w:keepNext/>
        <w:spacing w:before="240" w:after="120" w:line="240" w:lineRule="auto"/>
      </w:pPr>
      <w:r>
        <w:rPr>
          <w:rFonts w:ascii="Calibri" w:hAnsi="Calibri"/>
          <w:b/>
          <w:color w:val="2E74B5"/>
          <w:sz w:val="26"/>
        </w:rPr>
        <w:t>1. Better price-to-value</w:t>
      </w:r>
    </w:p>
    <w:p>
      <w:pPr>
        <w:keepNext w:val="0"/>
        <w:spacing w:before="0" w:after="120" w:line="264" w:lineRule="auto"/>
      </w:pPr>
      <w:r>
        <w:rPr>
          <w:rFonts w:ascii="Calibri" w:hAnsi="Calibri"/>
          <w:color w:val="0B2545"/>
          <w:sz w:val="22"/>
        </w:rPr>
        <w:t>Users compare per-seat specialist pricing and contract commitments with low-cost ChatGPT or Claude plans. The objection is especially strong where workloads are uneven or the team has only a few users.</w:t>
      </w:r>
    </w:p>
    <w:p>
      <w:pPr>
        <w:pStyle w:val="Heading2"/>
        <w:keepNext/>
        <w:spacing w:before="240" w:after="120" w:line="240" w:lineRule="auto"/>
      </w:pPr>
      <w:r>
        <w:rPr>
          <w:rFonts w:ascii="Calibri" w:hAnsi="Calibri"/>
          <w:b/>
          <w:color w:val="2E74B5"/>
          <w:sz w:val="26"/>
        </w:rPr>
        <w:t>2. Better raw drafting and broad reasoning</w:t>
      </w:r>
    </w:p>
    <w:p>
      <w:pPr>
        <w:keepNext w:val="0"/>
        <w:spacing w:before="0" w:after="120" w:line="264" w:lineRule="auto"/>
      </w:pPr>
      <w:r>
        <w:rPr>
          <w:rFonts w:ascii="Calibri" w:hAnsi="Calibri"/>
          <w:color w:val="0B2545"/>
          <w:sz w:val="22"/>
        </w:rPr>
        <w:t>Users describe general models as stronger for writing, mixed legal-commercial questions, brainstorming, correspondence, operations, and using the newest available model.</w:t>
      </w:r>
    </w:p>
    <w:p>
      <w:pPr>
        <w:pStyle w:val="Heading2"/>
        <w:keepNext/>
        <w:spacing w:before="240" w:after="120" w:line="240" w:lineRule="auto"/>
      </w:pPr>
      <w:r>
        <w:rPr>
          <w:rFonts w:ascii="Calibri" w:hAnsi="Calibri"/>
          <w:b/>
          <w:color w:val="2E74B5"/>
          <w:sz w:val="26"/>
        </w:rPr>
        <w:t>3. Direct control</w:t>
      </w:r>
    </w:p>
    <w:p>
      <w:pPr>
        <w:keepNext w:val="0"/>
        <w:spacing w:before="0" w:after="120" w:line="264" w:lineRule="auto"/>
      </w:pPr>
      <w:r>
        <w:rPr>
          <w:rFonts w:ascii="Calibri" w:hAnsi="Calibri"/>
          <w:color w:val="0B2545"/>
          <w:sz w:val="22"/>
        </w:rPr>
        <w:t>Technically capable teams prefer their own skills, playbooks, precedent libraries, model settings, and connectors rather than a vendor's fixed workflow.</w:t>
      </w:r>
    </w:p>
    <w:p>
      <w:pPr>
        <w:pStyle w:val="Heading2"/>
        <w:keepNext/>
        <w:spacing w:before="240" w:after="120" w:line="240" w:lineRule="auto"/>
      </w:pPr>
      <w:r>
        <w:rPr>
          <w:rFonts w:ascii="Calibri" w:hAnsi="Calibri"/>
          <w:b/>
          <w:color w:val="2E74B5"/>
          <w:sz w:val="26"/>
        </w:rPr>
        <w:t>4. Less change management</w:t>
      </w:r>
    </w:p>
    <w:p>
      <w:pPr>
        <w:keepNext w:val="0"/>
        <w:spacing w:before="0" w:after="120" w:line="264" w:lineRule="auto"/>
      </w:pPr>
      <w:r>
        <w:rPr>
          <w:rFonts w:ascii="Calibri" w:hAnsi="Calibri"/>
          <w:color w:val="0B2545"/>
          <w:sz w:val="22"/>
        </w:rPr>
        <w:t>Small teams can start in tools they already know. A new system has to beat the cost of migration, training, and another place to maintain information.</w:t>
      </w:r>
    </w:p>
    <w:p>
      <w:pPr>
        <w:pStyle w:val="Heading2"/>
        <w:keepNext/>
        <w:spacing w:before="240" w:after="120" w:line="240" w:lineRule="auto"/>
      </w:pPr>
      <w:r>
        <w:rPr>
          <w:rFonts w:ascii="Calibri" w:hAnsi="Calibri"/>
          <w:b/>
          <w:color w:val="2E74B5"/>
          <w:sz w:val="26"/>
        </w:rPr>
        <w:t>5. Research remains separate</w:t>
      </w:r>
    </w:p>
    <w:p>
      <w:pPr>
        <w:keepNext w:val="0"/>
        <w:spacing w:before="0" w:after="120" w:line="264" w:lineRule="auto"/>
      </w:pPr>
      <w:r>
        <w:rPr>
          <w:rFonts w:ascii="Calibri" w:hAnsi="Calibri"/>
          <w:color w:val="0B2545"/>
          <w:sz w:val="22"/>
        </w:rPr>
        <w:t>The common practical stack is general AI for framing, synthesis, drafting, and document work; Westlaw, Lexis, or another controlled database for authority, currentness, and citation checking.</w:t>
      </w:r>
    </w:p>
    <w:p>
      <w:pPr>
        <w:pStyle w:val="Heading1"/>
        <w:keepNext/>
        <w:spacing w:before="320" w:after="160" w:line="240" w:lineRule="auto"/>
      </w:pPr>
      <w:r>
        <w:rPr>
          <w:rFonts w:ascii="Calibri" w:hAnsi="Calibri"/>
          <w:b/>
          <w:color w:val="2E74B5"/>
          <w:sz w:val="32"/>
        </w:rPr>
        <w:t>What paid legal-product features are not worth paying for by themselves</w:t>
      </w:r>
    </w:p>
    <w:tbl>
      <w:tblPr>
        <w:tblStyle w:val="TableGrid"/>
        <w:tblW w:type="dxa" w:w="9360"/>
        <w:jc w:val="left"/>
        <w:tblLayout w:type="fixed"/>
        <w:tblLook w:firstColumn="1" w:firstRow="1" w:lastColumn="0" w:lastRow="0" w:noHBand="0" w:noVBand="1" w:val="04A0"/>
        <w:tblInd w:w="120" w:type="dxa"/>
      </w:tblPr>
      <w:tblGrid>
        <w:gridCol w:w="2000"/>
        <w:gridCol w:w="3400"/>
        <w:gridCol w:w="3960"/>
      </w:tblGrid>
      <w:tr>
        <w:trPr>
          <w:tblHeader w:val="true"/>
        </w:trPr>
        <w:tc>
          <w:tcPr>
            <w:tcW w:type="dxa" w:w="2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Feature</w:t>
            </w:r>
          </w:p>
        </w:tc>
        <w:tc>
          <w:tcPr>
            <w:tcW w:type="dxa" w:w="34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users reject it alone</w:t>
            </w:r>
          </w:p>
        </w:tc>
        <w:tc>
          <w:tcPr>
            <w:tcW w:type="dxa" w:w="39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would make it valuable</w:t>
            </w:r>
          </w:p>
        </w:tc>
      </w:tr>
      <w:tr>
        <w:tc>
          <w:tcPr>
            <w:tcW w:type="dxa" w:w="2000"/>
          </w:tcPr>
          <w:p>
            <w:pPr>
              <w:keepNext w:val="0"/>
              <w:spacing w:before="0" w:after="0" w:line="252" w:lineRule="auto"/>
            </w:pPr>
            <w:r>
              <w:rPr>
                <w:rFonts w:ascii="Calibri" w:hAnsi="Calibri"/>
                <w:color w:val="0B2545"/>
                <w:sz w:val="18"/>
              </w:rPr>
              <w:t>Legal chat interface</w:t>
            </w:r>
          </w:p>
        </w:tc>
        <w:tc>
          <w:tcPr>
            <w:tcW w:type="dxa" w:w="3400"/>
          </w:tcPr>
          <w:p>
            <w:pPr>
              <w:keepNext w:val="0"/>
              <w:spacing w:before="0" w:after="0" w:line="252" w:lineRule="auto"/>
            </w:pPr>
            <w:r>
              <w:rPr>
                <w:rFonts w:ascii="Calibri" w:hAnsi="Calibri"/>
                <w:color w:val="0B2545"/>
                <w:sz w:val="18"/>
              </w:rPr>
              <w:t>It can feel like a repackaged general model.</w:t>
            </w:r>
          </w:p>
        </w:tc>
        <w:tc>
          <w:tcPr>
            <w:tcW w:type="dxa" w:w="3960"/>
          </w:tcPr>
          <w:p>
            <w:pPr>
              <w:keepNext w:val="0"/>
              <w:spacing w:before="0" w:after="0" w:line="252" w:lineRule="auto"/>
            </w:pPr>
            <w:r>
              <w:rPr>
                <w:rFonts w:ascii="Calibri" w:hAnsi="Calibri"/>
                <w:color w:val="0B2545"/>
                <w:sz w:val="18"/>
              </w:rPr>
              <w:t>Persistent matter context, proof of sources, and reduced review work.</w:t>
            </w:r>
          </w:p>
        </w:tc>
      </w:tr>
      <w:tr>
        <w:tc>
          <w:tcPr>
            <w:tcW w:type="dxa" w:w="2000"/>
          </w:tcPr>
          <w:p>
            <w:pPr>
              <w:keepNext w:val="0"/>
              <w:spacing w:before="0" w:after="0" w:line="252" w:lineRule="auto"/>
            </w:pPr>
            <w:r>
              <w:rPr>
                <w:rFonts w:ascii="Calibri" w:hAnsi="Calibri"/>
                <w:color w:val="0B2545"/>
                <w:sz w:val="18"/>
              </w:rPr>
              <w:t>Prompt library</w:t>
            </w:r>
          </w:p>
        </w:tc>
        <w:tc>
          <w:tcPr>
            <w:tcW w:type="dxa" w:w="3400"/>
          </w:tcPr>
          <w:p>
            <w:pPr>
              <w:keepNext w:val="0"/>
              <w:spacing w:before="0" w:after="0" w:line="252" w:lineRule="auto"/>
            </w:pPr>
            <w:r>
              <w:rPr>
                <w:rFonts w:ascii="Calibri" w:hAnsi="Calibri"/>
                <w:color w:val="0B2545"/>
                <w:sz w:val="18"/>
              </w:rPr>
              <w:t>Experienced users can create strong prompts or skills directly.</w:t>
            </w:r>
          </w:p>
        </w:tc>
        <w:tc>
          <w:tcPr>
            <w:tcW w:type="dxa" w:w="3960"/>
          </w:tcPr>
          <w:p>
            <w:pPr>
              <w:keepNext w:val="0"/>
              <w:spacing w:before="0" w:after="0" w:line="252" w:lineRule="auto"/>
            </w:pPr>
            <w:r>
              <w:rPr>
                <w:rFonts w:ascii="Calibri" w:hAnsi="Calibri"/>
                <w:color w:val="0B2545"/>
                <w:sz w:val="18"/>
              </w:rPr>
              <w:t>Guided workflow creation that produces reusable, firm-specific work.</w:t>
            </w:r>
          </w:p>
        </w:tc>
      </w:tr>
      <w:tr>
        <w:tc>
          <w:tcPr>
            <w:tcW w:type="dxa" w:w="2000"/>
          </w:tcPr>
          <w:p>
            <w:pPr>
              <w:keepNext w:val="0"/>
              <w:spacing w:before="0" w:after="0" w:line="252" w:lineRule="auto"/>
            </w:pPr>
            <w:r>
              <w:rPr>
                <w:rFonts w:ascii="Calibri" w:hAnsi="Calibri"/>
                <w:color w:val="0B2545"/>
                <w:sz w:val="18"/>
              </w:rPr>
              <w:t>Generic playbooks</w:t>
            </w:r>
          </w:p>
        </w:tc>
        <w:tc>
          <w:tcPr>
            <w:tcW w:type="dxa" w:w="3400"/>
          </w:tcPr>
          <w:p>
            <w:pPr>
              <w:keepNext w:val="0"/>
              <w:spacing w:before="0" w:after="0" w:line="252" w:lineRule="auto"/>
            </w:pPr>
            <w:r>
              <w:rPr>
                <w:rFonts w:ascii="Calibri" w:hAnsi="Calibri"/>
                <w:color w:val="0B2545"/>
                <w:sz w:val="18"/>
              </w:rPr>
              <w:t>They can be too generic, rigid, or misaligned with the firm's practice.</w:t>
            </w:r>
          </w:p>
        </w:tc>
        <w:tc>
          <w:tcPr>
            <w:tcW w:type="dxa" w:w="3960"/>
          </w:tcPr>
          <w:p>
            <w:pPr>
              <w:keepNext w:val="0"/>
              <w:spacing w:before="0" w:after="0" w:line="252" w:lineRule="auto"/>
            </w:pPr>
            <w:r>
              <w:rPr>
                <w:rFonts w:ascii="Calibri" w:hAnsi="Calibri"/>
                <w:color w:val="0B2545"/>
                <w:sz w:val="18"/>
              </w:rPr>
              <w:t>A linked firm precedent and playbook record that shows the rule applied.</w:t>
            </w:r>
          </w:p>
        </w:tc>
      </w:tr>
      <w:tr>
        <w:tc>
          <w:tcPr>
            <w:tcW w:type="dxa" w:w="2000"/>
          </w:tcPr>
          <w:p>
            <w:pPr>
              <w:keepNext w:val="0"/>
              <w:spacing w:before="0" w:after="0" w:line="252" w:lineRule="auto"/>
            </w:pPr>
            <w:r>
              <w:rPr>
                <w:rFonts w:ascii="Calibri" w:hAnsi="Calibri"/>
                <w:color w:val="0B2545"/>
                <w:sz w:val="18"/>
              </w:rPr>
              <w:t>Basic summaries or memos</w:t>
            </w:r>
          </w:p>
        </w:tc>
        <w:tc>
          <w:tcPr>
            <w:tcW w:type="dxa" w:w="3400"/>
          </w:tcPr>
          <w:p>
            <w:pPr>
              <w:keepNext w:val="0"/>
              <w:spacing w:before="0" w:after="0" w:line="252" w:lineRule="auto"/>
            </w:pPr>
            <w:r>
              <w:rPr>
                <w:rFonts w:ascii="Calibri" w:hAnsi="Calibri"/>
                <w:color w:val="0B2545"/>
                <w:sz w:val="18"/>
              </w:rPr>
              <w:t>Lawyers may need to read the original material anyway.</w:t>
            </w:r>
          </w:p>
        </w:tc>
        <w:tc>
          <w:tcPr>
            <w:tcW w:type="dxa" w:w="3960"/>
          </w:tcPr>
          <w:p>
            <w:pPr>
              <w:keepNext w:val="0"/>
              <w:spacing w:before="0" w:after="0" w:line="252" w:lineRule="auto"/>
            </w:pPr>
            <w:r>
              <w:rPr>
                <w:rFonts w:ascii="Calibri" w:hAnsi="Calibri"/>
                <w:color w:val="0B2545"/>
                <w:sz w:val="18"/>
              </w:rPr>
              <w:t>A coverage receipt, structured extraction, and exact citations to source passages.</w:t>
            </w:r>
          </w:p>
        </w:tc>
      </w:tr>
      <w:tr>
        <w:tc>
          <w:tcPr>
            <w:tcW w:type="dxa" w:w="2000"/>
          </w:tcPr>
          <w:p>
            <w:pPr>
              <w:keepNext w:val="0"/>
              <w:spacing w:before="0" w:after="0" w:line="252" w:lineRule="auto"/>
            </w:pPr>
            <w:r>
              <w:rPr>
                <w:rFonts w:ascii="Calibri" w:hAnsi="Calibri"/>
                <w:color w:val="0B2545"/>
                <w:sz w:val="18"/>
              </w:rPr>
              <w:t>Routine redlining</w:t>
            </w:r>
          </w:p>
        </w:tc>
        <w:tc>
          <w:tcPr>
            <w:tcW w:type="dxa" w:w="3400"/>
          </w:tcPr>
          <w:p>
            <w:pPr>
              <w:keepNext w:val="0"/>
              <w:spacing w:before="0" w:after="0" w:line="252" w:lineRule="auto"/>
            </w:pPr>
            <w:r>
              <w:rPr>
                <w:rFonts w:ascii="Calibri" w:hAnsi="Calibri"/>
                <w:color w:val="0B2545"/>
                <w:sz w:val="18"/>
              </w:rPr>
              <w:t>The AI's changes can create a second review job.</w:t>
            </w:r>
          </w:p>
        </w:tc>
        <w:tc>
          <w:tcPr>
            <w:tcW w:type="dxa" w:w="3960"/>
          </w:tcPr>
          <w:p>
            <w:pPr>
              <w:keepNext w:val="0"/>
              <w:spacing w:before="0" w:after="0" w:line="252" w:lineRule="auto"/>
            </w:pPr>
            <w:r>
              <w:rPr>
                <w:rFonts w:ascii="Calibri" w:hAnsi="Calibri"/>
                <w:color w:val="0B2545"/>
                <w:sz w:val="18"/>
              </w:rPr>
              <w:t>Precise tracked changes, explanations, source links, formatting preservation, and a reliable Word workflow.</w:t>
            </w:r>
          </w:p>
        </w:tc>
      </w:tr>
      <w:tr>
        <w:tc>
          <w:tcPr>
            <w:tcW w:type="dxa" w:w="2000"/>
          </w:tcPr>
          <w:p>
            <w:pPr>
              <w:keepNext w:val="0"/>
              <w:spacing w:before="0" w:after="0" w:line="252" w:lineRule="auto"/>
            </w:pPr>
            <w:r>
              <w:rPr>
                <w:rFonts w:ascii="Calibri" w:hAnsi="Calibri"/>
                <w:color w:val="0B2545"/>
                <w:sz w:val="18"/>
              </w:rPr>
              <w:t>Generic legal research</w:t>
            </w:r>
          </w:p>
        </w:tc>
        <w:tc>
          <w:tcPr>
            <w:tcW w:type="dxa" w:w="3400"/>
          </w:tcPr>
          <w:p>
            <w:pPr>
              <w:keepNext w:val="0"/>
              <w:spacing w:before="0" w:after="0" w:line="252" w:lineRule="auto"/>
            </w:pPr>
            <w:r>
              <w:rPr>
                <w:rFonts w:ascii="Calibri" w:hAnsi="Calibri"/>
                <w:color w:val="0B2545"/>
                <w:sz w:val="18"/>
              </w:rPr>
              <w:t>It may still have invented citations, wrong holdings, or missing currentness.</w:t>
            </w:r>
          </w:p>
        </w:tc>
        <w:tc>
          <w:tcPr>
            <w:tcW w:type="dxa" w:w="3960"/>
          </w:tcPr>
          <w:p>
            <w:pPr>
              <w:keepNext w:val="0"/>
              <w:spacing w:before="0" w:after="0" w:line="252" w:lineRule="auto"/>
            </w:pPr>
            <w:r>
              <w:rPr>
                <w:rFonts w:ascii="Calibri" w:hAnsi="Calibri"/>
                <w:color w:val="0B2545"/>
                <w:sz w:val="18"/>
              </w:rPr>
              <w:t>Clear source status, exact passages, lawyer verification records, and handoff to the authoritative database.</w:t>
            </w:r>
          </w:p>
        </w:tc>
      </w:tr>
    </w:tbl>
    <w:p>
      <w:pPr>
        <w:spacing w:after="40"/>
      </w:pPr>
    </w:p>
    <w:p>
      <w:pPr>
        <w:pStyle w:val="Heading1"/>
        <w:keepNext/>
        <w:spacing w:before="320" w:after="160" w:line="240" w:lineRule="auto"/>
      </w:pPr>
      <w:r>
        <w:rPr>
          <w:rFonts w:ascii="Calibri" w:hAnsi="Calibri"/>
          <w:b/>
          <w:color w:val="2E74B5"/>
          <w:sz w:val="32"/>
        </w:rPr>
        <w:t>Where Harvey, Legora, CoCounsel, and GC AI may still earn their price</w:t>
      </w:r>
    </w:p>
    <w:tbl>
      <w:tblPr>
        <w:tblStyle w:val="TableGrid"/>
        <w:tblW w:type="dxa" w:w="9360"/>
        <w:jc w:val="left"/>
        <w:tblLayout w:type="fixed"/>
        <w:tblLook w:firstColumn="1" w:firstRow="1" w:lastColumn="0" w:lastRow="0" w:noHBand="0" w:noVBand="1" w:val="04A0"/>
        <w:tblInd w:w="120" w:type="dxa"/>
      </w:tblPr>
      <w:tblGrid>
        <w:gridCol w:w="1450"/>
        <w:gridCol w:w="4050"/>
        <w:gridCol w:w="3860"/>
      </w:tblGrid>
      <w:tr>
        <w:trPr>
          <w:tblHeader w:val="true"/>
        </w:trPr>
        <w:tc>
          <w:tcPr>
            <w:tcW w:type="dxa" w:w="14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Product</w:t>
            </w:r>
          </w:p>
        </w:tc>
        <w:tc>
          <w:tcPr>
            <w:tcW w:type="dxa" w:w="40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Reported paid value</w:t>
            </w:r>
          </w:p>
        </w:tc>
        <w:tc>
          <w:tcPr>
            <w:tcW w:type="dxa" w:w="38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Small-team objection</w:t>
            </w:r>
          </w:p>
        </w:tc>
      </w:tr>
      <w:tr>
        <w:tc>
          <w:tcPr>
            <w:tcW w:type="dxa" w:w="1450"/>
          </w:tcPr>
          <w:p>
            <w:pPr>
              <w:keepNext w:val="0"/>
              <w:spacing w:before="0" w:after="0" w:line="252" w:lineRule="auto"/>
            </w:pPr>
            <w:r>
              <w:rPr>
                <w:rFonts w:ascii="Calibri" w:hAnsi="Calibri"/>
                <w:color w:val="0B2545"/>
                <w:sz w:val="18"/>
              </w:rPr>
              <w:t>Harvey</w:t>
            </w:r>
          </w:p>
        </w:tc>
        <w:tc>
          <w:tcPr>
            <w:tcW w:type="dxa" w:w="4050"/>
          </w:tcPr>
          <w:p>
            <w:pPr>
              <w:keepNext w:val="0"/>
              <w:spacing w:before="0" w:after="0" w:line="252" w:lineRule="auto"/>
            </w:pPr>
            <w:r>
              <w:rPr>
                <w:rFonts w:ascii="Calibri" w:hAnsi="Calibri"/>
                <w:color w:val="0B2545"/>
                <w:sz w:val="18"/>
              </w:rPr>
              <w:t>Document vault, shared workflows, enterprise deployment, prompt help, and document-scale review.</w:t>
            </w:r>
          </w:p>
        </w:tc>
        <w:tc>
          <w:tcPr>
            <w:tcW w:type="dxa" w:w="3860"/>
          </w:tcPr>
          <w:p>
            <w:pPr>
              <w:keepNext w:val="0"/>
              <w:spacing w:before="0" w:after="0" w:line="252" w:lineRule="auto"/>
            </w:pPr>
            <w:r>
              <w:rPr>
                <w:rFonts w:ascii="Calibri" w:hAnsi="Calibri"/>
                <w:color w:val="0B2545"/>
                <w:sz w:val="18"/>
              </w:rPr>
              <w:t>High price, minimum commitments, inconsistent output, and limited differentiation for small teams.</w:t>
            </w:r>
          </w:p>
        </w:tc>
      </w:tr>
      <w:tr>
        <w:tc>
          <w:tcPr>
            <w:tcW w:type="dxa" w:w="1450"/>
          </w:tcPr>
          <w:p>
            <w:pPr>
              <w:keepNext w:val="0"/>
              <w:spacing w:before="0" w:after="0" w:line="252" w:lineRule="auto"/>
            </w:pPr>
            <w:r>
              <w:rPr>
                <w:rFonts w:ascii="Calibri" w:hAnsi="Calibri"/>
                <w:color w:val="0B2545"/>
                <w:sz w:val="18"/>
              </w:rPr>
              <w:t>Legora</w:t>
            </w:r>
          </w:p>
        </w:tc>
        <w:tc>
          <w:tcPr>
            <w:tcW w:type="dxa" w:w="4050"/>
          </w:tcPr>
          <w:p>
            <w:pPr>
              <w:keepNext w:val="0"/>
              <w:spacing w:before="0" w:after="0" w:line="252" w:lineRule="auto"/>
            </w:pPr>
            <w:r>
              <w:rPr>
                <w:rFonts w:ascii="Calibri" w:hAnsi="Calibri"/>
                <w:color w:val="0B2545"/>
                <w:sz w:val="18"/>
              </w:rPr>
              <w:t>Due diligence, document population, template-based drafting, Word work, and standardized adoption.</w:t>
            </w:r>
          </w:p>
        </w:tc>
        <w:tc>
          <w:tcPr>
            <w:tcW w:type="dxa" w:w="3860"/>
          </w:tcPr>
          <w:p>
            <w:pPr>
              <w:keepNext w:val="0"/>
              <w:spacing w:before="0" w:after="0" w:line="252" w:lineRule="auto"/>
            </w:pPr>
            <w:r>
              <w:rPr>
                <w:rFonts w:ascii="Calibri" w:hAnsi="Calibri"/>
                <w:color w:val="0B2545"/>
                <w:sz w:val="18"/>
              </w:rPr>
              <w:t>Reported model lag, rigid output, high per-seat cost, and weak differentiation for experienced users.</w:t>
            </w:r>
          </w:p>
        </w:tc>
      </w:tr>
      <w:tr>
        <w:tc>
          <w:tcPr>
            <w:tcW w:type="dxa" w:w="1450"/>
          </w:tcPr>
          <w:p>
            <w:pPr>
              <w:keepNext w:val="0"/>
              <w:spacing w:before="0" w:after="0" w:line="252" w:lineRule="auto"/>
            </w:pPr>
            <w:r>
              <w:rPr>
                <w:rFonts w:ascii="Calibri" w:hAnsi="Calibri"/>
                <w:color w:val="0B2545"/>
                <w:sz w:val="18"/>
              </w:rPr>
              <w:t>CoCounsel</w:t>
            </w:r>
          </w:p>
        </w:tc>
        <w:tc>
          <w:tcPr>
            <w:tcW w:type="dxa" w:w="4050"/>
          </w:tcPr>
          <w:p>
            <w:pPr>
              <w:keepNext w:val="0"/>
              <w:spacing w:before="0" w:after="0" w:line="252" w:lineRule="auto"/>
            </w:pPr>
            <w:r>
              <w:rPr>
                <w:rFonts w:ascii="Calibri" w:hAnsi="Calibri"/>
                <w:color w:val="0B2545"/>
                <w:sz w:val="18"/>
              </w:rPr>
              <w:t>Westlaw-linked work, source-linked answers, large-document comparison, discovery, depositions, and brief review.</w:t>
            </w:r>
          </w:p>
        </w:tc>
        <w:tc>
          <w:tcPr>
            <w:tcW w:type="dxa" w:w="3860"/>
          </w:tcPr>
          <w:p>
            <w:pPr>
              <w:keepNext w:val="0"/>
              <w:spacing w:before="0" w:after="0" w:line="252" w:lineRule="auto"/>
            </w:pPr>
            <w:r>
              <w:rPr>
                <w:rFonts w:ascii="Calibri" w:hAnsi="Calibri"/>
                <w:color w:val="0B2545"/>
                <w:sz w:val="18"/>
              </w:rPr>
              <w:t>High cost, slow or restrictive workflows, inconsistent task following, and continued need to verify legal analysis.</w:t>
            </w:r>
          </w:p>
        </w:tc>
      </w:tr>
      <w:tr>
        <w:tc>
          <w:tcPr>
            <w:tcW w:type="dxa" w:w="1450"/>
          </w:tcPr>
          <w:p>
            <w:pPr>
              <w:keepNext w:val="0"/>
              <w:spacing w:before="0" w:after="0" w:line="252" w:lineRule="auto"/>
            </w:pPr>
            <w:r>
              <w:rPr>
                <w:rFonts w:ascii="Calibri" w:hAnsi="Calibri"/>
                <w:color w:val="0B2545"/>
                <w:sz w:val="18"/>
              </w:rPr>
              <w:t>GC AI</w:t>
            </w:r>
          </w:p>
        </w:tc>
        <w:tc>
          <w:tcPr>
            <w:tcW w:type="dxa" w:w="4050"/>
          </w:tcPr>
          <w:p>
            <w:pPr>
              <w:keepNext w:val="0"/>
              <w:spacing w:before="0" w:after="0" w:line="252" w:lineRule="auto"/>
            </w:pPr>
            <w:r>
              <w:rPr>
                <w:rFonts w:ascii="Calibri" w:hAnsi="Calibri"/>
                <w:color w:val="0B2545"/>
                <w:sz w:val="18"/>
              </w:rPr>
              <w:t>Contract repository, custom skills, playbooks, redlining, legal context, and possible zero-data-retention terms.</w:t>
            </w:r>
          </w:p>
        </w:tc>
        <w:tc>
          <w:tcPr>
            <w:tcW w:type="dxa" w:w="3860"/>
          </w:tcPr>
          <w:p>
            <w:pPr>
              <w:keepNext w:val="0"/>
              <w:spacing w:before="0" w:after="0" w:line="252" w:lineRule="auto"/>
            </w:pPr>
            <w:r>
              <w:rPr>
                <w:rFonts w:ascii="Calibri" w:hAnsi="Calibri"/>
                <w:color w:val="0B2545"/>
                <w:sz w:val="18"/>
              </w:rPr>
              <w:t>Evidence is polarized; some users report similar results from general models and question the price.</w:t>
            </w:r>
          </w:p>
        </w:tc>
      </w:tr>
    </w:tbl>
    <w:p>
      <w:pPr>
        <w:spacing w:after="40"/>
      </w:pPr>
    </w:p>
    <w:p>
      <w:pPr>
        <w:keepNext w:val="0"/>
        <w:spacing w:before="0" w:after="160" w:line="240" w:lineRule="auto"/>
      </w:pPr>
      <w:r>
        <w:rPr>
          <w:rFonts w:ascii="Calibri" w:hAnsi="Calibri"/>
          <w:b/>
          <w:color w:val="5B6573"/>
          <w:sz w:val="17"/>
        </w:rPr>
        <w:t xml:space="preserve">Examples and counter-evidence: </w:t>
      </w:r>
      <w:hyperlink r:id="rId17">
        <w:r>
          <w:rPr>
            <w:color w:val="2E74B5"/>
            <w:u w:val="single"/>
          </w:rPr>
          <w:t>Harvey review</w:t>
        </w:r>
      </w:hyperlink>
      <w:r>
        <w:rPr>
          <w:rFonts w:ascii="Calibri" w:hAnsi="Calibri"/>
          <w:color w:val="5B6573"/>
          <w:sz w:val="17"/>
        </w:rPr>
        <w:t xml:space="preserve"> | </w:t>
      </w:r>
      <w:hyperlink r:id="rId18">
        <w:r>
          <w:rPr>
            <w:color w:val="2E74B5"/>
            <w:u w:val="single"/>
          </w:rPr>
          <w:t>Legora discussion</w:t>
        </w:r>
      </w:hyperlink>
      <w:r>
        <w:rPr>
          <w:rFonts w:ascii="Calibri" w:hAnsi="Calibri"/>
          <w:color w:val="5B6573"/>
          <w:sz w:val="17"/>
        </w:rPr>
        <w:t xml:space="preserve"> | </w:t>
      </w:r>
      <w:hyperlink r:id="rId15">
        <w:r>
          <w:rPr>
            <w:color w:val="2E74B5"/>
            <w:u w:val="single"/>
          </w:rPr>
          <w:t>CoCounsel discussion</w:t>
        </w:r>
      </w:hyperlink>
      <w:r>
        <w:rPr>
          <w:rFonts w:ascii="Calibri" w:hAnsi="Calibri"/>
          <w:color w:val="5B6573"/>
          <w:sz w:val="17"/>
        </w:rPr>
        <w:t xml:space="preserve"> | </w:t>
      </w:r>
      <w:hyperlink r:id="rId19">
        <w:r>
          <w:rPr>
            <w:color w:val="2E74B5"/>
            <w:u w:val="single"/>
          </w:rPr>
          <w:t>GC AI discussion</w:t>
        </w:r>
      </w:hyperlink>
    </w:p>
    <w:p>
      <w:pPr>
        <w:pStyle w:val="Heading1"/>
        <w:keepNext/>
        <w:spacing w:before="320" w:after="160" w:line="240" w:lineRule="auto"/>
      </w:pPr>
      <w:r>
        <w:rPr>
          <w:rFonts w:ascii="Calibri" w:hAnsi="Calibri"/>
          <w:b/>
          <w:color w:val="2E74B5"/>
          <w:sz w:val="32"/>
        </w:rPr>
        <w:t>What small teams still need</w:t>
      </w:r>
    </w:p>
    <w:tbl>
      <w:tblPr>
        <w:tblStyle w:val="TableGrid"/>
        <w:tblW w:type="dxa" w:w="9360"/>
        <w:jc w:val="left"/>
        <w:tblLayout w:type="fixed"/>
        <w:tblLook w:firstColumn="1" w:firstRow="1" w:lastColumn="0" w:lastRow="0" w:noHBand="0" w:noVBand="1" w:val="04A0"/>
        <w:tblInd w:w="120" w:type="dxa"/>
      </w:tblPr>
      <w:tblGrid>
        <w:gridCol w:w="2150"/>
        <w:gridCol w:w="3500"/>
        <w:gridCol w:w="3710"/>
      </w:tblGrid>
      <w:tr>
        <w:trPr>
          <w:tblHeader w:val="true"/>
        </w:trPr>
        <w:tc>
          <w:tcPr>
            <w:tcW w:type="dxa" w:w="21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Need</w:t>
            </w:r>
          </w:p>
        </w:tc>
        <w:tc>
          <w:tcPr>
            <w:tcW w:type="dxa" w:w="35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Current workaround or pain</w:t>
            </w:r>
          </w:p>
        </w:tc>
        <w:tc>
          <w:tcPr>
            <w:tcW w:type="dxa" w:w="371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Smallest valuable response</w:t>
            </w:r>
          </w:p>
        </w:tc>
      </w:tr>
      <w:tr>
        <w:tc>
          <w:tcPr>
            <w:tcW w:type="dxa" w:w="2150"/>
          </w:tcPr>
          <w:p>
            <w:pPr>
              <w:keepNext w:val="0"/>
              <w:spacing w:before="0" w:after="0" w:line="252" w:lineRule="auto"/>
            </w:pPr>
            <w:r>
              <w:rPr>
                <w:rFonts w:ascii="Calibri" w:hAnsi="Calibri"/>
                <w:color w:val="0B2545"/>
                <w:sz w:val="18"/>
              </w:rPr>
              <w:t>Research that is easy to verify</w:t>
            </w:r>
          </w:p>
        </w:tc>
        <w:tc>
          <w:tcPr>
            <w:tcW w:type="dxa" w:w="3500"/>
          </w:tcPr>
          <w:p>
            <w:pPr>
              <w:keepNext w:val="0"/>
              <w:spacing w:before="0" w:after="0" w:line="252" w:lineRule="auto"/>
            </w:pPr>
            <w:r>
              <w:rPr>
                <w:rFonts w:ascii="Calibri" w:hAnsi="Calibri"/>
                <w:color w:val="0B2545"/>
                <w:sz w:val="18"/>
              </w:rPr>
              <w:t>AI drafts and citations still require word-by-word checking.</w:t>
            </w:r>
          </w:p>
        </w:tc>
        <w:tc>
          <w:tcPr>
            <w:tcW w:type="dxa" w:w="3710"/>
          </w:tcPr>
          <w:p>
            <w:pPr>
              <w:keepNext w:val="0"/>
              <w:spacing w:before="0" w:after="0" w:line="252" w:lineRule="auto"/>
            </w:pPr>
            <w:r>
              <w:rPr>
                <w:rFonts w:ascii="Calibri" w:hAnsi="Calibri"/>
                <w:color w:val="0B2545"/>
                <w:sz w:val="18"/>
              </w:rPr>
              <w:t>Show exact passage links, source status, and a lawyer verification record.</w:t>
            </w:r>
          </w:p>
        </w:tc>
      </w:tr>
      <w:tr>
        <w:tc>
          <w:tcPr>
            <w:tcW w:type="dxa" w:w="2150"/>
          </w:tcPr>
          <w:p>
            <w:pPr>
              <w:keepNext w:val="0"/>
              <w:spacing w:before="0" w:after="0" w:line="252" w:lineRule="auto"/>
            </w:pPr>
            <w:r>
              <w:rPr>
                <w:rFonts w:ascii="Calibri" w:hAnsi="Calibri"/>
                <w:color w:val="0B2545"/>
                <w:sz w:val="18"/>
              </w:rPr>
              <w:t>Proof that every document was reviewed</w:t>
            </w:r>
          </w:p>
        </w:tc>
        <w:tc>
          <w:tcPr>
            <w:tcW w:type="dxa" w:w="3500"/>
          </w:tcPr>
          <w:p>
            <w:pPr>
              <w:keepNext w:val="0"/>
              <w:spacing w:before="0" w:after="0" w:line="252" w:lineRule="auto"/>
            </w:pPr>
            <w:r>
              <w:rPr>
                <w:rFonts w:ascii="Calibri" w:hAnsi="Calibri"/>
                <w:color w:val="0B2545"/>
                <w:sz w:val="18"/>
              </w:rPr>
              <w:t>A model may silently skip a file, page, or fact.</w:t>
            </w:r>
          </w:p>
        </w:tc>
        <w:tc>
          <w:tcPr>
            <w:tcW w:type="dxa" w:w="3710"/>
          </w:tcPr>
          <w:p>
            <w:pPr>
              <w:keepNext w:val="0"/>
              <w:spacing w:before="0" w:after="0" w:line="252" w:lineRule="auto"/>
            </w:pPr>
            <w:r>
              <w:rPr>
                <w:rFonts w:ascii="Calibri" w:hAnsi="Calibri"/>
                <w:color w:val="0B2545"/>
                <w:sz w:val="18"/>
              </w:rPr>
              <w:t>Provide an inventory, coverage report, unreadable-file warnings, and an exception list.</w:t>
            </w:r>
          </w:p>
        </w:tc>
      </w:tr>
      <w:tr>
        <w:tc>
          <w:tcPr>
            <w:tcW w:type="dxa" w:w="2150"/>
          </w:tcPr>
          <w:p>
            <w:pPr>
              <w:keepNext w:val="0"/>
              <w:spacing w:before="0" w:after="0" w:line="252" w:lineRule="auto"/>
            </w:pPr>
            <w:r>
              <w:rPr>
                <w:rFonts w:ascii="Calibri" w:hAnsi="Calibri"/>
                <w:color w:val="0B2545"/>
                <w:sz w:val="18"/>
              </w:rPr>
              <w:t>Persistent matter continuity</w:t>
            </w:r>
          </w:p>
        </w:tc>
        <w:tc>
          <w:tcPr>
            <w:tcW w:type="dxa" w:w="3500"/>
          </w:tcPr>
          <w:p>
            <w:pPr>
              <w:keepNext w:val="0"/>
              <w:spacing w:before="0" w:after="0" w:line="252" w:lineRule="auto"/>
            </w:pPr>
            <w:r>
              <w:rPr>
                <w:rFonts w:ascii="Calibri" w:hAnsi="Calibri"/>
                <w:color w:val="0B2545"/>
                <w:sz w:val="18"/>
              </w:rPr>
              <w:t>Lawyers repeatedly rebuild the context in each chat.</w:t>
            </w:r>
          </w:p>
        </w:tc>
        <w:tc>
          <w:tcPr>
            <w:tcW w:type="dxa" w:w="3710"/>
          </w:tcPr>
          <w:p>
            <w:pPr>
              <w:keepNext w:val="0"/>
              <w:spacing w:before="0" w:after="0" w:line="252" w:lineRule="auto"/>
            </w:pPr>
            <w:r>
              <w:rPr>
                <w:rFonts w:ascii="Calibri" w:hAnsi="Calibri"/>
                <w:color w:val="0B2545"/>
                <w:sz w:val="18"/>
              </w:rPr>
              <w:t>Keep facts, files, decisions, work product, questions, and next action together.</w:t>
            </w:r>
          </w:p>
        </w:tc>
      </w:tr>
      <w:tr>
        <w:tc>
          <w:tcPr>
            <w:tcW w:type="dxa" w:w="2150"/>
          </w:tcPr>
          <w:p>
            <w:pPr>
              <w:keepNext w:val="0"/>
              <w:spacing w:before="0" w:after="0" w:line="252" w:lineRule="auto"/>
            </w:pPr>
            <w:r>
              <w:rPr>
                <w:rFonts w:ascii="Calibri" w:hAnsi="Calibri"/>
                <w:color w:val="0B2545"/>
                <w:sz w:val="18"/>
              </w:rPr>
              <w:t>Trustworthy Word workflow</w:t>
            </w:r>
          </w:p>
        </w:tc>
        <w:tc>
          <w:tcPr>
            <w:tcW w:type="dxa" w:w="3500"/>
          </w:tcPr>
          <w:p>
            <w:pPr>
              <w:keepNext w:val="0"/>
              <w:spacing w:before="0" w:after="0" w:line="252" w:lineRule="auto"/>
            </w:pPr>
            <w:r>
              <w:rPr>
                <w:rFonts w:ascii="Calibri" w:hAnsi="Calibri"/>
                <w:color w:val="0B2545"/>
                <w:sz w:val="18"/>
              </w:rPr>
              <w:t>A redline can create a second full review burden.</w:t>
            </w:r>
          </w:p>
        </w:tc>
        <w:tc>
          <w:tcPr>
            <w:tcW w:type="dxa" w:w="3710"/>
          </w:tcPr>
          <w:p>
            <w:pPr>
              <w:keepNext w:val="0"/>
              <w:spacing w:before="0" w:after="0" w:line="252" w:lineRule="auto"/>
            </w:pPr>
            <w:r>
              <w:rPr>
                <w:rFonts w:ascii="Calibri" w:hAnsi="Calibri"/>
                <w:color w:val="0B2545"/>
                <w:sz w:val="18"/>
              </w:rPr>
              <w:t>Write precise tracked changes, explain them, preserve formatting, and export cleanly.</w:t>
            </w:r>
          </w:p>
        </w:tc>
      </w:tr>
      <w:tr>
        <w:tc>
          <w:tcPr>
            <w:tcW w:type="dxa" w:w="2150"/>
          </w:tcPr>
          <w:p>
            <w:pPr>
              <w:keepNext w:val="0"/>
              <w:spacing w:before="0" w:after="0" w:line="252" w:lineRule="auto"/>
            </w:pPr>
            <w:r>
              <w:rPr>
                <w:rFonts w:ascii="Calibri" w:hAnsi="Calibri"/>
                <w:color w:val="0B2545"/>
                <w:sz w:val="18"/>
              </w:rPr>
              <w:t>Firm precedents and playbooks</w:t>
            </w:r>
          </w:p>
        </w:tc>
        <w:tc>
          <w:tcPr>
            <w:tcW w:type="dxa" w:w="3500"/>
          </w:tcPr>
          <w:p>
            <w:pPr>
              <w:keepNext w:val="0"/>
              <w:spacing w:before="0" w:after="0" w:line="252" w:lineRule="auto"/>
            </w:pPr>
            <w:r>
              <w:rPr>
                <w:rFonts w:ascii="Calibri" w:hAnsi="Calibri"/>
                <w:color w:val="0B2545"/>
                <w:sz w:val="18"/>
              </w:rPr>
              <w:t>Basic templates fail when conditions and cross-document consistency matter.</w:t>
            </w:r>
          </w:p>
        </w:tc>
        <w:tc>
          <w:tcPr>
            <w:tcW w:type="dxa" w:w="3710"/>
          </w:tcPr>
          <w:p>
            <w:pPr>
              <w:keepNext w:val="0"/>
              <w:spacing w:before="0" w:after="0" w:line="252" w:lineRule="auto"/>
            </w:pPr>
            <w:r>
              <w:rPr>
                <w:rFonts w:ascii="Calibri" w:hAnsi="Calibri"/>
                <w:color w:val="0B2545"/>
                <w:sz w:val="18"/>
              </w:rPr>
              <w:t>Link outputs to the precedent or rule used and preserve the lawyer's ability to edit.</w:t>
            </w:r>
          </w:p>
        </w:tc>
      </w:tr>
      <w:tr>
        <w:tc>
          <w:tcPr>
            <w:tcW w:type="dxa" w:w="2150"/>
          </w:tcPr>
          <w:p>
            <w:pPr>
              <w:keepNext w:val="0"/>
              <w:spacing w:before="0" w:after="0" w:line="252" w:lineRule="auto"/>
            </w:pPr>
            <w:r>
              <w:rPr>
                <w:rFonts w:ascii="Calibri" w:hAnsi="Calibri"/>
                <w:color w:val="0B2545"/>
                <w:sz w:val="18"/>
              </w:rPr>
              <w:t>Operational follow-through</w:t>
            </w:r>
          </w:p>
        </w:tc>
        <w:tc>
          <w:tcPr>
            <w:tcW w:type="dxa" w:w="3500"/>
          </w:tcPr>
          <w:p>
            <w:pPr>
              <w:keepNext w:val="0"/>
              <w:spacing w:before="0" w:after="0" w:line="252" w:lineRule="auto"/>
            </w:pPr>
            <w:r>
              <w:rPr>
                <w:rFonts w:ascii="Calibri" w:hAnsi="Calibri"/>
                <w:color w:val="0B2545"/>
                <w:sz w:val="18"/>
              </w:rPr>
              <w:t>Separate tools manage intake, tasks, deadlines, calendar, email, and reminders.</w:t>
            </w:r>
          </w:p>
        </w:tc>
        <w:tc>
          <w:tcPr>
            <w:tcW w:type="dxa" w:w="3710"/>
          </w:tcPr>
          <w:p>
            <w:pPr>
              <w:keepNext w:val="0"/>
              <w:spacing w:before="0" w:after="0" w:line="252" w:lineRule="auto"/>
            </w:pPr>
            <w:r>
              <w:rPr>
                <w:rFonts w:ascii="Calibri" w:hAnsi="Calibri"/>
                <w:color w:val="0B2545"/>
                <w:sz w:val="18"/>
              </w:rPr>
              <w:t>Turn a confirmed matter into a visible work plan with low manual upkeep.</w:t>
            </w:r>
          </w:p>
        </w:tc>
      </w:tr>
    </w:tbl>
    <w:p>
      <w:pPr>
        <w:spacing w:after="40"/>
      </w:pPr>
    </w:p>
    <w:p>
      <w:pPr>
        <w:keepNext w:val="0"/>
        <w:spacing w:before="0" w:after="160" w:line="240" w:lineRule="auto"/>
      </w:pPr>
      <w:r>
        <w:rPr>
          <w:rFonts w:ascii="Calibri" w:hAnsi="Calibri"/>
          <w:b/>
          <w:color w:val="5B6573"/>
          <w:sz w:val="17"/>
        </w:rPr>
        <w:t xml:space="preserve">Selected sources: </w:t>
      </w:r>
      <w:hyperlink r:id="rId20">
        <w:r>
          <w:rPr>
            <w:color w:val="2E74B5"/>
            <w:u w:val="single"/>
          </w:rPr>
          <w:t>source verification</w:t>
        </w:r>
      </w:hyperlink>
      <w:r>
        <w:rPr>
          <w:rFonts w:ascii="Calibri" w:hAnsi="Calibri"/>
          <w:color w:val="5B6573"/>
          <w:sz w:val="17"/>
        </w:rPr>
        <w:t xml:space="preserve"> | </w:t>
      </w:r>
      <w:hyperlink r:id="rId21">
        <w:r>
          <w:rPr>
            <w:color w:val="2E74B5"/>
            <w:u w:val="single"/>
          </w:rPr>
          <w:t>document coverage</w:t>
        </w:r>
      </w:hyperlink>
      <w:r>
        <w:rPr>
          <w:rFonts w:ascii="Calibri" w:hAnsi="Calibri"/>
          <w:color w:val="5B6573"/>
          <w:sz w:val="17"/>
        </w:rPr>
        <w:t xml:space="preserve"> | </w:t>
      </w:r>
      <w:hyperlink r:id="rId22">
        <w:r>
          <w:rPr>
            <w:color w:val="2E74B5"/>
            <w:u w:val="single"/>
          </w:rPr>
          <w:t>matter continuity</w:t>
        </w:r>
      </w:hyperlink>
      <w:r>
        <w:rPr>
          <w:rFonts w:ascii="Calibri" w:hAnsi="Calibri"/>
          <w:color w:val="5B6573"/>
          <w:sz w:val="17"/>
        </w:rPr>
        <w:t xml:space="preserve"> | </w:t>
      </w:r>
      <w:hyperlink r:id="rId23">
        <w:r>
          <w:rPr>
            <w:color w:val="2E74B5"/>
            <w:u w:val="single"/>
          </w:rPr>
          <w:t>solo intake</w:t>
        </w:r>
      </w:hyperlink>
      <w:r>
        <w:rPr>
          <w:rFonts w:ascii="Calibri" w:hAnsi="Calibri"/>
          <w:color w:val="5B6573"/>
          <w:sz w:val="17"/>
        </w:rPr>
        <w:t xml:space="preserve"> | </w:t>
      </w:r>
      <w:hyperlink r:id="rId24">
        <w:r>
          <w:rPr>
            <w:color w:val="2E74B5"/>
            <w:u w:val="single"/>
          </w:rPr>
          <w:t>automation</w:t>
        </w:r>
      </w:hyperlink>
    </w:p>
    <w:p>
      <w:pPr>
        <w:pStyle w:val="Heading1"/>
        <w:keepNext/>
        <w:spacing w:before="320" w:after="160" w:line="240" w:lineRule="auto"/>
      </w:pPr>
      <w:r>
        <w:rPr>
          <w:rFonts w:ascii="Calibri" w:hAnsi="Calibri"/>
          <w:b/>
          <w:color w:val="2E74B5"/>
          <w:sz w:val="32"/>
        </w:rPr>
        <w:t>CounselOS: verified strengths and material gaps</w:t>
      </w:r>
    </w:p>
    <w:p>
      <w:pPr>
        <w:keepNext w:val="0"/>
        <w:spacing w:before="0" w:after="120" w:line="264" w:lineRule="auto"/>
      </w:pPr>
      <w:r>
        <w:rPr>
          <w:rFonts w:ascii="Calibri" w:hAnsi="Calibri"/>
          <w:color w:val="0B2545"/>
          <w:sz w:val="22"/>
        </w:rPr>
        <w:t>CounselOS already targets the durable work layer rather than a generic legal chatbot. The assessment below is based on the current PRD and acceptance tests, not a claim that every future capability is production-ready.</w:t>
      </w:r>
    </w:p>
    <w:tbl>
      <w:tblPr>
        <w:tblStyle w:val="TableGrid"/>
        <w:tblW w:type="dxa" w:w="9360"/>
        <w:jc w:val="left"/>
        <w:tblLayout w:type="fixed"/>
        <w:tblLook w:firstColumn="1" w:firstRow="1" w:lastColumn="0" w:lastRow="0" w:noHBand="0" w:noVBand="1" w:val="04A0"/>
        <w:tblInd w:w="120" w:type="dxa"/>
      </w:tblPr>
      <w:tblGrid>
        <w:gridCol w:w="1450"/>
        <w:gridCol w:w="950"/>
        <w:gridCol w:w="3450"/>
        <w:gridCol w:w="3510"/>
      </w:tblGrid>
      <w:tr>
        <w:trPr>
          <w:tblHeader w:val="true"/>
        </w:trPr>
        <w:tc>
          <w:tcPr>
            <w:tcW w:type="dxa" w:w="14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Capability</w:t>
            </w:r>
          </w:p>
        </w:tc>
        <w:tc>
          <w:tcPr>
            <w:tcW w:type="dxa" w:w="9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Status</w:t>
            </w:r>
          </w:p>
        </w:tc>
        <w:tc>
          <w:tcPr>
            <w:tcW w:type="dxa" w:w="34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Verified current position</w:t>
            </w:r>
          </w:p>
        </w:tc>
        <w:tc>
          <w:tcPr>
            <w:tcW w:type="dxa" w:w="351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Highest-value next step</w:t>
            </w:r>
          </w:p>
        </w:tc>
      </w:tr>
      <w:tr>
        <w:tc>
          <w:tcPr>
            <w:tcW w:type="dxa" w:w="1450"/>
          </w:tcPr>
          <w:p>
            <w:pPr>
              <w:keepNext w:val="0"/>
              <w:spacing w:before="0" w:after="0" w:line="252" w:lineRule="auto"/>
            </w:pPr>
            <w:r>
              <w:rPr>
                <w:rFonts w:ascii="Calibri" w:hAnsi="Calibri"/>
                <w:color w:val="0B2545"/>
                <w:sz w:val="17"/>
              </w:rPr>
              <w:t>Matter continuity</w:t>
            </w:r>
          </w:p>
        </w:tc>
        <w:tc>
          <w:tcPr>
            <w:tcW w:type="dxa" w:w="950"/>
          </w:tcPr>
          <w:p>
            <w:pPr>
              <w:keepNext w:val="0"/>
              <w:spacing w:before="0" w:after="0" w:line="252" w:lineRule="auto"/>
            </w:pPr>
            <w:r>
              <w:rPr>
                <w:rFonts w:ascii="Calibri" w:hAnsi="Calibri"/>
                <w:color w:val="0B2545"/>
                <w:sz w:val="17"/>
              </w:rPr>
              <w:t>Strong</w:t>
            </w:r>
          </w:p>
        </w:tc>
        <w:tc>
          <w:tcPr>
            <w:tcW w:type="dxa" w:w="3450"/>
          </w:tcPr>
          <w:p>
            <w:pPr>
              <w:keepNext w:val="0"/>
              <w:spacing w:before="0" w:after="0" w:line="252" w:lineRule="auto"/>
            </w:pPr>
            <w:r>
              <w:rPr>
                <w:rFonts w:ascii="Calibri" w:hAnsi="Calibri"/>
                <w:color w:val="0B2545"/>
                <w:sz w:val="17"/>
              </w:rPr>
              <w:t>Matter workspace, file tree, company and matter context, decisions, work items, events, and next action.</w:t>
            </w:r>
          </w:p>
        </w:tc>
        <w:tc>
          <w:tcPr>
            <w:tcW w:type="dxa" w:w="3510"/>
          </w:tcPr>
          <w:p>
            <w:pPr>
              <w:keepNext w:val="0"/>
              <w:spacing w:before="0" w:after="0" w:line="252" w:lineRule="auto"/>
            </w:pPr>
            <w:r>
              <w:rPr>
                <w:rFonts w:ascii="Calibri" w:hAnsi="Calibri"/>
                <w:color w:val="0B2545"/>
                <w:sz w:val="17"/>
              </w:rPr>
              <w:t>Keep orientation automatic; do not require lawyers to maintain duplicate records.</w:t>
            </w:r>
          </w:p>
        </w:tc>
      </w:tr>
      <w:tr>
        <w:tc>
          <w:tcPr>
            <w:tcW w:type="dxa" w:w="1450"/>
          </w:tcPr>
          <w:p>
            <w:pPr>
              <w:keepNext w:val="0"/>
              <w:spacing w:before="0" w:after="0" w:line="252" w:lineRule="auto"/>
            </w:pPr>
            <w:r>
              <w:rPr>
                <w:rFonts w:ascii="Calibri" w:hAnsi="Calibri"/>
                <w:color w:val="0B2545"/>
                <w:sz w:val="17"/>
              </w:rPr>
              <w:t>Model neutrality</w:t>
            </w:r>
          </w:p>
        </w:tc>
        <w:tc>
          <w:tcPr>
            <w:tcW w:type="dxa" w:w="950"/>
          </w:tcPr>
          <w:p>
            <w:pPr>
              <w:keepNext w:val="0"/>
              <w:spacing w:before="0" w:after="0" w:line="252" w:lineRule="auto"/>
            </w:pPr>
            <w:r>
              <w:rPr>
                <w:rFonts w:ascii="Calibri" w:hAnsi="Calibri"/>
                <w:color w:val="0B2545"/>
                <w:sz w:val="17"/>
              </w:rPr>
              <w:t>Strong</w:t>
            </w:r>
          </w:p>
        </w:tc>
        <w:tc>
          <w:tcPr>
            <w:tcW w:type="dxa" w:w="3450"/>
          </w:tcPr>
          <w:p>
            <w:pPr>
              <w:keepNext w:val="0"/>
              <w:spacing w:before="0" w:after="0" w:line="252" w:lineRule="auto"/>
            </w:pPr>
            <w:r>
              <w:rPr>
                <w:rFonts w:ascii="Calibri" w:hAnsi="Calibri"/>
                <w:color w:val="0B2545"/>
                <w:sz w:val="17"/>
              </w:rPr>
              <w:t>Multiple providers and per-agent model selection are in scope.</w:t>
            </w:r>
          </w:p>
        </w:tc>
        <w:tc>
          <w:tcPr>
            <w:tcW w:type="dxa" w:w="3510"/>
          </w:tcPr>
          <w:p>
            <w:pPr>
              <w:keepNext w:val="0"/>
              <w:spacing w:before="0" w:after="0" w:line="252" w:lineRule="auto"/>
            </w:pPr>
            <w:r>
              <w:rPr>
                <w:rFonts w:ascii="Calibri" w:hAnsi="Calibri"/>
                <w:color w:val="0B2545"/>
                <w:sz w:val="17"/>
              </w:rPr>
              <w:t>Make model choice explicit and preserve the matter when the model changes.</w:t>
            </w:r>
          </w:p>
        </w:tc>
      </w:tr>
      <w:tr>
        <w:tc>
          <w:tcPr>
            <w:tcW w:type="dxa" w:w="1450"/>
          </w:tcPr>
          <w:p>
            <w:pPr>
              <w:keepNext w:val="0"/>
              <w:spacing w:before="0" w:after="0" w:line="252" w:lineRule="auto"/>
            </w:pPr>
            <w:r>
              <w:rPr>
                <w:rFonts w:ascii="Calibri" w:hAnsi="Calibri"/>
                <w:color w:val="0B2545"/>
                <w:sz w:val="17"/>
              </w:rPr>
              <w:t>Source distinction</w:t>
            </w:r>
          </w:p>
        </w:tc>
        <w:tc>
          <w:tcPr>
            <w:tcW w:type="dxa" w:w="950"/>
          </w:tcPr>
          <w:p>
            <w:pPr>
              <w:keepNext w:val="0"/>
              <w:spacing w:before="0" w:after="0" w:line="252" w:lineRule="auto"/>
            </w:pPr>
            <w:r>
              <w:rPr>
                <w:rFonts w:ascii="Calibri" w:hAnsi="Calibri"/>
                <w:color w:val="0B2545"/>
                <w:sz w:val="17"/>
              </w:rPr>
              <w:t>Partial</w:t>
            </w:r>
          </w:p>
        </w:tc>
        <w:tc>
          <w:tcPr>
            <w:tcW w:type="dxa" w:w="3450"/>
          </w:tcPr>
          <w:p>
            <w:pPr>
              <w:keepNext w:val="0"/>
              <w:spacing w:before="0" w:after="0" w:line="252" w:lineRule="auto"/>
            </w:pPr>
            <w:r>
              <w:rPr>
                <w:rFonts w:ascii="Calibri" w:hAnsi="Calibri"/>
                <w:color w:val="0B2545"/>
                <w:sz w:val="17"/>
              </w:rPr>
              <w:t>Research distinguishes internal and external sources and preserves useful partial output.</w:t>
            </w:r>
          </w:p>
        </w:tc>
        <w:tc>
          <w:tcPr>
            <w:tcW w:type="dxa" w:w="3510"/>
          </w:tcPr>
          <w:p>
            <w:pPr>
              <w:keepNext w:val="0"/>
              <w:spacing w:before="0" w:after="0" w:line="252" w:lineRule="auto"/>
            </w:pPr>
            <w:r>
              <w:rPr>
                <w:rFonts w:ascii="Calibri" w:hAnsi="Calibri"/>
                <w:color w:val="0B2545"/>
                <w:sz w:val="17"/>
              </w:rPr>
              <w:t>Add exact passage links, proposition-level support, and a reviewed/unreviewed source status.</w:t>
            </w:r>
          </w:p>
        </w:tc>
      </w:tr>
      <w:tr>
        <w:tc>
          <w:tcPr>
            <w:tcW w:type="dxa" w:w="1450"/>
          </w:tcPr>
          <w:p>
            <w:pPr>
              <w:keepNext w:val="0"/>
              <w:spacing w:before="0" w:after="0" w:line="252" w:lineRule="auto"/>
            </w:pPr>
            <w:r>
              <w:rPr>
                <w:rFonts w:ascii="Calibri" w:hAnsi="Calibri"/>
                <w:color w:val="0B2545"/>
                <w:sz w:val="17"/>
              </w:rPr>
              <w:t>Document review and Word</w:t>
            </w:r>
          </w:p>
        </w:tc>
        <w:tc>
          <w:tcPr>
            <w:tcW w:type="dxa" w:w="950"/>
          </w:tcPr>
          <w:p>
            <w:pPr>
              <w:keepNext w:val="0"/>
              <w:spacing w:before="0" w:after="0" w:line="252" w:lineRule="auto"/>
            </w:pPr>
            <w:r>
              <w:rPr>
                <w:rFonts w:ascii="Calibri" w:hAnsi="Calibri"/>
                <w:color w:val="0B2545"/>
                <w:sz w:val="17"/>
              </w:rPr>
              <w:t>Partial</w:t>
            </w:r>
          </w:p>
        </w:tc>
        <w:tc>
          <w:tcPr>
            <w:tcW w:type="dxa" w:w="3450"/>
          </w:tcPr>
          <w:p>
            <w:pPr>
              <w:keepNext w:val="0"/>
              <w:spacing w:before="0" w:after="0" w:line="252" w:lineRule="auto"/>
            </w:pPr>
            <w:r>
              <w:rPr>
                <w:rFonts w:ascii="Calibri" w:hAnsi="Calibri"/>
                <w:color w:val="0B2545"/>
                <w:sz w:val="17"/>
              </w:rPr>
              <w:t>PDF/DOCX extraction, tracked changes, comments, accept/reject, and Word/PDF export are present.</w:t>
            </w:r>
          </w:p>
        </w:tc>
        <w:tc>
          <w:tcPr>
            <w:tcW w:type="dxa" w:w="3510"/>
          </w:tcPr>
          <w:p>
            <w:pPr>
              <w:keepNext w:val="0"/>
              <w:spacing w:before="0" w:after="0" w:line="252" w:lineRule="auto"/>
            </w:pPr>
            <w:r>
              <w:rPr>
                <w:rFonts w:ascii="Calibri" w:hAnsi="Calibri"/>
                <w:color w:val="0B2545"/>
                <w:sz w:val="17"/>
              </w:rPr>
              <w:t>Add review coverage receipts, structured batch extraction, and later a live Word workflow.</w:t>
            </w:r>
          </w:p>
        </w:tc>
      </w:tr>
      <w:tr>
        <w:tc>
          <w:tcPr>
            <w:tcW w:type="dxa" w:w="1450"/>
          </w:tcPr>
          <w:p>
            <w:pPr>
              <w:keepNext w:val="0"/>
              <w:spacing w:before="0" w:after="0" w:line="252" w:lineRule="auto"/>
            </w:pPr>
            <w:r>
              <w:rPr>
                <w:rFonts w:ascii="Calibri" w:hAnsi="Calibri"/>
                <w:color w:val="0B2545"/>
                <w:sz w:val="17"/>
              </w:rPr>
              <w:t>Playbooks and skills</w:t>
            </w:r>
          </w:p>
        </w:tc>
        <w:tc>
          <w:tcPr>
            <w:tcW w:type="dxa" w:w="950"/>
          </w:tcPr>
          <w:p>
            <w:pPr>
              <w:keepNext w:val="0"/>
              <w:spacing w:before="0" w:after="0" w:line="252" w:lineRule="auto"/>
            </w:pPr>
            <w:r>
              <w:rPr>
                <w:rFonts w:ascii="Calibri" w:hAnsi="Calibri"/>
                <w:color w:val="0B2545"/>
                <w:sz w:val="17"/>
              </w:rPr>
              <w:t>Strong</w:t>
            </w:r>
          </w:p>
        </w:tc>
        <w:tc>
          <w:tcPr>
            <w:tcW w:type="dxa" w:w="3450"/>
          </w:tcPr>
          <w:p>
            <w:pPr>
              <w:keepNext w:val="0"/>
              <w:spacing w:before="0" w:after="0" w:line="252" w:lineRule="auto"/>
            </w:pPr>
            <w:r>
              <w:rPr>
                <w:rFonts w:ascii="Calibri" w:hAnsi="Calibri"/>
                <w:color w:val="0B2545"/>
                <w:sz w:val="17"/>
              </w:rPr>
              <w:t>Editable Markdown skills, agents, tools, and workflows are present.</w:t>
            </w:r>
          </w:p>
        </w:tc>
        <w:tc>
          <w:tcPr>
            <w:tcW w:type="dxa" w:w="3510"/>
          </w:tcPr>
          <w:p>
            <w:pPr>
              <w:keepNext w:val="0"/>
              <w:spacing w:before="0" w:after="0" w:line="252" w:lineRule="auto"/>
            </w:pPr>
            <w:r>
              <w:rPr>
                <w:rFonts w:ascii="Calibri" w:hAnsi="Calibri"/>
                <w:color w:val="0B2545"/>
                <w:sz w:val="17"/>
              </w:rPr>
              <w:t>Tie each generated recommendation or clause back to the selected playbook or precedent.</w:t>
            </w:r>
          </w:p>
        </w:tc>
      </w:tr>
      <w:tr>
        <w:tc>
          <w:tcPr>
            <w:tcW w:type="dxa" w:w="1450"/>
          </w:tcPr>
          <w:p>
            <w:pPr>
              <w:keepNext w:val="0"/>
              <w:spacing w:before="0" w:after="0" w:line="252" w:lineRule="auto"/>
            </w:pPr>
            <w:r>
              <w:rPr>
                <w:rFonts w:ascii="Calibri" w:hAnsi="Calibri"/>
                <w:color w:val="0B2545"/>
                <w:sz w:val="17"/>
              </w:rPr>
              <w:t>Research authority</w:t>
            </w:r>
          </w:p>
        </w:tc>
        <w:tc>
          <w:tcPr>
            <w:tcW w:type="dxa" w:w="950"/>
          </w:tcPr>
          <w:p>
            <w:pPr>
              <w:keepNext w:val="0"/>
              <w:spacing w:before="0" w:after="0" w:line="252" w:lineRule="auto"/>
            </w:pPr>
            <w:r>
              <w:rPr>
                <w:rFonts w:ascii="Calibri" w:hAnsi="Calibri"/>
                <w:color w:val="0B2545"/>
                <w:sz w:val="17"/>
              </w:rPr>
              <w:t>Partial</w:t>
            </w:r>
          </w:p>
        </w:tc>
        <w:tc>
          <w:tcPr>
            <w:tcW w:type="dxa" w:w="3450"/>
          </w:tcPr>
          <w:p>
            <w:pPr>
              <w:keepNext w:val="0"/>
              <w:spacing w:before="0" w:after="0" w:line="252" w:lineRule="auto"/>
            </w:pPr>
            <w:r>
              <w:rPr>
                <w:rFonts w:ascii="Calibri" w:hAnsi="Calibri"/>
                <w:color w:val="0B2545"/>
                <w:sz w:val="17"/>
              </w:rPr>
              <w:t>Polaris-backed public research and internal context are present.</w:t>
            </w:r>
          </w:p>
        </w:tc>
        <w:tc>
          <w:tcPr>
            <w:tcW w:type="dxa" w:w="3510"/>
          </w:tcPr>
          <w:p>
            <w:pPr>
              <w:keepNext w:val="0"/>
              <w:spacing w:before="0" w:after="0" w:line="252" w:lineRule="auto"/>
            </w:pPr>
            <w:r>
              <w:rPr>
                <w:rFonts w:ascii="Calibri" w:hAnsi="Calibri"/>
                <w:color w:val="0B2545"/>
                <w:sz w:val="17"/>
              </w:rPr>
              <w:t>Support lawyer-led Westlaw/Lexis handoff and verified-authority records; do not build a legal corpus first.</w:t>
            </w:r>
          </w:p>
        </w:tc>
      </w:tr>
      <w:tr>
        <w:tc>
          <w:tcPr>
            <w:tcW w:type="dxa" w:w="1450"/>
          </w:tcPr>
          <w:p>
            <w:pPr>
              <w:keepNext w:val="0"/>
              <w:spacing w:before="0" w:after="0" w:line="252" w:lineRule="auto"/>
            </w:pPr>
            <w:r>
              <w:rPr>
                <w:rFonts w:ascii="Calibri" w:hAnsi="Calibri"/>
                <w:color w:val="0B2545"/>
                <w:sz w:val="17"/>
              </w:rPr>
              <w:t>Daily-work integration</w:t>
            </w:r>
          </w:p>
        </w:tc>
        <w:tc>
          <w:tcPr>
            <w:tcW w:type="dxa" w:w="950"/>
          </w:tcPr>
          <w:p>
            <w:pPr>
              <w:keepNext w:val="0"/>
              <w:spacing w:before="0" w:after="0" w:line="252" w:lineRule="auto"/>
            </w:pPr>
            <w:r>
              <w:rPr>
                <w:rFonts w:ascii="Calibri" w:hAnsi="Calibri"/>
                <w:color w:val="0B2545"/>
                <w:sz w:val="17"/>
              </w:rPr>
              <w:t>Partial</w:t>
            </w:r>
          </w:p>
        </w:tc>
        <w:tc>
          <w:tcPr>
            <w:tcW w:type="dxa" w:w="3450"/>
          </w:tcPr>
          <w:p>
            <w:pPr>
              <w:keepNext w:val="0"/>
              <w:spacing w:before="0" w:after="0" w:line="252" w:lineRule="auto"/>
            </w:pPr>
            <w:r>
              <w:rPr>
                <w:rFonts w:ascii="Calibri" w:hAnsi="Calibri"/>
                <w:color w:val="0B2545"/>
                <w:sz w:val="17"/>
              </w:rPr>
              <w:t>Inbox watcher and schedules exist.</w:t>
            </w:r>
          </w:p>
        </w:tc>
        <w:tc>
          <w:tcPr>
            <w:tcW w:type="dxa" w:w="3510"/>
          </w:tcPr>
          <w:p>
            <w:pPr>
              <w:keepNext w:val="0"/>
              <w:spacing w:before="0" w:after="0" w:line="252" w:lineRule="auto"/>
            </w:pPr>
            <w:r>
              <w:rPr>
                <w:rFonts w:ascii="Calibri" w:hAnsi="Calibri"/>
                <w:color w:val="0B2545"/>
                <w:sz w:val="17"/>
              </w:rPr>
              <w:t>Add deliberate low-noise email or Slack capture before broad integration work.</w:t>
            </w:r>
          </w:p>
        </w:tc>
      </w:tr>
      <w:tr>
        <w:tc>
          <w:tcPr>
            <w:tcW w:type="dxa" w:w="1450"/>
          </w:tcPr>
          <w:p>
            <w:pPr>
              <w:keepNext w:val="0"/>
              <w:spacing w:before="0" w:after="0" w:line="252" w:lineRule="auto"/>
            </w:pPr>
            <w:r>
              <w:rPr>
                <w:rFonts w:ascii="Calibri" w:hAnsi="Calibri"/>
                <w:color w:val="0B2545"/>
                <w:sz w:val="17"/>
              </w:rPr>
              <w:t>Team collaboration</w:t>
            </w:r>
          </w:p>
        </w:tc>
        <w:tc>
          <w:tcPr>
            <w:tcW w:type="dxa" w:w="950"/>
          </w:tcPr>
          <w:p>
            <w:pPr>
              <w:keepNext w:val="0"/>
              <w:spacing w:before="0" w:after="0" w:line="252" w:lineRule="auto"/>
            </w:pPr>
            <w:r>
              <w:rPr>
                <w:rFonts w:ascii="Calibri" w:hAnsi="Calibri"/>
                <w:color w:val="0B2545"/>
                <w:sz w:val="17"/>
              </w:rPr>
              <w:t>Not yet targeted</w:t>
            </w:r>
          </w:p>
        </w:tc>
        <w:tc>
          <w:tcPr>
            <w:tcW w:type="dxa" w:w="3450"/>
          </w:tcPr>
          <w:p>
            <w:pPr>
              <w:keepNext w:val="0"/>
              <w:spacing w:before="0" w:after="0" w:line="252" w:lineRule="auto"/>
            </w:pPr>
            <w:r>
              <w:rPr>
                <w:rFonts w:ascii="Calibri" w:hAnsi="Calibri"/>
                <w:color w:val="0B2545"/>
                <w:sz w:val="17"/>
              </w:rPr>
              <w:t>The MVP is a single-user local application by design.</w:t>
            </w:r>
          </w:p>
        </w:tc>
        <w:tc>
          <w:tcPr>
            <w:tcW w:type="dxa" w:w="3510"/>
          </w:tcPr>
          <w:p>
            <w:pPr>
              <w:keepNext w:val="0"/>
              <w:spacing w:before="0" w:after="0" w:line="252" w:lineRule="auto"/>
            </w:pPr>
            <w:r>
              <w:rPr>
                <w:rFonts w:ascii="Calibri" w:hAnsi="Calibri"/>
                <w:color w:val="0B2545"/>
                <w:sz w:val="17"/>
              </w:rPr>
              <w:t>Later add lightweight owners, handoffs, shared access, and audit state for small teams.</w:t>
            </w:r>
          </w:p>
        </w:tc>
      </w:tr>
    </w:tbl>
    <w:p>
      <w:pPr>
        <w:spacing w:after="40"/>
      </w:pPr>
    </w:p>
    <w:p>
      <w:pPr>
        <w:pStyle w:val="Heading1"/>
        <w:keepNext/>
        <w:spacing w:before="320" w:after="160" w:line="240" w:lineRule="auto"/>
      </w:pPr>
      <w:r>
        <w:rPr>
          <w:rFonts w:ascii="Calibri" w:hAnsi="Calibri"/>
          <w:b/>
          <w:color w:val="2E74B5"/>
          <w:sz w:val="32"/>
        </w:rPr>
        <w:t>Recommended product priority</w:t>
      </w:r>
    </w:p>
    <w:tbl>
      <w:tblPr>
        <w:tblStyle w:val="TableGrid"/>
        <w:tblW w:type="dxa" w:w="9360"/>
        <w:jc w:val="left"/>
        <w:tblLayout w:type="fixed"/>
        <w:tblLook w:firstColumn="1" w:firstRow="1" w:lastColumn="0" w:lastRow="0" w:noHBand="0" w:noVBand="1" w:val="04A0"/>
        <w:tblInd w:w="120" w:type="dxa"/>
      </w:tblPr>
      <w:tblGrid>
        <w:gridCol w:w="700"/>
        <w:gridCol w:w="2850"/>
        <w:gridCol w:w="5810"/>
      </w:tblGrid>
      <w:tr>
        <w:trPr>
          <w:tblHeader w:val="true"/>
        </w:trPr>
        <w:tc>
          <w:tcPr>
            <w:tcW w:type="dxa" w:w="7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Priority</w:t>
            </w:r>
          </w:p>
        </w:tc>
        <w:tc>
          <w:tcPr>
            <w:tcW w:type="dxa" w:w="28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Capability</w:t>
            </w:r>
          </w:p>
        </w:tc>
        <w:tc>
          <w:tcPr>
            <w:tcW w:type="dxa" w:w="581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it matters</w:t>
            </w:r>
          </w:p>
        </w:tc>
      </w:tr>
      <w:tr>
        <w:tc>
          <w:tcPr>
            <w:tcW w:type="dxa" w:w="700"/>
          </w:tcPr>
          <w:p>
            <w:pPr>
              <w:keepNext w:val="0"/>
              <w:spacing w:before="0" w:after="0" w:line="252" w:lineRule="auto"/>
            </w:pPr>
            <w:r>
              <w:rPr>
                <w:rFonts w:ascii="Calibri" w:hAnsi="Calibri"/>
                <w:color w:val="0B2545"/>
                <w:sz w:val="18"/>
              </w:rPr>
              <w:t>1</w:t>
            </w:r>
          </w:p>
        </w:tc>
        <w:tc>
          <w:tcPr>
            <w:tcW w:type="dxa" w:w="2850"/>
          </w:tcPr>
          <w:p>
            <w:pPr>
              <w:keepNext w:val="0"/>
              <w:spacing w:before="0" w:after="0" w:line="252" w:lineRule="auto"/>
            </w:pPr>
            <w:r>
              <w:rPr>
                <w:rFonts w:ascii="Calibri" w:hAnsi="Calibri"/>
                <w:color w:val="0B2545"/>
                <w:sz w:val="18"/>
              </w:rPr>
              <w:t>Exact source passage links and document-coverage receipts</w:t>
            </w:r>
          </w:p>
        </w:tc>
        <w:tc>
          <w:tcPr>
            <w:tcW w:type="dxa" w:w="5810"/>
          </w:tcPr>
          <w:p>
            <w:pPr>
              <w:keepNext w:val="0"/>
              <w:spacing w:before="0" w:after="0" w:line="252" w:lineRule="auto"/>
            </w:pPr>
            <w:r>
              <w:rPr>
                <w:rFonts w:ascii="Calibri" w:hAnsi="Calibri"/>
                <w:color w:val="0B2545"/>
                <w:sz w:val="18"/>
              </w:rPr>
              <w:t>Prove what supported the answer and what the system actually reviewed.</w:t>
            </w:r>
          </w:p>
        </w:tc>
      </w:tr>
      <w:tr>
        <w:tc>
          <w:tcPr>
            <w:tcW w:type="dxa" w:w="700"/>
          </w:tcPr>
          <w:p>
            <w:pPr>
              <w:keepNext w:val="0"/>
              <w:spacing w:before="0" w:after="0" w:line="252" w:lineRule="auto"/>
            </w:pPr>
            <w:r>
              <w:rPr>
                <w:rFonts w:ascii="Calibri" w:hAnsi="Calibri"/>
                <w:color w:val="0B2545"/>
                <w:sz w:val="18"/>
              </w:rPr>
              <w:t>2</w:t>
            </w:r>
          </w:p>
        </w:tc>
        <w:tc>
          <w:tcPr>
            <w:tcW w:type="dxa" w:w="2850"/>
          </w:tcPr>
          <w:p>
            <w:pPr>
              <w:keepNext w:val="0"/>
              <w:spacing w:before="0" w:after="0" w:line="252" w:lineRule="auto"/>
            </w:pPr>
            <w:r>
              <w:rPr>
                <w:rFonts w:ascii="Calibri" w:hAnsi="Calibri"/>
                <w:color w:val="0B2545"/>
                <w:sz w:val="18"/>
              </w:rPr>
              <w:t>Structured multi-document review</w:t>
            </w:r>
          </w:p>
        </w:tc>
        <w:tc>
          <w:tcPr>
            <w:tcW w:type="dxa" w:w="5810"/>
          </w:tcPr>
          <w:p>
            <w:pPr>
              <w:keepNext w:val="0"/>
              <w:spacing w:before="0" w:after="0" w:line="252" w:lineRule="auto"/>
            </w:pPr>
            <w:r>
              <w:rPr>
                <w:rFonts w:ascii="Calibri" w:hAnsi="Calibri"/>
                <w:color w:val="0B2545"/>
                <w:sz w:val="18"/>
              </w:rPr>
              <w:t>Produce a table of extracted answers, linked support, exceptions, and missing data.</w:t>
            </w:r>
          </w:p>
        </w:tc>
      </w:tr>
      <w:tr>
        <w:tc>
          <w:tcPr>
            <w:tcW w:type="dxa" w:w="700"/>
          </w:tcPr>
          <w:p>
            <w:pPr>
              <w:keepNext w:val="0"/>
              <w:spacing w:before="0" w:after="0" w:line="252" w:lineRule="auto"/>
            </w:pPr>
            <w:r>
              <w:rPr>
                <w:rFonts w:ascii="Calibri" w:hAnsi="Calibri"/>
                <w:color w:val="0B2545"/>
                <w:sz w:val="18"/>
              </w:rPr>
              <w:t>3</w:t>
            </w:r>
          </w:p>
        </w:tc>
        <w:tc>
          <w:tcPr>
            <w:tcW w:type="dxa" w:w="2850"/>
          </w:tcPr>
          <w:p>
            <w:pPr>
              <w:keepNext w:val="0"/>
              <w:spacing w:before="0" w:after="0" w:line="252" w:lineRule="auto"/>
            </w:pPr>
            <w:r>
              <w:rPr>
                <w:rFonts w:ascii="Calibri" w:hAnsi="Calibri"/>
                <w:color w:val="0B2545"/>
                <w:sz w:val="18"/>
              </w:rPr>
              <w:t>Automatic matter orientation</w:t>
            </w:r>
          </w:p>
        </w:tc>
        <w:tc>
          <w:tcPr>
            <w:tcW w:type="dxa" w:w="5810"/>
          </w:tcPr>
          <w:p>
            <w:pPr>
              <w:keepNext w:val="0"/>
              <w:spacing w:before="0" w:after="0" w:line="252" w:lineRule="auto"/>
            </w:pPr>
            <w:r>
              <w:rPr>
                <w:rFonts w:ascii="Calibri" w:hAnsi="Calibri"/>
                <w:color w:val="0B2545"/>
                <w:sz w:val="18"/>
              </w:rPr>
              <w:t>Convert confirmed intake and uploaded files into facts, missing facts, issues, and a useful next action.</w:t>
            </w:r>
          </w:p>
        </w:tc>
      </w:tr>
      <w:tr>
        <w:tc>
          <w:tcPr>
            <w:tcW w:type="dxa" w:w="700"/>
          </w:tcPr>
          <w:p>
            <w:pPr>
              <w:keepNext w:val="0"/>
              <w:spacing w:before="0" w:after="0" w:line="252" w:lineRule="auto"/>
            </w:pPr>
            <w:r>
              <w:rPr>
                <w:rFonts w:ascii="Calibri" w:hAnsi="Calibri"/>
                <w:color w:val="0B2545"/>
                <w:sz w:val="18"/>
              </w:rPr>
              <w:t>4</w:t>
            </w:r>
          </w:p>
        </w:tc>
        <w:tc>
          <w:tcPr>
            <w:tcW w:type="dxa" w:w="2850"/>
          </w:tcPr>
          <w:p>
            <w:pPr>
              <w:keepNext w:val="0"/>
              <w:spacing w:before="0" w:after="0" w:line="252" w:lineRule="auto"/>
            </w:pPr>
            <w:r>
              <w:rPr>
                <w:rFonts w:ascii="Calibri" w:hAnsi="Calibri"/>
                <w:color w:val="0B2545"/>
                <w:sz w:val="18"/>
              </w:rPr>
              <w:t>Low-maintenance handoffs and follow-through</w:t>
            </w:r>
          </w:p>
        </w:tc>
        <w:tc>
          <w:tcPr>
            <w:tcW w:type="dxa" w:w="5810"/>
          </w:tcPr>
          <w:p>
            <w:pPr>
              <w:keepNext w:val="0"/>
              <w:spacing w:before="0" w:after="0" w:line="252" w:lineRule="auto"/>
            </w:pPr>
            <w:r>
              <w:rPr>
                <w:rFonts w:ascii="Calibri" w:hAnsi="Calibri"/>
                <w:color w:val="0B2545"/>
                <w:sz w:val="18"/>
              </w:rPr>
              <w:t>Keep ownership, deadlines, open questions, and completed work visible without duplicate task entry.</w:t>
            </w:r>
          </w:p>
        </w:tc>
      </w:tr>
      <w:tr>
        <w:tc>
          <w:tcPr>
            <w:tcW w:type="dxa" w:w="700"/>
          </w:tcPr>
          <w:p>
            <w:pPr>
              <w:keepNext w:val="0"/>
              <w:spacing w:before="0" w:after="0" w:line="252" w:lineRule="auto"/>
            </w:pPr>
            <w:r>
              <w:rPr>
                <w:rFonts w:ascii="Calibri" w:hAnsi="Calibri"/>
                <w:color w:val="0B2545"/>
                <w:sz w:val="18"/>
              </w:rPr>
              <w:t>5</w:t>
            </w:r>
          </w:p>
        </w:tc>
        <w:tc>
          <w:tcPr>
            <w:tcW w:type="dxa" w:w="2850"/>
          </w:tcPr>
          <w:p>
            <w:pPr>
              <w:keepNext w:val="0"/>
              <w:spacing w:before="0" w:after="0" w:line="252" w:lineRule="auto"/>
            </w:pPr>
            <w:r>
              <w:rPr>
                <w:rFonts w:ascii="Calibri" w:hAnsi="Calibri"/>
                <w:color w:val="0B2545"/>
                <w:sz w:val="18"/>
              </w:rPr>
              <w:t>Email or Slack intake</w:t>
            </w:r>
          </w:p>
        </w:tc>
        <w:tc>
          <w:tcPr>
            <w:tcW w:type="dxa" w:w="5810"/>
          </w:tcPr>
          <w:p>
            <w:pPr>
              <w:keepNext w:val="0"/>
              <w:spacing w:before="0" w:after="0" w:line="252" w:lineRule="auto"/>
            </w:pPr>
            <w:r>
              <w:rPr>
                <w:rFonts w:ascii="Calibri" w:hAnsi="Calibri"/>
                <w:color w:val="0B2545"/>
                <w:sz w:val="18"/>
              </w:rPr>
              <w:t>Capture daily legal work into a draft matter with classification and human confirmation.</w:t>
            </w:r>
          </w:p>
        </w:tc>
      </w:tr>
      <w:tr>
        <w:tc>
          <w:tcPr>
            <w:tcW w:type="dxa" w:w="700"/>
          </w:tcPr>
          <w:p>
            <w:pPr>
              <w:keepNext w:val="0"/>
              <w:spacing w:before="0" w:after="0" w:line="252" w:lineRule="auto"/>
            </w:pPr>
            <w:r>
              <w:rPr>
                <w:rFonts w:ascii="Calibri" w:hAnsi="Calibri"/>
                <w:color w:val="0B2545"/>
                <w:sz w:val="18"/>
              </w:rPr>
              <w:t>6</w:t>
            </w:r>
          </w:p>
        </w:tc>
        <w:tc>
          <w:tcPr>
            <w:tcW w:type="dxa" w:w="2850"/>
          </w:tcPr>
          <w:p>
            <w:pPr>
              <w:keepNext w:val="0"/>
              <w:spacing w:before="0" w:after="0" w:line="252" w:lineRule="auto"/>
            </w:pPr>
            <w:r>
              <w:rPr>
                <w:rFonts w:ascii="Calibri" w:hAnsi="Calibri"/>
                <w:color w:val="0B2545"/>
                <w:sz w:val="18"/>
              </w:rPr>
              <w:t>Legal research handoff</w:t>
            </w:r>
          </w:p>
        </w:tc>
        <w:tc>
          <w:tcPr>
            <w:tcW w:type="dxa" w:w="5810"/>
          </w:tcPr>
          <w:p>
            <w:pPr>
              <w:keepNext w:val="0"/>
              <w:spacing w:before="0" w:after="0" w:line="252" w:lineRule="auto"/>
            </w:pPr>
            <w:r>
              <w:rPr>
                <w:rFonts w:ascii="Calibri" w:hAnsi="Calibri"/>
                <w:color w:val="0B2545"/>
                <w:sz w:val="18"/>
              </w:rPr>
              <w:t>Let lawyers bring authoritative sources into the matter and mark propositions as checked.</w:t>
            </w:r>
          </w:p>
        </w:tc>
      </w:tr>
      <w:tr>
        <w:tc>
          <w:tcPr>
            <w:tcW w:type="dxa" w:w="700"/>
          </w:tcPr>
          <w:p>
            <w:pPr>
              <w:keepNext w:val="0"/>
              <w:spacing w:before="0" w:after="0" w:line="252" w:lineRule="auto"/>
            </w:pPr>
            <w:r>
              <w:rPr>
                <w:rFonts w:ascii="Calibri" w:hAnsi="Calibri"/>
                <w:color w:val="0B2545"/>
                <w:sz w:val="18"/>
              </w:rPr>
              <w:t>7</w:t>
            </w:r>
          </w:p>
        </w:tc>
        <w:tc>
          <w:tcPr>
            <w:tcW w:type="dxa" w:w="2850"/>
          </w:tcPr>
          <w:p>
            <w:pPr>
              <w:keepNext w:val="0"/>
              <w:spacing w:before="0" w:after="0" w:line="252" w:lineRule="auto"/>
            </w:pPr>
            <w:r>
              <w:rPr>
                <w:rFonts w:ascii="Calibri" w:hAnsi="Calibri"/>
                <w:color w:val="0B2545"/>
                <w:sz w:val="18"/>
              </w:rPr>
              <w:t>Live Word integration</w:t>
            </w:r>
          </w:p>
        </w:tc>
        <w:tc>
          <w:tcPr>
            <w:tcW w:type="dxa" w:w="5810"/>
          </w:tcPr>
          <w:p>
            <w:pPr>
              <w:keepNext w:val="0"/>
              <w:spacing w:before="0" w:after="0" w:line="252" w:lineRule="auto"/>
            </w:pPr>
            <w:r>
              <w:rPr>
                <w:rFonts w:ascii="Calibri" w:hAnsi="Calibri"/>
                <w:color w:val="0B2545"/>
                <w:sz w:val="18"/>
              </w:rPr>
              <w:t>Reduce switching cost after the review and source-grounding workflow has proved value.</w:t>
            </w:r>
          </w:p>
        </w:tc>
      </w:tr>
      <w:tr>
        <w:tc>
          <w:tcPr>
            <w:tcW w:type="dxa" w:w="700"/>
          </w:tcPr>
          <w:p>
            <w:pPr>
              <w:keepNext w:val="0"/>
              <w:spacing w:before="0" w:after="0" w:line="252" w:lineRule="auto"/>
            </w:pPr>
            <w:r>
              <w:rPr>
                <w:rFonts w:ascii="Calibri" w:hAnsi="Calibri"/>
                <w:color w:val="0B2545"/>
                <w:sz w:val="18"/>
              </w:rPr>
              <w:t>8</w:t>
            </w:r>
          </w:p>
        </w:tc>
        <w:tc>
          <w:tcPr>
            <w:tcW w:type="dxa" w:w="2850"/>
          </w:tcPr>
          <w:p>
            <w:pPr>
              <w:keepNext w:val="0"/>
              <w:spacing w:before="0" w:after="0" w:line="252" w:lineRule="auto"/>
            </w:pPr>
            <w:r>
              <w:rPr>
                <w:rFonts w:ascii="Calibri" w:hAnsi="Calibri"/>
                <w:color w:val="0B2545"/>
                <w:sz w:val="18"/>
              </w:rPr>
              <w:t>Lightweight small-team collaboration</w:t>
            </w:r>
          </w:p>
        </w:tc>
        <w:tc>
          <w:tcPr>
            <w:tcW w:type="dxa" w:w="5810"/>
          </w:tcPr>
          <w:p>
            <w:pPr>
              <w:keepNext w:val="0"/>
              <w:spacing w:before="0" w:after="0" w:line="252" w:lineRule="auto"/>
            </w:pPr>
            <w:r>
              <w:rPr>
                <w:rFonts w:ascii="Calibri" w:hAnsi="Calibri"/>
                <w:color w:val="0B2545"/>
                <w:sz w:val="18"/>
              </w:rPr>
              <w:t>Add shared access and clear handoff records before enterprise governance.</w:t>
            </w:r>
          </w:p>
        </w:tc>
      </w:tr>
    </w:tbl>
    <w:p>
      <w:pPr>
        <w:spacing w:after="40"/>
      </w:pPr>
    </w:p>
    <w:p>
      <w:pPr>
        <w:pStyle w:val="Heading1"/>
        <w:keepNext/>
        <w:spacing w:before="320" w:after="160" w:line="240" w:lineRule="auto"/>
      </w:pPr>
      <w:r>
        <w:rPr>
          <w:rFonts w:ascii="Calibri" w:hAnsi="Calibri"/>
          <w:b/>
          <w:color w:val="2E74B5"/>
          <w:sz w:val="32"/>
        </w:rPr>
        <w:t>What CounselOS should not build first</w:t>
      </w:r>
    </w:p>
    <w:p>
      <w:pPr>
        <w:pStyle w:val="ListBullet"/>
        <w:keepNext w:val="0"/>
        <w:spacing w:before="0" w:after="80" w:line="280" w:lineRule="auto"/>
      </w:pPr>
      <w:r>
        <w:rPr>
          <w:rFonts w:ascii="Calibri" w:hAnsi="Calibri"/>
          <w:color w:val="0B2545"/>
          <w:sz w:val="22"/>
        </w:rPr>
        <w:t>A proprietary legal model or a claim of universally superior legal reasoning.</w:t>
      </w:r>
    </w:p>
    <w:p>
      <w:pPr>
        <w:pStyle w:val="ListBullet"/>
        <w:keepNext w:val="0"/>
        <w:spacing w:before="0" w:after="80" w:line="280" w:lineRule="auto"/>
      </w:pPr>
      <w:r>
        <w:rPr>
          <w:rFonts w:ascii="Calibri" w:hAnsi="Calibri"/>
          <w:color w:val="0B2545"/>
          <w:sz w:val="22"/>
        </w:rPr>
        <w:t>A broad generic prompt library presented as the main paid value.</w:t>
      </w:r>
    </w:p>
    <w:p>
      <w:pPr>
        <w:pStyle w:val="ListBullet"/>
        <w:keepNext w:val="0"/>
        <w:spacing w:before="0" w:after="80" w:line="280" w:lineRule="auto"/>
      </w:pPr>
      <w:r>
        <w:rPr>
          <w:rFonts w:ascii="Calibri" w:hAnsi="Calibri"/>
          <w:color w:val="0B2545"/>
          <w:sz w:val="22"/>
        </w:rPr>
        <w:t>A full billing, accounting, or practice-management replacement.</w:t>
      </w:r>
    </w:p>
    <w:p>
      <w:pPr>
        <w:pStyle w:val="ListBullet"/>
        <w:keepNext w:val="0"/>
        <w:spacing w:before="0" w:after="80" w:line="280" w:lineRule="auto"/>
      </w:pPr>
      <w:r>
        <w:rPr>
          <w:rFonts w:ascii="Calibri" w:hAnsi="Calibri"/>
          <w:color w:val="0B2545"/>
          <w:sz w:val="22"/>
        </w:rPr>
        <w:t>A legal research corpus built from scratch.</w:t>
      </w:r>
    </w:p>
    <w:p>
      <w:pPr>
        <w:pStyle w:val="ListBullet"/>
        <w:keepNext w:val="0"/>
        <w:spacing w:before="0" w:after="80" w:line="280" w:lineRule="auto"/>
      </w:pPr>
      <w:r>
        <w:rPr>
          <w:rFonts w:ascii="Calibri" w:hAnsi="Calibri"/>
          <w:color w:val="0B2545"/>
          <w:sz w:val="22"/>
        </w:rPr>
        <w:t>Complex multi-agent review or mandatory confidence and citation gates.</w:t>
      </w:r>
    </w:p>
    <w:p>
      <w:pPr>
        <w:pStyle w:val="ListBullet"/>
        <w:keepNext w:val="0"/>
        <w:spacing w:before="0" w:after="80" w:line="280" w:lineRule="auto"/>
      </w:pPr>
      <w:r>
        <w:rPr>
          <w:rFonts w:ascii="Calibri" w:hAnsi="Calibri"/>
          <w:color w:val="0B2545"/>
          <w:sz w:val="22"/>
        </w:rPr>
        <w:t>Enterprise-scale governance before the small-team workflow has proved adoption.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Recommended product promise</w:t>
            </w:r>
          </w:p>
          <w:p>
            <w:pPr>
              <w:keepNext w:val="0"/>
              <w:spacing w:before="0" w:after="0" w:line="264" w:lineRule="auto"/>
            </w:pPr>
            <w:r>
              <w:rPr>
                <w:rFonts w:ascii="Calibri" w:hAnsi="Calibri"/>
                <w:color w:val="0B2545"/>
                <w:sz w:val="22"/>
              </w:rPr>
              <w:t>Give CounselOS the matter once. Use the model you prefer. Get review-ready work with traceable sources, preserved context, and a clear next action.</w:t>
            </w:r>
          </w:p>
        </w:tc>
      </w:tr>
    </w:tbl>
    <w:p>
      <w:pPr>
        <w:spacing w:after="80"/>
      </w:pPr>
    </w:p>
    <w:p>
      <w:r>
        <w:br w:type="page"/>
      </w:r>
    </w:p>
    <w:p>
      <w:pPr>
        <w:pStyle w:val="Heading1"/>
        <w:keepNext/>
        <w:spacing w:before="320" w:after="160" w:line="240" w:lineRule="auto"/>
      </w:pPr>
      <w:r>
        <w:rPr>
          <w:rFonts w:ascii="Calibri" w:hAnsi="Calibri"/>
          <w:b/>
          <w:color w:val="2E74B5"/>
          <w:sz w:val="32"/>
        </w:rPr>
        <w:t>Source appendix</w:t>
      </w:r>
    </w:p>
    <w:p>
      <w:pPr>
        <w:keepNext w:val="0"/>
        <w:spacing w:before="0" w:after="120" w:line="264" w:lineRule="auto"/>
      </w:pPr>
      <w:r>
        <w:rPr>
          <w:rFonts w:ascii="Calibri" w:hAnsi="Calibri"/>
          <w:color w:val="0B2545"/>
          <w:sz w:val="22"/>
        </w:rPr>
        <w:t>The links below are the primary Reddit discussions used in the synthesis. They should be read as anonymous user evidence. Links may change or be removed by Reddit moderators.</w:t>
      </w:r>
    </w:p>
    <w:p>
      <w:pPr>
        <w:pStyle w:val="ListBullet"/>
        <w:keepNext w:val="0"/>
        <w:spacing w:before="0" w:after="80" w:line="252" w:lineRule="auto"/>
      </w:pPr>
      <w:hyperlink r:id="rId11">
        <w:r>
          <w:rPr>
            <w:color w:val="2E74B5"/>
            <w:u w:val="single"/>
          </w:rPr>
          <w:t>ChatGPT desktop app vs. Claude vs. Harvey</w:t>
        </w:r>
      </w:hyperlink>
    </w:p>
    <w:p>
      <w:pPr>
        <w:pStyle w:val="ListBullet"/>
        <w:keepNext w:val="0"/>
        <w:spacing w:before="0" w:after="80" w:line="252" w:lineRule="auto"/>
      </w:pPr>
      <w:hyperlink r:id="rId13">
        <w:r>
          <w:rPr>
            <w:color w:val="2E74B5"/>
            <w:u w:val="single"/>
          </w:rPr>
          <w:t>We trialed CoCounsel, Harvey, and Legora</w:t>
        </w:r>
      </w:hyperlink>
    </w:p>
    <w:p>
      <w:pPr>
        <w:pStyle w:val="ListBullet"/>
        <w:keepNext w:val="0"/>
        <w:spacing w:before="0" w:after="80" w:line="252" w:lineRule="auto"/>
      </w:pPr>
      <w:hyperlink r:id="rId25">
        <w:r>
          <w:rPr>
            <w:color w:val="2E74B5"/>
            <w:u w:val="single"/>
          </w:rPr>
          <w:t>Unpopular opinion: most legal AI tools are not worth paying for</w:t>
        </w:r>
      </w:hyperlink>
    </w:p>
    <w:p>
      <w:pPr>
        <w:pStyle w:val="ListBullet"/>
        <w:keepNext w:val="0"/>
        <w:spacing w:before="0" w:after="80" w:line="252" w:lineRule="auto"/>
      </w:pPr>
      <w:hyperlink r:id="rId12">
        <w:r>
          <w:rPr>
            <w:color w:val="2E74B5"/>
            <w:u w:val="single"/>
          </w:rPr>
          <w:t>Claude Team</w:t>
        </w:r>
      </w:hyperlink>
    </w:p>
    <w:p>
      <w:pPr>
        <w:pStyle w:val="ListBullet"/>
        <w:keepNext w:val="0"/>
        <w:spacing w:before="0" w:after="80" w:line="252" w:lineRule="auto"/>
      </w:pPr>
      <w:hyperlink r:id="rId17">
        <w:r>
          <w:rPr>
            <w:color w:val="2E74B5"/>
            <w:u w:val="single"/>
          </w:rPr>
          <w:t>Harvey AI reviews / general advice for a medium-sized firm</w:t>
        </w:r>
      </w:hyperlink>
    </w:p>
    <w:p>
      <w:pPr>
        <w:pStyle w:val="ListBullet"/>
        <w:keepNext w:val="0"/>
        <w:spacing w:before="0" w:after="80" w:line="252" w:lineRule="auto"/>
      </w:pPr>
      <w:hyperlink r:id="rId26">
        <w:r>
          <w:rPr>
            <w:color w:val="2E74B5"/>
            <w:u w:val="single"/>
          </w:rPr>
          <w:t>Harvey AI says it is for all lawyers - but prices like it is only for BigLaw</w:t>
        </w:r>
      </w:hyperlink>
    </w:p>
    <w:p>
      <w:pPr>
        <w:pStyle w:val="ListBullet"/>
        <w:keepNext w:val="0"/>
        <w:spacing w:before="0" w:after="80" w:line="252" w:lineRule="auto"/>
      </w:pPr>
      <w:hyperlink r:id="rId18">
        <w:r>
          <w:rPr>
            <w:color w:val="2E74B5"/>
            <w:u w:val="single"/>
          </w:rPr>
          <w:t>Legora not as great as ChatGPT</w:t>
        </w:r>
      </w:hyperlink>
    </w:p>
    <w:p>
      <w:pPr>
        <w:pStyle w:val="ListBullet"/>
        <w:keepNext w:val="0"/>
        <w:spacing w:before="0" w:after="80" w:line="252" w:lineRule="auto"/>
      </w:pPr>
      <w:hyperlink r:id="rId27">
        <w:r>
          <w:rPr>
            <w:color w:val="2E74B5"/>
            <w:u w:val="single"/>
          </w:rPr>
          <w:t>Pricing: Harvey vs. Claude vs. Legora vs. CoCounsel</w:t>
        </w:r>
      </w:hyperlink>
    </w:p>
    <w:p>
      <w:pPr>
        <w:pStyle w:val="ListBullet"/>
        <w:keepNext w:val="0"/>
        <w:spacing w:before="0" w:after="80" w:line="252" w:lineRule="auto"/>
      </w:pPr>
      <w:hyperlink r:id="rId15">
        <w:r>
          <w:rPr>
            <w:color w:val="2E74B5"/>
            <w:u w:val="single"/>
          </w:rPr>
          <w:t>Thomson Reuters CoCounsel</w:t>
        </w:r>
      </w:hyperlink>
    </w:p>
    <w:p>
      <w:pPr>
        <w:pStyle w:val="ListBullet"/>
        <w:keepNext w:val="0"/>
        <w:spacing w:before="0" w:after="80" w:line="252" w:lineRule="auto"/>
      </w:pPr>
      <w:hyperlink r:id="rId14">
        <w:r>
          <w:rPr>
            <w:color w:val="2E74B5"/>
            <w:u w:val="single"/>
          </w:rPr>
          <w:t>I am about to tell Westlaw to shove it</w:t>
        </w:r>
      </w:hyperlink>
    </w:p>
    <w:p>
      <w:pPr>
        <w:pStyle w:val="ListBullet"/>
        <w:keepNext w:val="0"/>
        <w:spacing w:before="0" w:after="80" w:line="252" w:lineRule="auto"/>
      </w:pPr>
      <w:hyperlink r:id="rId28">
        <w:r>
          <w:rPr>
            <w:color w:val="2E74B5"/>
            <w:u w:val="single"/>
          </w:rPr>
          <w:t>Harvey for in-house counsel</w:t>
        </w:r>
      </w:hyperlink>
    </w:p>
    <w:p>
      <w:pPr>
        <w:pStyle w:val="ListBullet"/>
        <w:keepNext w:val="0"/>
        <w:spacing w:before="0" w:after="80" w:line="252" w:lineRule="auto"/>
      </w:pPr>
      <w:hyperlink r:id="rId19">
        <w:r>
          <w:rPr>
            <w:color w:val="2E74B5"/>
            <w:u w:val="single"/>
          </w:rPr>
          <w:t>Where to get basic education on AI options</w:t>
        </w:r>
      </w:hyperlink>
    </w:p>
    <w:p>
      <w:pPr>
        <w:pStyle w:val="ListBullet"/>
        <w:keepNext w:val="0"/>
        <w:spacing w:before="0" w:after="80" w:line="252" w:lineRule="auto"/>
      </w:pPr>
      <w:hyperlink r:id="rId29">
        <w:r>
          <w:rPr>
            <w:color w:val="2E74B5"/>
            <w:u w:val="single"/>
          </w:rPr>
          <w:t>Claude legal for research</w:t>
        </w:r>
      </w:hyperlink>
    </w:p>
    <w:p>
      <w:pPr>
        <w:pStyle w:val="ListBullet"/>
        <w:keepNext w:val="0"/>
        <w:spacing w:before="0" w:after="80" w:line="252" w:lineRule="auto"/>
      </w:pPr>
      <w:hyperlink r:id="rId16">
        <w:r>
          <w:rPr>
            <w:color w:val="2E74B5"/>
            <w:u w:val="single"/>
          </w:rPr>
          <w:t>What AI tools do you use?</w:t>
        </w:r>
      </w:hyperlink>
    </w:p>
    <w:p>
      <w:pPr>
        <w:pStyle w:val="ListBullet"/>
        <w:keepNext w:val="0"/>
        <w:spacing w:before="0" w:after="80" w:line="252" w:lineRule="auto"/>
      </w:pPr>
      <w:hyperlink r:id="rId30">
        <w:r>
          <w:rPr>
            <w:color w:val="2E74B5"/>
            <w:u w:val="single"/>
          </w:rPr>
          <w:t>Best AI for a small law firm to review sensitive documents</w:t>
        </w:r>
      </w:hyperlink>
    </w:p>
    <w:p>
      <w:pPr>
        <w:pStyle w:val="ListBullet"/>
        <w:keepNext w:val="0"/>
        <w:spacing w:before="0" w:after="80" w:line="252" w:lineRule="auto"/>
      </w:pPr>
      <w:hyperlink r:id="rId31">
        <w:r>
          <w:rPr>
            <w:color w:val="2E74B5"/>
            <w:u w:val="single"/>
          </w:rPr>
          <w:t>AI transactional drafting tools</w:t>
        </w:r>
      </w:hyperlink>
    </w:p>
    <w:p>
      <w:pPr>
        <w:pStyle w:val="ListBullet"/>
        <w:keepNext w:val="0"/>
        <w:spacing w:before="0" w:after="80" w:line="252" w:lineRule="auto"/>
      </w:pPr>
      <w:hyperlink r:id="rId32">
        <w:r>
          <w:rPr>
            <w:color w:val="2E74B5"/>
            <w:u w:val="single"/>
          </w:rPr>
          <w:t>AI use cases for in-house legal counsel</w:t>
        </w:r>
      </w:hyperlink>
    </w:p>
    <w:p>
      <w:pPr>
        <w:pStyle w:val="ListBullet"/>
        <w:keepNext w:val="0"/>
        <w:spacing w:before="0" w:after="80" w:line="252" w:lineRule="auto"/>
      </w:pPr>
      <w:hyperlink r:id="rId24">
        <w:r>
          <w:rPr>
            <w:color w:val="2E74B5"/>
            <w:u w:val="single"/>
          </w:rPr>
          <w:t>Solo attorney help with automations</w:t>
        </w:r>
      </w:hyperlink>
    </w:p>
    <w:p>
      <w:pPr>
        <w:pStyle w:val="ListBullet"/>
        <w:keepNext w:val="0"/>
        <w:spacing w:before="0" w:after="80" w:line="252" w:lineRule="auto"/>
      </w:pPr>
      <w:hyperlink r:id="rId33">
        <w:r>
          <w:rPr>
            <w:color w:val="2E74B5"/>
            <w:u w:val="single"/>
          </w:rPr>
          <w:t>Knowledge management</w:t>
        </w:r>
      </w:hyperlink>
    </w:p>
    <w:p>
      <w:pPr>
        <w:pStyle w:val="ListBullet"/>
        <w:keepNext w:val="0"/>
        <w:spacing w:before="0" w:after="80" w:line="252" w:lineRule="auto"/>
      </w:pPr>
      <w:hyperlink r:id="rId34">
        <w:r>
          <w:rPr>
            <w:color w:val="2E74B5"/>
            <w:u w:val="single"/>
          </w:rPr>
          <w:t>Cut our losses and dump case management software?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B6573"/>
        <w:sz w:val="17"/>
      </w:rPr>
      <w:t xml:space="preserve">Confidential working research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5B6573"/>
        <w:sz w:val="17"/>
      </w:rPr>
      <w:t>COUNSELOS MARKET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ddit.com/r/legaltech/comments/1w2qxun/chatgpt_desktop_app_versus_claude_desktop_app/" TargetMode="External"/><Relationship Id="rId12" Type="http://schemas.openxmlformats.org/officeDocument/2006/relationships/hyperlink" Target="https://www.reddit.com/r/legaltech/comments/1utntv5/claude_team/" TargetMode="External"/><Relationship Id="rId13" Type="http://schemas.openxmlformats.org/officeDocument/2006/relationships/hyperlink" Target="https://www.reddit.com/r/legaltech/comments/1w2piu1/we_trialed_cocounsel_harvey_and_legora_here_is/" TargetMode="External"/><Relationship Id="rId14" Type="http://schemas.openxmlformats.org/officeDocument/2006/relationships/hyperlink" Target="https://www.reddit.com/r/legaltech/comments/1pdtkme/im_about_to_tell_westlaw_to_shove_it/" TargetMode="External"/><Relationship Id="rId15" Type="http://schemas.openxmlformats.org/officeDocument/2006/relationships/hyperlink" Target="https://www.reddit.com/r/LawFirm/comments/1nkcmis/thomson_reuters_cocounsel/" TargetMode="External"/><Relationship Id="rId16" Type="http://schemas.openxmlformats.org/officeDocument/2006/relationships/hyperlink" Target="https://www.reddit.com/r/LawFirm/comments/1nwbgij/what_ai_tools_do_you_use_not_a_bot/" TargetMode="External"/><Relationship Id="rId17" Type="http://schemas.openxmlformats.org/officeDocument/2006/relationships/hyperlink" Target="https://www.reddit.com/r/legaltech/comments/1ku1gh8/harvey_ai_reviews_general_advice_for_a/" TargetMode="External"/><Relationship Id="rId18" Type="http://schemas.openxmlformats.org/officeDocument/2006/relationships/hyperlink" Target="https://www.reddit.com/r/legaltech/comments/1uwas7m/legora_not_as_great_as_chatgpt_in_terms_of/" TargetMode="External"/><Relationship Id="rId19" Type="http://schemas.openxmlformats.org/officeDocument/2006/relationships/hyperlink" Target="https://www.reddit.com/r/legaltech/comments/1tscsp5/where_to_get_basic_education_on_ai_options/" TargetMode="External"/><Relationship Id="rId20" Type="http://schemas.openxmlformats.org/officeDocument/2006/relationships/hyperlink" Target="https://www.reddit.com/r/biglaw/comments/1vjsnr1/rant_the_only_people_who_misuse_ai_in_my_firm_are/" TargetMode="External"/><Relationship Id="rId21" Type="http://schemas.openxmlformats.org/officeDocument/2006/relationships/hyperlink" Target="https://www.reddit.com/r/Lawyertalk/comments/1kwddfm/" TargetMode="External"/><Relationship Id="rId22" Type="http://schemas.openxmlformats.org/officeDocument/2006/relationships/hyperlink" Target="https://www.reddit.com/r/biglaw/comments/1l4tuf1/for_the_partners_lurking_here_do_you_actually_use/" TargetMode="External"/><Relationship Id="rId23" Type="http://schemas.openxmlformats.org/officeDocument/2006/relationships/hyperlink" Target="https://www.reddit.com/r/solofirm/comments/1td01vm/how_is_everyone_using_ai_to_scale/" TargetMode="External"/><Relationship Id="rId24" Type="http://schemas.openxmlformats.org/officeDocument/2006/relationships/hyperlink" Target="https://www.reddit.com/r/LawFirm/comments/1pk67cm/solo-attorney-help-with-automations/" TargetMode="External"/><Relationship Id="rId25" Type="http://schemas.openxmlformats.org/officeDocument/2006/relationships/hyperlink" Target="https://www.reddit.com/r/legaltech/comments/1vn35qc/unpopular_opinion_most_legal_ai_tools_are_not/" TargetMode="External"/><Relationship Id="rId26" Type="http://schemas.openxmlformats.org/officeDocument/2006/relationships/hyperlink" Target="https://www.reddit.com/r/legaltech/comments/1mhndz0/harvey_ai_says_its_for_all_lawyers_but_prices/" TargetMode="External"/><Relationship Id="rId27" Type="http://schemas.openxmlformats.org/officeDocument/2006/relationships/hyperlink" Target="https://www.reddit.com/r/legaltech/comments/1qvwswa/pricing_harvey_v_claude_v_legora_v_cocounsel_from/" TargetMode="External"/><Relationship Id="rId28" Type="http://schemas.openxmlformats.org/officeDocument/2006/relationships/hyperlink" Target="https://www.reddit.com/r/legaltech/comments/1n9l2sk/harvey_for_inhouse_counsel/" TargetMode="External"/><Relationship Id="rId29" Type="http://schemas.openxmlformats.org/officeDocument/2006/relationships/hyperlink" Target="https://www.reddit.com/r/legaltech/comments/1tede2n/claude_legal_for_research/" TargetMode="External"/><Relationship Id="rId30" Type="http://schemas.openxmlformats.org/officeDocument/2006/relationships/hyperlink" Target="https://www.reddit.com/r/legaltech/comments/1tuyuhp/best_ai_for_small_law_firm_to_review_sensitive/" TargetMode="External"/><Relationship Id="rId31" Type="http://schemas.openxmlformats.org/officeDocument/2006/relationships/hyperlink" Target="https://www.reddit.com/r/legaltech/comments/1f88ork/ai_transactional_drafting_tools/" TargetMode="External"/><Relationship Id="rId32" Type="http://schemas.openxmlformats.org/officeDocument/2006/relationships/hyperlink" Target="https://www.reddit.com/r/legaltech/comments/1ux5hsz/ai_use_cases_for_inhouse_legal_counsels/" TargetMode="External"/><Relationship Id="rId33" Type="http://schemas.openxmlformats.org/officeDocument/2006/relationships/hyperlink" Target="https://www.reddit.com/r/LawFirm/comments/1c88qqf/knowledge_management/" TargetMode="External"/><Relationship Id="rId34" Type="http://schemas.openxmlformats.org/officeDocument/2006/relationships/hyperlink" Target="https://www.reddit.com/r/LawFirm/comments/1tukoq5/cut_our_losses_and_dump_case_management_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AI Market Research: Small Teams and CounselOS</dc:title>
  <dc:subject>Reddit evidence on legal AI products, ChatGPT, Claude, and CounselOS product strategy</dc:subject>
  <dc:creator>CounselOS</dc:creator>
  <cp:keywords>legal AI, CounselOS, ChatGPT, Claude, Harvey, Legora, CoCounsel, GC AI</cp:keywords>
  <dc:description>generated by python-docx</dc:description>
  <cp:lastModifiedBy/>
  <cp:revision>1</cp:revision>
  <dcterms:created xsi:type="dcterms:W3CDTF">2013-12-23T23:15:00Z</dcterms:created>
  <dcterms:modified xsi:type="dcterms:W3CDTF">2013-12-23T23:15:00Z</dcterms:modified>
  <cp:category/>
</cp:coreProperties>
</file>