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color w:val="003366"/>
          <w:sz w:val="36"/>
        </w:rPr>
        <w:t>"NA STATISTICS WE GO CHOP?":</w:t>
        <w:br/>
        <w:t>MACROECONOMIC GASLIGHTING, THE 'STOMACH INFRASTRUCTURE' PARADOX,</w:t>
        <w:br/>
        <w:t>AND NIGERIA'S TRILLION-DOLLAR DELUSION (2023–2026)</w:t>
      </w:r>
    </w:p>
    <w:p/>
    <w:p>
      <w:pPr>
        <w:jc w:val="center"/>
      </w:pPr>
      <w:r>
        <w:rPr>
          <w:rFonts w:ascii="Times New Roman" w:hAnsi="Times New Roman"/>
          <w:i/>
          <w:sz w:val="28"/>
        </w:rPr>
        <w:t>A Critical Policy Analysis and Political Economy Critique</w:t>
      </w:r>
    </w:p>
    <w:p/>
    <w:p/>
    <w:p/>
    <w:p/>
    <w:p>
      <w:pPr>
        <w:jc w:val="center"/>
      </w:pPr>
      <w:r>
        <w:rPr>
          <w:rFonts w:ascii="Times New Roman" w:hAnsi="Times New Roman"/>
          <w:b/>
          <w:sz w:val="28"/>
        </w:rPr>
        <w:t>Apostle Mabrig Korie</w:t>
      </w:r>
    </w:p>
    <w:p>
      <w:pPr>
        <w:jc w:val="center"/>
      </w:pPr>
      <w:r>
        <w:rPr>
          <w:rFonts w:ascii="Times New Roman" w:hAnsi="Times New Roman"/>
          <w:sz w:val="22"/>
        </w:rPr>
        <w:t>Independent Researcher, Policy Analyst &amp; Transformational Leader</w:t>
        <w:br/>
        <w:t>Mabrig Korie Ministries | MABRIG Digital Media</w:t>
        <w:br/>
        <w:t>Port Harcourt, Rivers State, Nigeria</w:t>
      </w:r>
    </w:p>
    <w:p>
      <w:pPr>
        <w:jc w:val="center"/>
      </w:pPr>
      <w:r>
        <w:rPr>
          <w:rFonts w:ascii="Times New Roman" w:hAnsi="Times New Roman"/>
          <w:sz w:val="20"/>
        </w:rPr>
        <w:t>contact@mabrigkorie.org | mabrigkorie.org | @Apostlemabrig</w:t>
      </w:r>
    </w:p>
    <w:p>
      <w:pPr>
        <w:jc w:val="center"/>
      </w:pPr>
      <w:r>
        <w:rPr>
          <w:rFonts w:ascii="Times New Roman" w:hAnsi="Times New Roman"/>
          <w:sz w:val="24"/>
        </w:rPr>
        <w:t>June 2026</w:t>
      </w:r>
    </w:p>
    <w:p>
      <w:pPr>
        <w:jc w:val="center"/>
      </w:pPr>
      <w:r>
        <w:rPr>
          <w:rFonts w:ascii="Times New Roman" w:hAnsi="Times New Roman"/>
          <w:i/>
          <w:color w:val="646464"/>
          <w:sz w:val="18"/>
        </w:rPr>
        <w:br/>
        <w:t>[Working Paper / Target: African Affairs, Journal of Modern African Studies,</w:t>
        <w:br/>
        <w:t>Review of African Political Economy, or World Development]</w:t>
      </w:r>
    </w:p>
    <w:p>
      <w:r>
        <w:br w:type="page"/>
      </w:r>
    </w:p>
    <w:p>
      <w:pPr>
        <w:pStyle w:val="Heading1"/>
      </w:pPr>
      <w:r>
        <w:t>Abstract</w:t>
      </w:r>
    </w:p>
    <w:p>
      <w:pPr>
        <w:ind w:firstLine="720"/>
      </w:pPr>
      <w:r>
        <w:t>Between 2023 and 2026, Nigeria embarked on one of the most consequential and socially disruptive macroeconomic experiments in its post-independence history. The simultaneous removal of the long-standing fuel subsidy and the unification of foreign exchange windows—policies long advocated by international financial institutions—produced a profound and well-documented divergence between official macroeconomic triumphalism and the lived microeconomic realities of ordinary citizens. This article introduces and develops two interlocking conceptual innovations: "macroeconomic gaslighting," the institutional construction and aggressive dissemination of selective, nominal, and low-base statistical narratives that systematically obscure deteriorating household welfare; and the "stomach infrastructure paradox," the structural neglect of the foundational layer of household food security, energy access, and real purchasing power that ultimately invalidates the mathematical and political assumptions underpinning elite-driven adjustment programmes.</w:t>
        <w:br/>
        <w:br/>
        <w:t>Drawing on secondary quantitative data from the National Bureau of Statistics (NBS), Central Bank of Nigeria (CBN), IMF World Economic Outlook (April 2026), World Bank reports, and Debt Management Office releases, alongside qualitative discourse analysis of high-level official statements and public counter-narratives, the paper demonstrates how the pursuit of a "trillion-dollar economy" by 2026 collapsed under the weight of its own currency arithmetic. Nigeria's dollar-denominated nominal GDP plummeted from approximately $487 billion in 2023 to around $252 billion in 2024, relegating the country from continental economic leadership to fourth position in Africa. Simultaneously, public debt surged toward ₦155 trillion, headline inflation peaked above 33 percent before easing to 15.9 percent by May 2026 (with food inflation remaining sticky), and an estimated additional tens of millions of Nigerians were pushed into multidimensional poverty. The rhetorical crescendo—most notably the First Lady's December 2025 declaration that Nigeria would be lending to other nations by 2026—exemplifies the chasm between spreadsheet optimism and pavement reality.</w:t>
        <w:br/>
        <w:br/>
        <w:t>The analysis situates these dynamics within broader literatures on structural adjustment social costs, heterodox inflation theory in commodity-dependent economies, and the political economy of perception management in postcolonial states. It argues that when macroeconomic "stabilization" is achieved primarily by pricing the poor out of the market and treating stomach infrastructure as an afterthought, the resulting statistics cease to measure genuine economic health and instead become instruments of institutional fiction. The paper concludes with sequenced policy lessons for Nigeria and other African economies contemplating similar reforms: social protection and productive investment in agriculture, security, and energy must precede or accompany macro shocks, not follow them as palliative afterthoughts. Sustainable prosperity cannot be narrated into existence; it must be built from the stomach infrastructure upward.</w:t>
      </w:r>
    </w:p>
    <w:p>
      <w:pPr>
        <w:spacing w:after="240"/>
      </w:pPr>
      <w:r>
        <w:rPr>
          <w:b/>
        </w:rPr>
        <w:t xml:space="preserve">Keywords: </w:t>
      </w:r>
      <w:r>
        <w:t>Nigeria; economic reforms; fuel subsidy removal; exchange rate unification; macroeconomic gaslighting; stomach infrastructure; poverty; political economy; structural adjustment; Tinubu administration; 2023–2026</w:t>
      </w:r>
    </w:p>
    <w:p>
      <w:r>
        <w:rPr>
          <w:b/>
        </w:rPr>
        <w:t xml:space="preserve">JEL Classification: </w:t>
      </w:r>
      <w:r>
        <w:t>E31, E52, E62, I32, O55, P16</w:t>
      </w:r>
    </w:p>
    <w:p>
      <w:r>
        <w:br w:type="page"/>
      </w:r>
    </w:p>
    <w:p>
      <w:pPr>
        <w:pStyle w:val="Heading1"/>
      </w:pPr>
      <w:r>
        <w:t>1. Introduction: The PowerPoint Versus the Pavement</w:t>
      </w:r>
    </w:p>
    <w:p>
      <w:pPr>
        <w:ind w:firstLine="720"/>
      </w:pPr>
      <w:r>
        <w:t>Few periods in modern African economic history so starkly illustrate the decoupling of official macroeconomic indicators from the daily struggle for survival as Nigeria's structural adjustment era of 2023–2026. On 29 May 2023, President Bola Ahmed Tinubu stood before the nation and declared the end of the fuel subsidy regime that had, for decades, consumed a substantial share of federal revenue while delivering uneven benefits. Weeks later, the Central Bank of Nigeria unified the multiple exchange rate windows that had long distorted resource allocation and fostered rent-seeking. These were textbook orthodox prescriptions—long demanded by the IMF, World Bank, and domestic technocrats—who argued that the old regime was fiscally unsustainable, regressive, and a barrier to genuine market signals (IMF, 2022; World Bank, 2023).</w:t>
      </w:r>
    </w:p>
    <w:p>
      <w:pPr>
        <w:ind w:firstLine="720"/>
      </w:pPr>
      <w:r>
        <w:t>What followed was not the anticipated deluge of foreign direct investment and rapid convergence toward a trillion-dollar economy, but something far more complex and painful. The Naira, which had traded around ₦460 to the dollar in the months before the June 2023 unification, entered a period of sharp depreciation, eventually trading in bands between ₦1,300 and peaks above ₦1,700 before settling around ₦1,350–1,400 by mid-2026 (CBN data; Trading Economics, 2026). Because GDP for international comparison is denominated in dollars, Nigeria's nominal economy in USD terms contracted dramatically—from roughly $487 billion in 2023 to approximately $252 billion in 2024—pushing the country from Africa's largest or second-largest economy to fourth place behind South Africa, Egypt, and Algeria (World Bank, 2025; IMF WEO April 2026). The very arithmetic that was supposed to unlock exponential growth instead triggered a statistical vanishing act.</w:t>
      </w:r>
    </w:p>
    <w:p>
      <w:pPr>
        <w:ind w:firstLine="720"/>
      </w:pPr>
      <w:r>
        <w:t>On the streets of Lagos, Kano, Port Harcourt, and Nsukka, a different language emerged. The colloquial Nigerian expression "Na statistics we go chop?"—roughly, "Will we eat statistics?"—ceased to be a mere cynical joke and became a precise diagnosis of the policy disconnect. While Abuja and Washington celebrated narrowed fiscal deficits (in percentage terms), improved non-oil revenue collections, cleared foreign exchange backlogs, and a booming Nigerian Exchange (NGX) in nominal Naira terms, millions of households confronted a brutal cost-of-living crisis. Food inflation surged past 40 percent at its peak; the price of a litre of petrol jumped from around ₦185–200 to over ₦1,200–1,400 at various points; staple commodities such as rice, beans, garri, and yam doubled or tripled in price. The World Bank and independent analyses documented a sharp rise in multidimensional poverty, with estimates suggesting tens of millions additional Nigerians falling below critical thresholds (World Bank, 2025; NBS Multidimensional Poverty Index updates).</w:t>
      </w:r>
    </w:p>
    <w:p>
      <w:pPr>
        <w:ind w:firstLine="720"/>
      </w:pPr>
      <w:r>
        <w:t>This article contends that the defining feature of Nigeria's 2023–2026 economic episode was not merely the pain of adjustment—pain that heterodox and orthodox economists alike acknowledge as often unavoidable in deep reforms—but the sustained institutional effort to narrate that pain as triumphant success. We term this phenomenon macroeconomic gaslighting: the systematic deployment of selective metrics, low-base comparisons, and forward-looking rhetoric that constructs an alternative reality in which "the worst is over," "reforms are working," and even creditor-nation status is imminent, while the material conditions of the majority deteriorate. The apotheosis of this rhetoric arrived in December 2025 when First Lady Senator Oluremi Tinubu declared that by 2026 Nigeria would be so prosperous it would begin lending money to other countries (Punch, 8 December 2025). At the time, Nigeria was actively negotiating or receiving fresh multi-billion-dollar facilities from the World Bank and IMF, with public debt approaching ₦155 trillion.</w:t>
      </w:r>
    </w:p>
    <w:p>
      <w:pPr>
        <w:ind w:firstLine="720"/>
      </w:pPr>
      <w:r>
        <w:t>The paper makes three interrelated contributions. First, it provides a granular, evidence-based anatomy of the three core delusions that structured official discourse: the trillion-dollar GDP fantasy and its currency-blind mathematics; the creditor-nation overreach and its contradiction with actual balance-sheet realities; and the low-base growth braggadocio that celebrated 4.1 percent real GDP growth projections for 2026 (outpacing the US, UK, and Germany) while ignoring per capita stagnation and the hollowing out of prior USD-denominated wealth. Second, it develops the concept of stomach infrastructure as an analytical category—distinct from but related to the existing Nigerian political usage of "stomach infrastructure" as electoral clientelism (Omilusi, 2019; Stober, 2016). Here, stomach infrastructure denotes the irreducible material base of household food security, affordable energy, and real purchasing power without which no macroeconomic "stabilization" can be considered socially or politically sustainable. Third, it situates the Nigerian case within comparative African and global literatures on the social costs of rapid subsidy removal and exchange-rate liberalization in commodity-dependent, institutionally weak contexts, drawing lessons on sequencing, compensation, and the dangers of narrative overreach.</w:t>
      </w:r>
    </w:p>
    <w:p>
      <w:pPr>
        <w:ind w:firstLine="720"/>
      </w:pPr>
      <w:r>
        <w:t>Methodologically, this is a critical policy analysis combining descriptive quantitative analysis of official statistics with interpretive discourse analysis of elite rhetoric and popular counter-narratives. It does not claim econometric identification of causal effects; rather, it seeks to render visible the structural contradictions between stated policy objectives, implemented instruments, and measured outcomes on both macro and micro registers. Data are drawn from publicly available series of the NBS, CBN, Debt Management Office (DMO), IMF World Economic Outlook (April 2026 vintage), World Bank Nigeria reports (2023–2025), and contemporaneous journalistic and social media archives. The analysis is offered in the spirit of constructive engagement with Nigeria's policy community and in solidarity with the millions whose daily lives constitute the ultimate test of any economic model's validity.</w:t>
      </w:r>
    </w:p>
    <w:p>
      <w:pPr>
        <w:ind w:firstLine="720"/>
      </w:pPr>
      <w:r>
        <w:t>The remainder of the paper proceeds as follows. Section 2 situates the 2023 reforms in historical and comparative context. Section 3 elaborates the conceptual framework of macroeconomic gaslighting and stomach infrastructure. Sections 4 through 7 dissect each of the core delusions with data and discourse evidence. Section 8 synthesizes the human costs. Section 9 discusses theoretical and policy implications. Section 10 concludes with principles for a more humane and sustainable macroeconomic paradigm.</w:t>
      </w:r>
    </w:p>
    <w:p>
      <w:pPr>
        <w:pStyle w:val="Heading1"/>
      </w:pPr>
      <w:r>
        <w:t>2. Historical and Comparative Context: Echoes of Structural Adjustment</w:t>
      </w:r>
    </w:p>
    <w:p>
      <w:pPr>
        <w:ind w:firstLine="720"/>
      </w:pPr>
      <w:r>
        <w:t>Nigeria's 2023 reforms did not emerge in a vacuum. They reprised, with notable differences in speed and communication, the logic of the Structural Adjustment Programme (SAP) imposed under General Ibrahim Babangida in 1986. That earlier episode, also justified by fiscal crisis and the need to "get prices right," produced severe social dislocations, a sharp rise in poverty and inequality, the collapse of domestic manufacturing, and the infamous "SAP riots" of 1988–1989 (Mkandawire &amp; Soludo, 1999; Olukoshi, 1993). The intellectual and political backlash against SAP's social costs shaped a generation of Nigerian economists and activists who remain deeply skeptical of rapid, externally prescribed liberalization without robust domestic safety nets and productive investment. The Tinubu administration's team, many of whom cut their teeth in the 1980s–1990s policy debates or in later reformist governments, were acutely aware of this history—yet chose a "shock therapy" approach nonetheless, betting that the political capital of a new mandate and the exhaustion of the old subsidy regime would carry the day (World Bank, 2023).</w:t>
      </w:r>
    </w:p>
    <w:p>
      <w:pPr>
        <w:ind w:firstLine="720"/>
      </w:pPr>
      <w:r>
        <w:t>Internationally, the comparative record on fuel subsidy removal is mixed and highly context-dependent. Successful cases—such as Indonesia's multi-year phased reforms under Yudhoyono and Jokowi, or Ghana's 2005 and subsequent adjustments—typically featured three enabling conditions largely absent or weakly implemented in Nigeria's 2023 rollout: (1) credible, well-targeted, and adequately funded cash or in-kind transfers to the poorest quintiles before or concurrent with price shocks; (2) visible, high-profile investments in public transport, domestic refining capacity, or renewable energy alternatives that offered citizens a tangible "new deal" narrative; and (3) broad elite and media consensus, or at least muted opposition, achieved through transparent negotiation rather than unilateral executive announcement (Beaton et al., 2013; IMF, 2013; Siddig et al., 2015 for Nigeria-specific modeling). Where these conditions were missing—as in several North African cases or earlier Nigerian attempts in 2012—the result was often protest, partial reversal, or the political erosion of the reforming government.</w:t>
      </w:r>
    </w:p>
    <w:p>
      <w:pPr>
        <w:ind w:firstLine="720"/>
      </w:pPr>
      <w:r>
        <w:t>Pre-2023 Nigerian attempts at subsidy reform illustrate the political economy trap. The 2012 "Occupy Nigeria" protests forced a partial rollback of President Jonathan's attempted removal. The Buhari administration (2015–2023) maintained the subsidy while accumulating massive arrears to importers, creating a fiscal time bomb that the incoming Tinubu team inherited and chose to detonate immediately. The 2023 decision was thus framed not as optional technocratic fine-tuning but as existential fiscal necessity—yet the absence of a scaled, transparent, and trusted social protection architecture meant that the "pain" was front-loaded onto the poorest and most vulnerable, precisely the populations least able to absorb or politically contest it (NLC, 2024; Ajaero, 2024).</w:t>
      </w:r>
    </w:p>
    <w:p>
      <w:pPr>
        <w:ind w:firstLine="720"/>
      </w:pPr>
      <w:r>
        <w:t>The exchange-rate unification component carried its own historical baggage. Nigeria had experimented with multiple windows, official rates, and parallel-market premiums for decades, each iteration generating arbitrage rents for connected actors while punishing ordinary importers, manufacturers, and diaspora remitters. The 2023 unification was presented as the final, decisive break with this distortionary past. In practice, the initial overshoot in depreciation—far beyond many private-sector forecasts—amplified imported inflation at a moment when domestic supply chains were already reeling from the fuel price shock. The pass-through from exchange rate to domestic prices in Nigeria is notoriously high because of heavy dependence on imported refined petroleum, wheat, rice, pharmaceuticals, and intermediate inputs (CBN, various; World Bank, 2024). Thus, two major price shocks landed simultaneously on a population with limited savings buffers and no meaningful wage indexation.</w:t>
      </w:r>
    </w:p>
    <w:p>
      <w:pPr>
        <w:pStyle w:val="Heading1"/>
      </w:pPr>
      <w:r>
        <w:t>3. Conceptual Framework: Macroeconomic Gaslighting and the Stomach Infrastructure Paradox</w:t>
      </w:r>
    </w:p>
    <w:p>
      <w:pPr>
        <w:ind w:firstLine="720"/>
      </w:pPr>
      <w:r>
        <w:t>To understand why official narratives diverged so dramatically from lived experience, we require conceptual tools that go beyond standard macroeconomic diagnostics. We propose two: macroeconomic gaslighting and the stomach infrastructure paradox.</w:t>
      </w:r>
    </w:p>
    <w:p>
      <w:pPr>
        <w:pStyle w:val="Heading2"/>
      </w:pPr>
      <w:r>
        <w:t>3.1 Macroeconomic Gaslighting</w:t>
      </w:r>
    </w:p>
    <w:p>
      <w:pPr>
        <w:ind w:firstLine="720"/>
      </w:pPr>
      <w:r>
        <w:t>Gaslighting, in its clinical and popular usage, denotes a systematic effort to make a target population doubt their own perceptions of reality. Applied to macroeconomic governance, the term captures the institutional production and amplification of statistical narratives that contradict the sensory and material evidence available to citizens in markets, transport queues, and household budgets. It is not necessarily conspiratorial; it can emerge from sincere belief among policymakers that short-term pain will yield long-term gain, combined with professional incentives to emphasize positive indicators and downplay or reframe negative ones. What distinguishes gaslighting from ordinary optimistic forecasting is the aggressive, repeated assertion that the positive narrative is the only legitimate description of reality, coupled with the pathologization of dissent as "anti-reform," "doomsaying," or politically motivated sabotage.</w:t>
      </w:r>
    </w:p>
    <w:p>
      <w:pPr>
        <w:ind w:firstLine="720"/>
      </w:pPr>
      <w:r>
        <w:t>In the Nigerian 2023–2026 case, gaslighting manifested in several recurring rhetorical moves: (a) the celebration of percentage improvements in fiscal deficits or revenue collections while absolute debt service burdens and real purchasing power collapsed; (b) the invocation of "low-base" growth rates as evidence of superior performance without acknowledging that a 4 percent expansion from a deeply depressed post-shock base generates far less additional welfare than the same rate in a stable, high-income economy; (c) the forward projection of "imminent prosperity" and even creditor status on timelines that bore no relation to debt dynamics or external financing needs; and (d) the insistence that "the worst is over" at moments when food inflation remained elevated and staple prices had structurally repriced upward. These moves were not isolated slips; they formed a coherent communicative strategy that sought to maintain policy legitimacy in the face of visible hardship (Bwala statements, April 2026; Tinubu, December 2025; various presidential media chats).</w:t>
      </w:r>
    </w:p>
    <w:p>
      <w:pPr>
        <w:pStyle w:val="Heading2"/>
      </w:pPr>
      <w:r>
        <w:t>3.2 The Stomach Infrastructure Paradox</w:t>
      </w:r>
    </w:p>
    <w:p>
      <w:pPr>
        <w:ind w:firstLine="720"/>
      </w:pPr>
      <w:r>
        <w:t>The existing Nigerian political lexicon already contains the evocative phrase "stomach infrastructure," coined during the 2014 Ekiti governorship election to describe the practice of distributing immediate material benefits—food items, cash, small gifts—to voters in exchange for political support (Omilusi, 2019; Stober, 2016). Critics used the term pejoratively to contrast clientelist "stomach" politics with "real" physical infrastructure (roads, power, schools). We repurpose and elevate the concept analytically. Stomach infrastructure, in our usage, refers to the irreducible material preconditions for human flourishing and social reproduction: reliable access to affordable food, cooking energy, transport, and basic healthcare that together constitute the daily "operating system" of ordinary life. It is the layer that must be protected or strengthened if any higher-order macroeconomic objective—growth, stability, investment climate—is to translate into broad-based welfare improvement rather than elite capture or statistical abstraction.</w:t>
      </w:r>
    </w:p>
    <w:p>
      <w:pPr>
        <w:ind w:firstLine="720"/>
      </w:pPr>
      <w:r>
        <w:t>The paradox arises when policies justified in the name of long-term macroeconomic health systematically erode stomach infrastructure in the short-to-medium term, without credible mechanisms to restore or exceed prior levels. When fuel prices triple, transport costs explode, food supply chains seize up under insecurity and higher logistics costs, and real wages/incomes fall faster than any compensatory transfer scheme can reach the affected population, the "stomach" is hollowed out. Citizens are told to endure present sacrifice for future gain, but the sacrifice is so severe and so unevenly distributed that the political and social foundations required to sustain the reform coalition fracture. In extreme cases, the erosion of stomach infrastructure generates secondary crises—malnutrition, school dropout, health shocks, crime, and protest—that themselves become drags on the very growth the reforms were meant to unlock. Nigeria's experience between 2023 and 2026 offers a textbook illustration of this paradox in action.</w:t>
      </w:r>
    </w:p>
    <w:p>
      <w:pPr>
        <w:ind w:firstLine="720"/>
      </w:pPr>
      <w:r>
        <w:t>Theoretically, this framework draws on Amartya Sen's capability approach (Sen, 1999), which insists that development be judged by the expansion of real freedoms and functionings rather than by aggregate output or fiscal metrics alone; on structuralist and post-Keynesian analyses of inflation in developing countries, which emphasize supply-side and cost-push factors over simple demand-pull stories amenable to monetary tightening alone (Taylor, 1991; Kalecki, 1976); and on the political economy literature on the social embeddedness of markets and the dangers of disembedding reforms that destroy the social tissue necessary for markets to function legitimately (Polanyi, 1944; Mkandawire, 2001). When stomach infrastructure collapses, the market itself becomes politically and socially unsustainable, regardless of what the spreadsheets show.</w:t>
      </w:r>
    </w:p>
    <w:p>
      <w:pPr>
        <w:pStyle w:val="Heading1"/>
      </w:pPr>
      <w:r>
        <w:t>4. The Trillion-Dollar Delusion: Currency Arithmetic and the Vanishing GDP</w:t>
      </w:r>
    </w:p>
    <w:p>
      <w:pPr>
        <w:ind w:firstLine="720"/>
      </w:pPr>
      <w:r>
        <w:t>The anchor of official economic storytelling in the early phase of the Tinubu administration was the ambitious target of scaling Nigeria's GDP to $1 trillion within a few years. The underlying model assumed that market liberalization—removing price distortions in fuel and foreign exchange—would act as a powerful signal to domestic and foreign investors, unleashing a wave of capital formation, productivity growth, and formalization that would rapidly expand the nominal economy. International partners echoed elements of this optimism, projecting higher medium-term growth rates conditional on reform implementation (World Bank, 2023; IMF, 2023 Article IV).</w:t>
      </w:r>
    </w:p>
    <w:p>
      <w:pPr>
        <w:ind w:firstLine="720"/>
      </w:pPr>
      <w:r>
        <w:t>The fatal analytical flaw was the failure to internalize the immediate implications of exchange-rate liberalization for dollar-denominated aggregates. GDP, when used for cross-country comparison or debt sustainability analysis, is converted to US dollars at market exchange rates. When the Naira depreciates sharply—as it did from roughly ₦460/$ in May 2023 to bands of ₦1,400–1,700+ by late 2024 and early 2025—the dollar value of the same Naira-denominated economic activity shrinks proportionally. Nigeria did not need to experience a real contraction in physical output for its international economic size to collapse; the currency movement alone sufficed. By 2024, Nigeria's nominal GDP in current US dollars had fallen to approximately $252 billion from $487 billion the previous year (World Bank data; IMF WEO, 2026 vintage). The trillion-dollar horizon receded not because reforms failed to stimulate activity, but because the metric chosen to measure success was itself destabilized by one of the core policy instruments.</w:t>
      </w:r>
    </w:p>
    <w:p>
      <w:pPr>
        <w:jc w:val="center"/>
      </w:pPr>
      <w:r>
        <w:drawing>
          <wp:inline xmlns:a="http://schemas.openxmlformats.org/drawingml/2006/main" xmlns:pic="http://schemas.openxmlformats.org/drawingml/2006/picture">
            <wp:extent cx="5486400" cy="3277012"/>
            <wp:docPr id="1" name="Picture 1"/>
            <wp:cNvGraphicFramePr>
              <a:graphicFrameLocks noChangeAspect="1"/>
            </wp:cNvGraphicFramePr>
            <a:graphic>
              <a:graphicData uri="http://schemas.openxmlformats.org/drawingml/2006/picture">
                <pic:pic>
                  <pic:nvPicPr>
                    <pic:cNvPr id="0" name="gdp_naira_trend.png"/>
                    <pic:cNvPicPr/>
                  </pic:nvPicPr>
                  <pic:blipFill>
                    <a:blip r:embed="rId9"/>
                    <a:stretch>
                      <a:fillRect/>
                    </a:stretch>
                  </pic:blipFill>
                  <pic:spPr>
                    <a:xfrm>
                      <a:off x="0" y="0"/>
                      <a:ext cx="5486400" cy="3277012"/>
                    </a:xfrm>
                    <a:prstGeom prst="rect"/>
                  </pic:spPr>
                </pic:pic>
              </a:graphicData>
            </a:graphic>
          </wp:inline>
        </w:drawing>
      </w:r>
    </w:p>
    <w:p>
      <w:pPr>
        <w:spacing w:after="240"/>
        <w:jc w:val="center"/>
      </w:pPr>
      <w:r>
        <w:rPr>
          <w:i/>
          <w:sz w:val="18"/>
        </w:rPr>
        <w:t>Figure 1: Nigeria Nominal GDP (USD billions) and Naira/USD Exchange Rate, 2022–2026 (illustrative based on IMF/World Bank data). The sharp post-2023 depreciation mechanically compressed dollar GDP even as domestic activity showed modest real growth.</w:t>
      </w:r>
    </w:p>
    <w:p>
      <w:pPr>
        <w:ind w:firstLine="720"/>
      </w:pPr>
      <w:r>
        <w:t>The political and diplomatic consequences were immediate and embarrassing. Nigeria slipped from its long-held position as Africa's largest or second-largest economy to fourth place. Debt sustainability metrics expressed in dollars deteriorated. The psychological impact on a population that had been told for years that it belonged to the "Next Eleven" or "MINT" emerging powers was profound. The trillion-dollar narrative did not merely fail to materialize; its pursuit actively contributed to the statistical demotion it was meant to prevent. This is the essence of the delusion: an economic strategy whose success metric was destroyed by its own implementation logic.</w:t>
      </w:r>
    </w:p>
    <w:p>
      <w:pPr>
        <w:pStyle w:val="Heading2"/>
      </w:pPr>
      <w:r>
        <w:t>Table 1: Selected Macroeconomic Indicators, Nigeria 2022–2026</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003366"/>
          </w:tcPr>
          <w:p>
            <w:r>
              <w:rPr>
                <w:b/>
                <w:color w:val="FFFFFF"/>
                <w:sz w:val="18"/>
              </w:rPr>
              <w:t>Indicator</w:t>
            </w:r>
          </w:p>
        </w:tc>
        <w:tc>
          <w:tcPr>
            <w:tcW w:type="dxa" w:w="1872"/>
            <w:shd w:fill="003366"/>
          </w:tcPr>
          <w:p>
            <w:r>
              <w:rPr>
                <w:b/>
                <w:color w:val="FFFFFF"/>
                <w:sz w:val="18"/>
              </w:rPr>
              <w:t>2022/early 2023</w:t>
            </w:r>
          </w:p>
        </w:tc>
        <w:tc>
          <w:tcPr>
            <w:tcW w:type="dxa" w:w="1872"/>
            <w:shd w:fill="003366"/>
          </w:tcPr>
          <w:p>
            <w:r>
              <w:rPr>
                <w:b/>
                <w:color w:val="FFFFFF"/>
                <w:sz w:val="18"/>
              </w:rPr>
              <w:t>2024</w:t>
            </w:r>
          </w:p>
        </w:tc>
        <w:tc>
          <w:tcPr>
            <w:tcW w:type="dxa" w:w="1872"/>
            <w:shd w:fill="003366"/>
          </w:tcPr>
          <w:p>
            <w:r>
              <w:rPr>
                <w:b/>
                <w:color w:val="FFFFFF"/>
                <w:sz w:val="18"/>
              </w:rPr>
              <w:t>2025</w:t>
            </w:r>
          </w:p>
        </w:tc>
        <w:tc>
          <w:tcPr>
            <w:tcW w:type="dxa" w:w="1872"/>
            <w:shd w:fill="003366"/>
          </w:tcPr>
          <w:p>
            <w:r>
              <w:rPr>
                <w:b/>
                <w:color w:val="FFFFFF"/>
                <w:sz w:val="18"/>
              </w:rPr>
              <w:t>2026 (mid-year est.)</w:t>
            </w:r>
          </w:p>
        </w:tc>
      </w:tr>
      <w:tr>
        <w:tc>
          <w:tcPr>
            <w:tcW w:type="dxa" w:w="1872"/>
            <w:shd w:fill="F0F4F8"/>
          </w:tcPr>
          <w:p>
            <w:r>
              <w:rPr>
                <w:sz w:val="16"/>
              </w:rPr>
              <w:t>Nominal GDP (current USD, bn)</w:t>
            </w:r>
          </w:p>
        </w:tc>
        <w:tc>
          <w:tcPr>
            <w:tcW w:type="dxa" w:w="1872"/>
            <w:shd w:fill="F0F4F8"/>
          </w:tcPr>
          <w:p>
            <w:r>
              <w:rPr>
                <w:sz w:val="16"/>
              </w:rPr>
              <w:t>~$477–645*</w:t>
            </w:r>
          </w:p>
        </w:tc>
        <w:tc>
          <w:tcPr>
            <w:tcW w:type="dxa" w:w="1872"/>
            <w:shd w:fill="F0F4F8"/>
          </w:tcPr>
          <w:p>
            <w:r>
              <w:rPr>
                <w:sz w:val="16"/>
              </w:rPr>
              <w:t>~$252</w:t>
            </w:r>
          </w:p>
        </w:tc>
        <w:tc>
          <w:tcPr>
            <w:tcW w:type="dxa" w:w="1872"/>
            <w:shd w:fill="F0F4F8"/>
          </w:tcPr>
          <w:p>
            <w:r>
              <w:rPr>
                <w:sz w:val="16"/>
              </w:rPr>
              <w:t>~$290</w:t>
            </w:r>
          </w:p>
        </w:tc>
        <w:tc>
          <w:tcPr>
            <w:tcW w:type="dxa" w:w="1872"/>
            <w:shd w:fill="F0F4F8"/>
          </w:tcPr>
          <w:p>
            <w:r>
              <w:rPr>
                <w:sz w:val="16"/>
              </w:rPr>
              <w:t>~$377 (proj)</w:t>
            </w:r>
          </w:p>
        </w:tc>
      </w:tr>
      <w:tr>
        <w:tc>
          <w:tcPr>
            <w:tcW w:type="dxa" w:w="1872"/>
          </w:tcPr>
          <w:p>
            <w:r>
              <w:rPr>
                <w:sz w:val="16"/>
              </w:rPr>
              <w:t>NGN/USD (approx. avg/end)</w:t>
            </w:r>
          </w:p>
        </w:tc>
        <w:tc>
          <w:tcPr>
            <w:tcW w:type="dxa" w:w="1872"/>
          </w:tcPr>
          <w:p>
            <w:r>
              <w:rPr>
                <w:sz w:val="16"/>
              </w:rPr>
              <w:t>~460</w:t>
            </w:r>
          </w:p>
        </w:tc>
        <w:tc>
          <w:tcPr>
            <w:tcW w:type="dxa" w:w="1872"/>
          </w:tcPr>
          <w:p>
            <w:r>
              <w:rPr>
                <w:sz w:val="16"/>
              </w:rPr>
              <w:t>1,400–1,700+</w:t>
            </w:r>
          </w:p>
        </w:tc>
        <w:tc>
          <w:tcPr>
            <w:tcW w:type="dxa" w:w="1872"/>
          </w:tcPr>
          <w:p>
            <w:r>
              <w:rPr>
                <w:sz w:val="16"/>
              </w:rPr>
              <w:t>1,400–1,500</w:t>
            </w:r>
          </w:p>
        </w:tc>
        <w:tc>
          <w:tcPr>
            <w:tcW w:type="dxa" w:w="1872"/>
          </w:tcPr>
          <w:p>
            <w:r>
              <w:rPr>
                <w:sz w:val="16"/>
              </w:rPr>
              <w:t>1,350–1,400</w:t>
            </w:r>
          </w:p>
        </w:tc>
      </w:tr>
      <w:tr>
        <w:tc>
          <w:tcPr>
            <w:tcW w:type="dxa" w:w="1872"/>
            <w:shd w:fill="F0F4F8"/>
          </w:tcPr>
          <w:p>
            <w:r>
              <w:rPr>
                <w:sz w:val="16"/>
              </w:rPr>
              <w:t>Public Debt (₦ trillion)</w:t>
            </w:r>
          </w:p>
        </w:tc>
        <w:tc>
          <w:tcPr>
            <w:tcW w:type="dxa" w:w="1872"/>
            <w:shd w:fill="F0F4F8"/>
          </w:tcPr>
          <w:p>
            <w:r>
              <w:rPr>
                <w:sz w:val="16"/>
              </w:rPr>
              <w:t>~87</w:t>
            </w:r>
          </w:p>
        </w:tc>
        <w:tc>
          <w:tcPr>
            <w:tcW w:type="dxa" w:w="1872"/>
            <w:shd w:fill="F0F4F8"/>
          </w:tcPr>
          <w:p>
            <w:r>
              <w:rPr>
                <w:sz w:val="16"/>
              </w:rPr>
              <w:t>~130+</w:t>
            </w:r>
          </w:p>
        </w:tc>
        <w:tc>
          <w:tcPr>
            <w:tcW w:type="dxa" w:w="1872"/>
            <w:shd w:fill="F0F4F8"/>
          </w:tcPr>
          <w:p>
            <w:r>
              <w:rPr>
                <w:sz w:val="16"/>
              </w:rPr>
              <w:t>~149–159</w:t>
            </w:r>
          </w:p>
        </w:tc>
        <w:tc>
          <w:tcPr>
            <w:tcW w:type="dxa" w:w="1872"/>
            <w:shd w:fill="F0F4F8"/>
          </w:tcPr>
          <w:p>
            <w:r>
              <w:rPr>
                <w:sz w:val="16"/>
              </w:rPr>
              <w:t>Approaching 155+</w:t>
            </w:r>
          </w:p>
        </w:tc>
      </w:tr>
      <w:tr>
        <w:tc>
          <w:tcPr>
            <w:tcW w:type="dxa" w:w="1872"/>
          </w:tcPr>
          <w:p>
            <w:r>
              <w:rPr>
                <w:sz w:val="16"/>
              </w:rPr>
              <w:t>Headline Inflation (yoy, peak/period)</w:t>
            </w:r>
          </w:p>
        </w:tc>
        <w:tc>
          <w:tcPr>
            <w:tcW w:type="dxa" w:w="1872"/>
          </w:tcPr>
          <w:p>
            <w:r>
              <w:rPr>
                <w:sz w:val="16"/>
              </w:rPr>
              <w:t>~21–22%</w:t>
            </w:r>
          </w:p>
        </w:tc>
        <w:tc>
          <w:tcPr>
            <w:tcW w:type="dxa" w:w="1872"/>
          </w:tcPr>
          <w:p>
            <w:r>
              <w:rPr>
                <w:sz w:val="16"/>
              </w:rPr>
              <w:t>&gt;33–34%</w:t>
            </w:r>
          </w:p>
        </w:tc>
        <w:tc>
          <w:tcPr>
            <w:tcW w:type="dxa" w:w="1872"/>
          </w:tcPr>
          <w:p>
            <w:r>
              <w:rPr>
                <w:sz w:val="16"/>
              </w:rPr>
              <w:t>Easing to ~18–20%</w:t>
            </w:r>
          </w:p>
        </w:tc>
        <w:tc>
          <w:tcPr>
            <w:tcW w:type="dxa" w:w="1872"/>
          </w:tcPr>
          <w:p>
            <w:r>
              <w:rPr>
                <w:sz w:val="16"/>
              </w:rPr>
              <w:t>~15.9% (May)</w:t>
            </w:r>
          </w:p>
        </w:tc>
      </w:tr>
      <w:tr>
        <w:tc>
          <w:tcPr>
            <w:tcW w:type="dxa" w:w="1872"/>
            <w:shd w:fill="F0F4F8"/>
          </w:tcPr>
          <w:p>
            <w:r>
              <w:rPr>
                <w:sz w:val="16"/>
              </w:rPr>
              <w:t>Food Inflation (peak/period)</w:t>
            </w:r>
          </w:p>
        </w:tc>
        <w:tc>
          <w:tcPr>
            <w:tcW w:type="dxa" w:w="1872"/>
            <w:shd w:fill="F0F4F8"/>
          </w:tcPr>
          <w:p>
            <w:r>
              <w:rPr>
                <w:sz w:val="16"/>
              </w:rPr>
              <w:t>~24%</w:t>
            </w:r>
          </w:p>
        </w:tc>
        <w:tc>
          <w:tcPr>
            <w:tcW w:type="dxa" w:w="1872"/>
            <w:shd w:fill="F0F4F8"/>
          </w:tcPr>
          <w:p>
            <w:r>
              <w:rPr>
                <w:sz w:val="16"/>
              </w:rPr>
              <w:t>&gt;40%</w:t>
            </w:r>
          </w:p>
        </w:tc>
        <w:tc>
          <w:tcPr>
            <w:tcW w:type="dxa" w:w="1872"/>
            <w:shd w:fill="F0F4F8"/>
          </w:tcPr>
          <w:p>
            <w:r>
              <w:rPr>
                <w:sz w:val="16"/>
              </w:rPr>
              <w:t>Sticky high</w:t>
            </w:r>
          </w:p>
        </w:tc>
        <w:tc>
          <w:tcPr>
            <w:tcW w:type="dxa" w:w="1872"/>
            <w:shd w:fill="F0F4F8"/>
          </w:tcPr>
          <w:p>
            <w:r>
              <w:rPr>
                <w:sz w:val="16"/>
              </w:rPr>
              <w:t>~17% (May)</w:t>
            </w:r>
          </w:p>
        </w:tc>
      </w:tr>
      <w:tr>
        <w:tc>
          <w:tcPr>
            <w:tcW w:type="dxa" w:w="1872"/>
          </w:tcPr>
          <w:p>
            <w:r>
              <w:rPr>
                <w:sz w:val="16"/>
              </w:rPr>
              <w:t>Real GDP Growth (annual)</w:t>
            </w:r>
          </w:p>
        </w:tc>
        <w:tc>
          <w:tcPr>
            <w:tcW w:type="dxa" w:w="1872"/>
          </w:tcPr>
          <w:p>
            <w:r>
              <w:rPr>
                <w:sz w:val="16"/>
              </w:rPr>
              <w:t>~3.3%</w:t>
            </w:r>
          </w:p>
        </w:tc>
        <w:tc>
          <w:tcPr>
            <w:tcW w:type="dxa" w:w="1872"/>
          </w:tcPr>
          <w:p>
            <w:r>
              <w:rPr>
                <w:sz w:val="16"/>
              </w:rPr>
              <w:t>~3.0–3.5%</w:t>
            </w:r>
          </w:p>
        </w:tc>
        <w:tc>
          <w:tcPr>
            <w:tcW w:type="dxa" w:w="1872"/>
          </w:tcPr>
          <w:p>
            <w:r>
              <w:rPr>
                <w:sz w:val="16"/>
              </w:rPr>
              <w:t>~3.0–3.5%</w:t>
            </w:r>
          </w:p>
        </w:tc>
        <w:tc>
          <w:tcPr>
            <w:tcW w:type="dxa" w:w="1872"/>
          </w:tcPr>
          <w:p>
            <w:r>
              <w:rPr>
                <w:sz w:val="16"/>
              </w:rPr>
              <w:t>4.1% (IMF proj)</w:t>
            </w:r>
          </w:p>
        </w:tc>
      </w:tr>
      <w:tr>
        <w:tc>
          <w:tcPr>
            <w:tcW w:type="dxa" w:w="1872"/>
            <w:shd w:fill="F0F4F8"/>
          </w:tcPr>
          <w:p>
            <w:r>
              <w:rPr>
                <w:sz w:val="16"/>
              </w:rPr>
              <w:t>Poverty Headcount Trend</w:t>
            </w:r>
          </w:p>
        </w:tc>
        <w:tc>
          <w:tcPr>
            <w:tcW w:type="dxa" w:w="1872"/>
            <w:shd w:fill="F0F4F8"/>
          </w:tcPr>
          <w:p>
            <w:r>
              <w:rPr>
                <w:sz w:val="16"/>
              </w:rPr>
              <w:t>High baseline</w:t>
            </w:r>
          </w:p>
        </w:tc>
        <w:tc>
          <w:tcPr>
            <w:tcW w:type="dxa" w:w="1872"/>
            <w:shd w:fill="F0F4F8"/>
          </w:tcPr>
          <w:p>
            <w:r>
              <w:rPr>
                <w:sz w:val="16"/>
              </w:rPr>
              <w:t>Significant rise</w:t>
            </w:r>
          </w:p>
        </w:tc>
        <w:tc>
          <w:tcPr>
            <w:tcW w:type="dxa" w:w="1872"/>
            <w:shd w:fill="F0F4F8"/>
          </w:tcPr>
          <w:p>
            <w:r>
              <w:rPr>
                <w:sz w:val="16"/>
              </w:rPr>
              <w:t>Further increase</w:t>
            </w:r>
          </w:p>
        </w:tc>
        <w:tc>
          <w:tcPr>
            <w:tcW w:type="dxa" w:w="1872"/>
            <w:shd w:fill="F0F4F8"/>
          </w:tcPr>
          <w:p>
            <w:r>
              <w:rPr>
                <w:sz w:val="16"/>
              </w:rPr>
              <w:t>Tens of millions affected</w:t>
            </w:r>
          </w:p>
        </w:tc>
      </w:tr>
    </w:tbl>
    <w:p>
      <w:r>
        <w:rPr>
          <w:i/>
          <w:sz w:val="16"/>
        </w:rPr>
        <w:t>*Note: Pre- and post-rebasing/measurement differences exist in some series; figures illustrative of direction and magnitude from IMF, World Bank, NBS, DMO sources. Exchange rate bands reflect intra-year volatility.</w:t>
      </w:r>
    </w:p>
    <w:p>
      <w:pPr>
        <w:pStyle w:val="Heading1"/>
      </w:pPr>
      <w:r>
        <w:t>5. The Creditor-Nation Fantasy and Rhetorical Overreach</w:t>
      </w:r>
    </w:p>
    <w:p>
      <w:pPr>
        <w:ind w:firstLine="720"/>
      </w:pPr>
      <w:r>
        <w:t>As the gap between statistical narratives and household experience widened, official communication drifted from ambitious forecasting into what can only be described as administrative satire. The zenith occurred in December 2025 when First Lady Senator Oluremi Tinubu, addressing a public event, proclaimed that by 2026 Nigeria's recovery would be so complete that the nation would begin lending money to other countries. "By 2026, Nigeria will be in prosperity; we will be lending to other nations," she stated (Punch, 8 December 2025; widely reported and memed across Nigerian social media).</w:t>
      </w:r>
    </w:p>
    <w:p>
      <w:pPr>
        <w:ind w:firstLine="720"/>
      </w:pPr>
      <w:r>
        <w:t>This claim represented the purest distillation of macroeconomic gaslighting. At the moment of the statement, Nigeria's public debt stock had already climbed from ~₦87 trillion in mid-2023 to well over ₦140 trillion, heading toward ₦155 trillion. The country was in active discussions with the World Bank and other partners for multi-billion-dollar budget support and project financing to shore up liquidity and fund critical expenditures. External debt service obligations were rising, and the debt-service-to-revenue ratio remained under severe pressure, crowding out capital and social spending (DMO reports, 2025). The notion that a nation in this position would, within months, transition to net creditor status—lending to others rather than borrowing—defied every available balance-sheet indicator. It was not forecasting; it was performative aspiration untethered from institutional reality.</w:t>
      </w:r>
    </w:p>
    <w:p>
      <w:pPr>
        <w:ind w:firstLine="720"/>
      </w:pPr>
      <w:r>
        <w:t>The public response was swift and derisive. On X (formerly Twitter), in market conversations, and in comedy skits, Nigerians highlighted the irony: the same government that was returning to the Bretton Woods institutions for emergency facilities was simultaneously promising to lend to the world. The episode damaged credibility not because citizens expected perfect accuracy from political rhetoric, but because the gap between claim and context was so extreme that it signaled either profound detachment or deliberate contempt for public intelligence. When the state tells a population experiencing one of the sharpest collapses in purchasing power in a generation that it is about to become a global creditor, the social contract frays.</w:t>
      </w:r>
    </w:p>
    <w:p>
      <w:pPr>
        <w:pStyle w:val="Heading1"/>
      </w:pPr>
      <w:r>
        <w:t>6. The Low-Base Growth Illusion and Selective Comparative Metrics</w:t>
      </w:r>
    </w:p>
    <w:p>
      <w:pPr>
        <w:ind w:firstLine="720"/>
      </w:pPr>
      <w:r>
        <w:t>A close runner-up in the taxonomy of rhetorical distortions was the selective celebration of real GDP growth rates. In April 2026, presidential aides prominently highlighted the IMF World Economic Outlook projection of 4.1 percent real GDP growth for Nigeria in 2026, noting that this outpaced the United States (2.3 percent), United Kingdom (0.8 percent), and Germany (0.8 percent). The implication was clear: Nigeria was outperforming the advanced economies; the reforms were delivering superior results (Bwala statements and media amplification, April 2026).</w:t>
      </w:r>
    </w:p>
    <w:p>
      <w:pPr>
        <w:ind w:firstLine="720"/>
      </w:pPr>
      <w:r>
        <w:t>This presentation relies on a classic statistical sleight-of-hand: the low-base effect. A 4.1 percent expansion in an economy that has just suffered a massive contraction in its dollar value, a hollowing out of domestic purchasing power, and a surge in multidimensional poverty generates far less incremental welfare than the same percentage growth in a stable, high-income economy operating near potential. Moreover, with Nigeria's population growing at approximately 2.4 percent annually, a 4 percent real growth rate leaves minimal room for per capita income expansion—particularly when baseline per capita nominal income had already cratered to the $1,000–1,200 range. Celebrating headline growth while ignoring per capita realities and the absolute level from which growth is measured is not analysis; it is narrative construction.</w:t>
      </w:r>
    </w:p>
    <w:p>
      <w:pPr>
        <w:ind w:firstLine="720"/>
      </w:pPr>
      <w:r>
        <w:t>The deeper problem is the substitution of a single, easily communicable metric for a multidimensional assessment of economic health. Real GDP growth is a useful but incomplete indicator; it says nothing about distribution, sustainability, or the composition of output. When growth coexists with rising poverty, falling real wages in key sectors, and deteriorating food security, it is not evidence of successful reform but of a lopsided recovery that bypasses the majority. The low-base braggadocio obscured this distinction and contributed to the broader gaslighting effect.</w:t>
      </w:r>
    </w:p>
    <w:p>
      <w:pPr>
        <w:pStyle w:val="Heading1"/>
      </w:pPr>
      <w:r>
        <w:t>7. The Stomach Infrastructure Crisis: Supply Shocks, Monetary Policy, and Household Collapse</w:t>
      </w:r>
    </w:p>
    <w:p>
      <w:pPr>
        <w:ind w:firstLine="720"/>
      </w:pPr>
      <w:r>
        <w:t>The core analytical and policy failure of the 2023–2026 period lay in the institutional treatment of inflation and its microeconomic consequences. Quarter after quarter, the CBN and external partners declared that inflation had "crested" and that aggressive monetary tightening—pushing the Monetary Policy Rate (MPR) to historic highs of 27.5 percent—would bring it down into the mid-teens. By mid-2026, headline inflation had indeed eased from its peak above 33–34 percent to around 15.9 percent in May (NBS, May 2026). Officials celebrated this as vindication. Yet the baseline cost of living had already been structurally repriced upward, and the "moderation" arrived only after millions had been priced out of adequate nutrition and other essentials.</w:t>
      </w:r>
    </w:p>
    <w:p>
      <w:pPr>
        <w:ind w:firstLine="720"/>
      </w:pPr>
      <w:r>
        <w:t>Textbook monetary policy assumes that inflation is primarily a demand-side phenomenon amenable to interest-rate management. In Nigeria's 2023–2026 context, the dominant drivers were supply-side and cost-push: the energy shock from fuel price liberalization (which raised logistics and production costs across the economy); persistent insecurity in the agrarian Middle Belt that choked food supply to urban centers; global commodity price pass-through amplified by Naira depreciation; and the removal of implicit subsidies that had previously masked underlying cost structures. Raising the MPR to 27.5 percent could not fix broken supply chains, restore farmer security, or instantly rebuild domestic refining capacity. It could, however, further constrain credit to the real sector, raise borrowing costs for businesses already squeezed by input inflation, and contribute to demand destruction—effectively "solving" inflation by suppressing economic activity and household consumption (CBN various; World Bank, 2024).</w:t>
      </w:r>
    </w:p>
    <w:p>
      <w:pPr>
        <w:ind w:firstLine="720"/>
      </w:pPr>
      <w:r>
        <w:t>The human consequences were severe and uneven. Market women, smallholder farmers, informal sector operators, and fixed-income households bore the brunt. The price of a bag of rice or a measure of garri that had been affordable on a modest income became prohibitive. Transportation costs for commuters and traders in cities like Lagos and Abuja consumed larger shares of already strained budgets. The security-food nexus proved particularly vicious: banditry, kidnapping, and herder-farmer conflicts in food-producing regions reduced output and raised risk premia, while higher fuel costs made it more expensive to move what little was produced to deficit areas. The result was a classic stagflationary trap—weak growth in real activity for ordinary citizens alongside persistent price pressures on essentials—against which conventional monetary tools had limited traction.</w:t>
      </w:r>
    </w:p>
    <w:p>
      <w:pPr>
        <w:ind w:firstLine="720"/>
      </w:pPr>
      <w:r>
        <w:t>By declaring victory over inflation once headline numbers moderated, the state effectively announced that the demand destruction it had engineered constituted success. The stomach infrastructure of the population had been sacrificed on the altar of macroeconomic "credibility," and the sacrifice was then reframed as evidence that the medicine was working. This is the stomach infrastructure paradox in its most acute form.</w:t>
      </w:r>
    </w:p>
    <w:p>
      <w:pPr>
        <w:pStyle w:val="Heading1"/>
      </w:pPr>
      <w:r>
        <w:t>8. Spreadsheet Success and Street-Level Suffering: Synthesizing the Evidence</w:t>
      </w:r>
    </w:p>
    <w:p>
      <w:pPr>
        <w:ind w:firstLine="720"/>
      </w:pPr>
      <w:r>
        <w:t>By mid-2026, a paradoxical picture had crystallized. On one register—the one visible in IMF Article IV reports, CBN quarterly bulletins, NGX trading floors, and state house briefings—Nigeria had made tangible progress on several orthodox metrics. Fiscal deficits had narrowed (as a share of GDP), non-oil revenue efforts had intensified, foreign exchange backlogs had been cleared, and investor sentiment in certain segments had improved. The stock market posted strong nominal returns. Real GDP growth had settled in the 3–4 percent range, with projections for 2026 at 4.1 percent.</w:t>
      </w:r>
    </w:p>
    <w:p>
      <w:pPr>
        <w:ind w:firstLine="720"/>
      </w:pPr>
      <w:r>
        <w:t>On the parallel register of household welfare, the picture was far bleaker. An estimated additional tens of millions of Nigerians had fallen into or deeper into multidimensional poverty, with food insecurity rising sharply in both urban and rural areas. Real purchasing power for wage earners and informal operators had collapsed. Public services—already strained—faced additional pressure as state and local governments grappled with higher input costs and debt service obligations. The social fabric showed signs of stress: increased reports of malnutrition, school dropout for economic reasons, mental health burdens, and localized protests or criminality linked to economic desperation.</w:t>
      </w:r>
    </w:p>
    <w:p>
      <w:pPr>
        <w:ind w:firstLine="720"/>
      </w:pPr>
      <w:r>
        <w:t>This divergence is not accidental; it is structural to the policy design and communicative strategy. When reforms are sequenced such that price shocks land first and compensatory or productive investments arrive late or incompletely, the immediate losers are the poor and near-poor. When official narratives then celebrate the macro "gains" while minimizing or denying the micro losses, the result is not merely hardship but a profound crisis of legitimacy. Citizens are asked to trust institutions that appear either blind to or indifferent toward their daily reality. The phrase "Na statistics we go chop?" captures this crisis with devastating precision.</w:t>
      </w:r>
    </w:p>
    <w:p>
      <w:pPr>
        <w:pStyle w:val="Heading1"/>
      </w:pPr>
      <w:r>
        <w:t>9. Discussion: Theoretical and Policy Implications</w:t>
      </w:r>
    </w:p>
    <w:p>
      <w:pPr>
        <w:ind w:firstLine="720"/>
      </w:pPr>
      <w:r>
        <w:t>The Nigerian experience of 2023–2026 carries lessons that extend beyond its borders. For heterodox and structuralist economists, it confirms long-standing warnings about the dangers of rapid liberalization in economies with weak productive structures, high import dependence, and limited social safety nets. For orthodox reformers, it illustrates the political and social costs of neglecting compensation and sequencing—costs that can ultimately undermine the sustainability of the reform itself. For political scientists and communication scholars, it offers a case study in how states manage (or mismanage) the narrative politics of painful adjustment in the age of social media and widespread information access.</w:t>
      </w:r>
    </w:p>
    <w:p>
      <w:pPr>
        <w:ind w:firstLine="720"/>
      </w:pPr>
      <w:r>
        <w:t>Three policy implications stand out. First, stomach infrastructure must be treated as a first-order constraint and objective, not a residual or afterthought. This means designing social protection systems that are scalable, targeted, and funded from the fiscal space created by reform before the shocks fully land. Cash transfers, school feeding expansions, transport subsidies for essential workers, and agricultural input support are not "palliatives" to be announced after the fact; they are integral components of a politically viable reform package. Second, communication strategy matters as much as technical design. Over-promising timelines, celebrating metrics that citizens cannot feel in their wallets, and pathologizing legitimate grievance erode trust and make future reform coalitions harder to assemble. Third, productive investment in domestic supply capacity—especially in food systems, energy, and security—must accompany or precede demand-side and price reforms. Without it, liberalization simply transmits external and domestic shocks more efficiently into household budgets.</w:t>
      </w:r>
    </w:p>
    <w:p>
      <w:pPr>
        <w:ind w:firstLine="720"/>
      </w:pPr>
      <w:r>
        <w:t>Theoretically, the case underscores the limits of GDP-centric or fiscal-consolidation-centric evaluation frameworks. A nation can post improving macro indicators while its citizens experience deepening precarity; such an outcome should be coded as policy failure, not success with regrettable side effects. Multidimensional wellbeing metrics, distributional analysis, and real-time household surveys must become central to policy assessment, not supplementary add-ons. The "stomach infrastructure" lens offers one accessible way to keep this distributional and welfare dimension front and center in both analysis and public debate.</w:t>
      </w:r>
    </w:p>
    <w:p>
      <w:pPr>
        <w:pStyle w:val="Heading1"/>
      </w:pPr>
      <w:r>
        <w:t>10. Conclusion: From Spreadsheet Optimism to Stomach-Centered Realism</w:t>
      </w:r>
    </w:p>
    <w:p>
      <w:pPr>
        <w:ind w:firstLine="720"/>
      </w:pPr>
      <w:r>
        <w:t>The period between 2023 and 2026 will likely be remembered in Nigerian economic history as the era of "Statistical Success versus Stomach Reality." The institutionalization of parallel narratives—one glowing in PowerPoint decks and IMF boardrooms, the other grinding in markets, kitchens, and commuter buses—represents a profound failure of policy imagination and communicative ethics. The trillion-dollar delusion, the creditor-nation fantasy, and the low-base growth illusion were not harmless rhetorical excesses; they actively distorted resource allocation, eroded public trust, and made it harder to build the broad social coalition required for difficult but necessary reforms to succeed.</w:t>
      </w:r>
    </w:p>
    <w:p>
      <w:pPr>
        <w:ind w:firstLine="720"/>
      </w:pPr>
      <w:r>
        <w:t>Nigeria's citizens do not live their lives in nominal Naira GDP figures or percentage deficit reductions. They live them in the price of garri and rice, the cost of a bus ride or generator fuel, the ability to send children to school without fear of hunger, and the dignity of work that pays a living wage. When macroeconomic policy treats these realities as secondary or as unfortunate but necessary collateral damage, it does not stabilize the economy; it destabilizes the society on which any economy ultimately rests. The phrase "Na statistics we go chop?" is not merely a complaint; it is a demand for accountability to the most basic metric of all: whether ordinary people can feed themselves and their families with dignity.</w:t>
      </w:r>
    </w:p>
    <w:p>
      <w:pPr>
        <w:ind w:firstLine="720"/>
      </w:pPr>
      <w:r>
        <w:t>Moving forward, Nigeria—and other African economies contemplating similar paths—must invert the sequencing logic that has dominated recent decades. Stomach infrastructure first: protect and expand the material base of popular welfare through targeted transfers, agricultural revival, security restoration, and energy access. Macro stabilization and structural reforms second, but designed and communicated in ways that build rather than burn political capital. And throughout, a commitment to telling the truth about trade-offs, timelines, and distributional consequences—not because honesty is easy, but because the alternative is the slow-motion delegitimization of the very institutions on which sustainable development depends.</w:t>
      </w:r>
    </w:p>
    <w:p>
      <w:pPr>
        <w:ind w:firstLine="720"/>
      </w:pPr>
      <w:r>
        <w:t>No nation has ever successfully inflated, devalued, or narrated its way into shared prosperity. The data, the streets, and the stomach all tell the same story. It is past time for policy to listen.</w:t>
      </w:r>
    </w:p>
    <w:p>
      <w:r>
        <w:br w:type="page"/>
      </w:r>
    </w:p>
    <w:p>
      <w:pPr>
        <w:pStyle w:val="Heading1"/>
      </w:pPr>
      <w:r>
        <w:t>References</w:t>
      </w:r>
    </w:p>
    <w:p>
      <w:pPr>
        <w:spacing w:after="120"/>
        <w:ind w:left="720" w:hanging="720"/>
      </w:pPr>
      <w:r>
        <w:rPr>
          <w:rFonts w:ascii="Times New Roman" w:hAnsi="Times New Roman"/>
          <w:sz w:val="20"/>
        </w:rPr>
        <w:t>Ajaero, J. (2024). Tinubu's Economic Reforms in Nigeria: Assessing Gainers and Losers. Paper presented at the 21st Daily Trust Dialogue, Nigeria Labour Congress.</w:t>
      </w:r>
    </w:p>
    <w:p>
      <w:pPr>
        <w:spacing w:after="120"/>
        <w:ind w:left="720" w:hanging="720"/>
      </w:pPr>
      <w:r>
        <w:rPr>
          <w:rFonts w:ascii="Times New Roman" w:hAnsi="Times New Roman"/>
          <w:sz w:val="20"/>
        </w:rPr>
        <w:t>Beaton, C., Gerasimchuk, I., Laan, T., Lang, K., Vis-Dunbar, D., &amp; Wooders, P. (2013). A Guidebook to Fossil-Fuel Subsidy Reform for Policy-Makers in Southeast Asia. International Institute for Sustainable Development.</w:t>
      </w:r>
    </w:p>
    <w:p>
      <w:pPr>
        <w:spacing w:after="120"/>
        <w:ind w:left="720" w:hanging="720"/>
      </w:pPr>
      <w:r>
        <w:rPr>
          <w:rFonts w:ascii="Times New Roman" w:hAnsi="Times New Roman"/>
          <w:sz w:val="20"/>
        </w:rPr>
        <w:t>Central Bank of Nigeria. (Various). Monetary Policy Reports, Quarterly Bulletins, and Exchange Rate Data. Abuja: CBN.</w:t>
      </w:r>
    </w:p>
    <w:p>
      <w:pPr>
        <w:spacing w:after="120"/>
        <w:ind w:left="720" w:hanging="720"/>
      </w:pPr>
      <w:r>
        <w:rPr>
          <w:rFonts w:ascii="Times New Roman" w:hAnsi="Times New Roman"/>
          <w:sz w:val="20"/>
        </w:rPr>
        <w:t>Debt Management Office. (2025). Nigeria's Total Public Debt Stock Reports (Q1–Q4 2025). Federal Ministry of Finance, Budget and National Planning.</w:t>
      </w:r>
    </w:p>
    <w:p>
      <w:pPr>
        <w:spacing w:after="120"/>
        <w:ind w:left="720" w:hanging="720"/>
      </w:pPr>
      <w:r>
        <w:rPr>
          <w:rFonts w:ascii="Times New Roman" w:hAnsi="Times New Roman"/>
          <w:sz w:val="20"/>
        </w:rPr>
        <w:t>IMF. (2022). Nigeria: Article IV Consultation Staff Report. Washington, DC: International Monetary Fund.</w:t>
      </w:r>
    </w:p>
    <w:p>
      <w:pPr>
        <w:spacing w:after="120"/>
        <w:ind w:left="720" w:hanging="720"/>
      </w:pPr>
      <w:r>
        <w:rPr>
          <w:rFonts w:ascii="Times New Roman" w:hAnsi="Times New Roman"/>
          <w:sz w:val="20"/>
        </w:rPr>
        <w:t>IMF. (2023). Nigeria: Article IV Consultation. Washington, DC: International Monetary Fund.</w:t>
      </w:r>
    </w:p>
    <w:p>
      <w:pPr>
        <w:spacing w:after="120"/>
        <w:ind w:left="720" w:hanging="720"/>
      </w:pPr>
      <w:r>
        <w:rPr>
          <w:rFonts w:ascii="Times New Roman" w:hAnsi="Times New Roman"/>
          <w:sz w:val="20"/>
        </w:rPr>
        <w:t>IMF. (2026, April). World Economic Outlook: A Critical Juncture amid Policy Shifts. Washington, DC: International Monetary Fund.</w:t>
      </w:r>
    </w:p>
    <w:p>
      <w:pPr>
        <w:spacing w:after="120"/>
        <w:ind w:left="720" w:hanging="720"/>
      </w:pPr>
      <w:r>
        <w:rPr>
          <w:rFonts w:ascii="Times New Roman" w:hAnsi="Times New Roman"/>
          <w:sz w:val="20"/>
        </w:rPr>
        <w:t>Kalecki, M. (1976). Essays on Developing Economies. Brighton: Harvester Press.</w:t>
      </w:r>
    </w:p>
    <w:p>
      <w:pPr>
        <w:spacing w:after="120"/>
        <w:ind w:left="720" w:hanging="720"/>
      </w:pPr>
      <w:r>
        <w:rPr>
          <w:rFonts w:ascii="Times New Roman" w:hAnsi="Times New Roman"/>
          <w:sz w:val="20"/>
        </w:rPr>
        <w:t>Mkandawire, T. (2001). Thinking about Developmental States in Africa. Cambridge Journal of Economics, 25(3), 289–313.</w:t>
      </w:r>
    </w:p>
    <w:p>
      <w:pPr>
        <w:spacing w:after="120"/>
        <w:ind w:left="720" w:hanging="720"/>
      </w:pPr>
      <w:r>
        <w:rPr>
          <w:rFonts w:ascii="Times New Roman" w:hAnsi="Times New Roman"/>
          <w:sz w:val="20"/>
        </w:rPr>
        <w:t>Mkandawire, T., &amp; Soludo, C. (1999). Our Continent, Our Future: African Perspectives on Structural Adjustment. Dakar: CODESRIA.</w:t>
      </w:r>
    </w:p>
    <w:p>
      <w:pPr>
        <w:spacing w:after="120"/>
        <w:ind w:left="720" w:hanging="720"/>
      </w:pPr>
      <w:r>
        <w:rPr>
          <w:rFonts w:ascii="Times New Roman" w:hAnsi="Times New Roman"/>
          <w:sz w:val="20"/>
        </w:rPr>
        <w:t>National Bureau of Statistics. (2024–2026). Consumer Price Index Reports, Gross Domestic Product Reports, and Multidimensional Poverty Index. Abuja: NBS.</w:t>
      </w:r>
    </w:p>
    <w:p>
      <w:pPr>
        <w:spacing w:after="120"/>
        <w:ind w:left="720" w:hanging="720"/>
      </w:pPr>
      <w:r>
        <w:rPr>
          <w:rFonts w:ascii="Times New Roman" w:hAnsi="Times New Roman"/>
          <w:sz w:val="20"/>
        </w:rPr>
        <w:t>National Labour Congress. (2024). Statement on the Impact of Fuel Subsidy Removal and Economic Reforms. Abuja: NLC.</w:t>
      </w:r>
    </w:p>
    <w:p>
      <w:pPr>
        <w:spacing w:after="120"/>
        <w:ind w:left="720" w:hanging="720"/>
      </w:pPr>
      <w:r>
        <w:rPr>
          <w:rFonts w:ascii="Times New Roman" w:hAnsi="Times New Roman"/>
          <w:sz w:val="20"/>
        </w:rPr>
        <w:t>Olukoshi, A. (Ed.). (1993). The Politics of Structural Adjustment in Nigeria. London: James Currey.</w:t>
      </w:r>
    </w:p>
    <w:p>
      <w:pPr>
        <w:spacing w:after="120"/>
        <w:ind w:left="720" w:hanging="720"/>
      </w:pPr>
      <w:r>
        <w:rPr>
          <w:rFonts w:ascii="Times New Roman" w:hAnsi="Times New Roman"/>
          <w:sz w:val="20"/>
        </w:rPr>
        <w:t>Omilusi, M. (2019). Electoral Behavior and Politics of Stomach Infrastructure in Ekiti State (Nigeria). In Elections: A Global Perspective. IntechOpen.</w:t>
      </w:r>
    </w:p>
    <w:p>
      <w:pPr>
        <w:spacing w:after="120"/>
        <w:ind w:left="720" w:hanging="720"/>
      </w:pPr>
      <w:r>
        <w:rPr>
          <w:rFonts w:ascii="Times New Roman" w:hAnsi="Times New Roman"/>
          <w:sz w:val="20"/>
        </w:rPr>
        <w:t>Polanyi, K. (1944). The Great Transformation: The Political and Economic Origins of Our Time. New York: Farrar &amp; Rinehart.</w:t>
      </w:r>
    </w:p>
    <w:p>
      <w:pPr>
        <w:spacing w:after="120"/>
        <w:ind w:left="720" w:hanging="720"/>
      </w:pPr>
      <w:r>
        <w:rPr>
          <w:rFonts w:ascii="Times New Roman" w:hAnsi="Times New Roman"/>
          <w:sz w:val="20"/>
        </w:rPr>
        <w:t>Punch Newspaper. (2025, December 8). Nigeria will be lending to nations by 2026 – Remi Tinubu. Lagos: Punch.</w:t>
      </w:r>
    </w:p>
    <w:p>
      <w:pPr>
        <w:spacing w:after="120"/>
        <w:ind w:left="720" w:hanging="720"/>
      </w:pPr>
      <w:r>
        <w:rPr>
          <w:rFonts w:ascii="Times New Roman" w:hAnsi="Times New Roman"/>
          <w:sz w:val="20"/>
        </w:rPr>
        <w:t>Sen, A. (1999). Development as Freedom. New York: Alfred A. Knopf.</w:t>
      </w:r>
    </w:p>
    <w:p>
      <w:pPr>
        <w:spacing w:after="120"/>
        <w:ind w:left="720" w:hanging="720"/>
      </w:pPr>
      <w:r>
        <w:rPr>
          <w:rFonts w:ascii="Times New Roman" w:hAnsi="Times New Roman"/>
          <w:sz w:val="20"/>
        </w:rPr>
        <w:t>Siddig, K., et al. (2015). Impacts on Poverty of Removing Fuel Import Subsidies in Nigeria. World Bank Open Knowledge Repository.</w:t>
      </w:r>
    </w:p>
    <w:p>
      <w:pPr>
        <w:spacing w:after="120"/>
        <w:ind w:left="720" w:hanging="720"/>
      </w:pPr>
      <w:r>
        <w:rPr>
          <w:rFonts w:ascii="Times New Roman" w:hAnsi="Times New Roman"/>
          <w:sz w:val="20"/>
        </w:rPr>
        <w:t>Stober, E. O. (2016). Stomach Infrastructure: Lessons for Democracy and Good Governance. Management Dynamics in the Knowledge Economy, 4(1), 131–148.</w:t>
      </w:r>
    </w:p>
    <w:p>
      <w:pPr>
        <w:spacing w:after="120"/>
        <w:ind w:left="720" w:hanging="720"/>
      </w:pPr>
      <w:r>
        <w:rPr>
          <w:rFonts w:ascii="Times New Roman" w:hAnsi="Times New Roman"/>
          <w:sz w:val="20"/>
        </w:rPr>
        <w:t>Taylor, L. (1991). Income Distribution, Inflation, and Growth: Lectures on Structuralist Macroeconomic Theory. Cambridge, MA: MIT Press.</w:t>
      </w:r>
    </w:p>
    <w:p>
      <w:pPr>
        <w:spacing w:after="120"/>
        <w:ind w:left="720" w:hanging="720"/>
      </w:pPr>
      <w:r>
        <w:rPr>
          <w:rFonts w:ascii="Times New Roman" w:hAnsi="Times New Roman"/>
          <w:sz w:val="20"/>
        </w:rPr>
        <w:t>Trading Economics. (2026). Nigeria Naira Exchange Rate Data and Historical Series. Retrieved from tradingeconomics.com.</w:t>
      </w:r>
    </w:p>
    <w:p>
      <w:pPr>
        <w:spacing w:after="120"/>
        <w:ind w:left="720" w:hanging="720"/>
      </w:pPr>
      <w:r>
        <w:rPr>
          <w:rFonts w:ascii="Times New Roman" w:hAnsi="Times New Roman"/>
          <w:sz w:val="20"/>
        </w:rPr>
        <w:t>World Bank. (2023). Nigeria Development Update: Seizing the Opportunity. Washington, DC: World Bank.</w:t>
      </w:r>
    </w:p>
    <w:p>
      <w:pPr>
        <w:spacing w:after="120"/>
        <w:ind w:left="720" w:hanging="720"/>
      </w:pPr>
      <w:r>
        <w:rPr>
          <w:rFonts w:ascii="Times New Roman" w:hAnsi="Times New Roman"/>
          <w:sz w:val="20"/>
        </w:rPr>
        <w:t>World Bank. (2024). Nigeria Development Update: Staying the Course on Reforms – Progress Amidst Challenges. Washington, DC: World Bank.</w:t>
      </w:r>
    </w:p>
    <w:p>
      <w:pPr>
        <w:spacing w:after="120"/>
        <w:ind w:left="720" w:hanging="720"/>
      </w:pPr>
      <w:r>
        <w:rPr>
          <w:rFonts w:ascii="Times New Roman" w:hAnsi="Times New Roman"/>
          <w:sz w:val="20"/>
        </w:rPr>
        <w:t>World Bank. (2025). Nigeria Development Update and Poverty Assessments. Washington, DC: World Bank.</w:t>
      </w:r>
    </w:p>
    <w:sectPr w:rsidR="00FC693F" w:rsidRPr="0006063C" w:rsidSect="00034616">
      <w:footerReference w:type="default" r:id="rId10"/>
      <w:headerReference w:type="default" r:id="rId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PAGE</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sz w:val="18"/>
      </w:rPr>
      <w:t>"Na Statistics We Go Chop?" | Korie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line="276" w:lineRule="auto"/>
      <w:outlineLvl w:val="0"/>
    </w:pPr>
    <w:rPr>
      <w:rFonts w:asciiTheme="majorHAnsi" w:eastAsiaTheme="majorEastAsia" w:hAnsiTheme="majorHAnsi" w:cstheme="majorBidi" w:ascii="Times New Roman" w:hAnsi="Times New Roman"/>
      <w:b/>
      <w:bCs/>
      <w:color w:val="003366"/>
      <w:sz w:val="32"/>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Times New Roman" w:hAnsi="Times New Roman"/>
      <w:b/>
      <w:bCs/>
      <w:color w:val="004C99"/>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b/>
      <w:bCs/>
      <w:i/>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