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Bezugskalkulation 300 Lithium-Batterie-Packs</w:t>
      </w:r>
    </w:p>
    <w:p>
      <w:r>
        <w:t>Erstellt von Malte Ahlers</w:t>
      </w:r>
    </w:p>
    <w:p>
      <w:r>
        <w:t>Grundlage: Angebot der BatteryWorld GmbH (günstigster Bezugspreis).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Listeneinkaufspreis (300 × 115,00 €)</w:t>
            </w:r>
          </w:p>
        </w:tc>
        <w:tc>
          <w:tcPr>
            <w:tcW w:type="dxa" w:w="2880"/>
          </w:tcPr>
          <w:p>
            <w:r>
              <w:t>34.500,00 €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– Rabatt 10 %</w:t>
            </w:r>
          </w:p>
        </w:tc>
        <w:tc>
          <w:tcPr>
            <w:tcW w:type="dxa" w:w="2880"/>
          </w:tcPr>
          <w:p>
            <w:r>
              <w:t>−3.450,00 €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 Zieleinkaufspreis</w:t>
            </w:r>
          </w:p>
        </w:tc>
        <w:tc>
          <w:tcPr>
            <w:tcW w:type="dxa" w:w="2880"/>
          </w:tcPr>
          <w:p>
            <w:r>
              <w:t>31.050,00 €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– Skonto 2 %</w:t>
            </w:r>
          </w:p>
        </w:tc>
        <w:tc>
          <w:tcPr>
            <w:tcW w:type="dxa" w:w="2880"/>
          </w:tcPr>
          <w:p>
            <w:r>
              <w:t>−621,00 €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 xml:space="preserve"> Bareinkaufspreis</w:t>
            </w:r>
          </w:p>
        </w:tc>
        <w:tc>
          <w:tcPr>
            <w:tcW w:type="dxa" w:w="2880"/>
          </w:tcPr>
          <w:p>
            <w:r>
              <w:t>30.429,00 €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+ Bezugskosten</w:t>
            </w:r>
          </w:p>
        </w:tc>
        <w:tc>
          <w:tcPr>
            <w:tcW w:type="dxa" w:w="2880"/>
          </w:tcPr>
          <w:p>
            <w:r>
              <w:t>450,00 €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 xml:space="preserve"> Bezugspreis</w:t>
            </w:r>
          </w:p>
        </w:tc>
        <w:tc>
          <w:tcPr>
            <w:tcW w:type="dxa" w:w="2880"/>
          </w:tcPr>
          <w:p>
            <w:r>
              <w:t>30.879,00 €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Ergebnis</w:t>
            </w:r>
          </w:p>
        </w:tc>
        <w:tc>
          <w:tcPr>
            <w:tcW w:type="dxa" w:w="2880"/>
          </w:tcPr>
          <w:p>
            <w:r>
              <w:t>BatteryWorld ist günstiger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