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30CA5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Лженаука рождается там, где нарушаются научные принципы</w:t>
      </w:r>
    </w:p>
    <w:p w:rsidR="00000000" w:rsidRDefault="00C30CA5">
      <w:pPr>
        <w:spacing w:after="0" w:line="240" w:lineRule="auto"/>
        <w:ind w:firstLine="624"/>
        <w:jc w:val="center"/>
        <w:rPr>
          <w:rFonts w:ascii="Times New Roman" w:hAnsi="Times New Roman" w:cs="Times New Roman"/>
          <w:sz w:val="12"/>
          <w:szCs w:val="12"/>
          <w:lang w:val="ru-RU"/>
        </w:rPr>
      </w:pPr>
    </w:p>
    <w:p w:rsidR="00000000" w:rsidRDefault="00C30CA5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6"/>
          <w:szCs w:val="26"/>
        </w:rPr>
        <w:t>Лженаука – деятельность или учение, якобы основанное на подтверждённом научном методе. На самом деле лженауки имитируют научный метод, чтобы придать себе больше веса в глазах последователей, при этом</w:t>
      </w:r>
      <w:r>
        <w:rPr>
          <w:rFonts w:ascii="Times New Roman" w:hAnsi="Times New Roman" w:cs="Times New Roman"/>
          <w:sz w:val="26"/>
          <w:szCs w:val="26"/>
        </w:rPr>
        <w:t xml:space="preserve"> они не ставят перед собой цели по-настоящему познать действительность и изучить происходящие вокруг процессы.</w:t>
      </w:r>
    </w:p>
    <w:p w:rsidR="00000000" w:rsidRDefault="00C30CA5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6"/>
          <w:szCs w:val="26"/>
        </w:rPr>
        <w:t>Лженауки привлекают тремя главными обещаниями: рассказать правду, сделать жизнь лучше простым способом и помочь там, где медицина и наука оказали</w:t>
      </w:r>
      <w:r>
        <w:rPr>
          <w:rFonts w:ascii="Times New Roman" w:hAnsi="Times New Roman" w:cs="Times New Roman"/>
          <w:sz w:val="26"/>
          <w:szCs w:val="26"/>
        </w:rPr>
        <w:t>сь бессильны.</w:t>
      </w:r>
    </w:p>
    <w:p w:rsidR="00000000" w:rsidRDefault="00C30CA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:rsidR="00000000" w:rsidRDefault="00C30CA5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№1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tbl>
      <w:tblPr>
        <w:tblW w:w="0" w:type="auto"/>
        <w:tblInd w:w="62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7"/>
        <w:gridCol w:w="5102"/>
      </w:tblGrid>
      <w:tr w:rsidR="00000000">
        <w:tc>
          <w:tcPr>
            <w:tcW w:w="4817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E2EAE2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Универсальный механизм поддержания порядка в любом помещении </w:t>
            </w:r>
          </w:p>
        </w:tc>
        <w:tc>
          <w:tcPr>
            <w:tcW w:w="5102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E2EAE2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Универсальный механизм создания бардака в любом помещении</w:t>
            </w:r>
          </w:p>
        </w:tc>
      </w:tr>
      <w:tr w:rsidR="00000000">
        <w:tc>
          <w:tcPr>
            <w:tcW w:w="4817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вещь возвращается на своё место</w:t>
            </w:r>
          </w:p>
        </w:tc>
        <w:tc>
          <w:tcPr>
            <w:tcW w:w="5102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вещь возвращается «куда мне сейчас удобно» </w:t>
            </w:r>
          </w:p>
        </w:tc>
      </w:tr>
    </w:tbl>
    <w:p w:rsidR="00000000" w:rsidRDefault="00C30CA5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6"/>
          <w:szCs w:val="26"/>
        </w:rPr>
        <w:t>Если некто использу</w:t>
      </w:r>
      <w:r>
        <w:rPr>
          <w:rFonts w:ascii="Times New Roman" w:hAnsi="Times New Roman" w:cs="Times New Roman"/>
          <w:sz w:val="26"/>
          <w:szCs w:val="26"/>
        </w:rPr>
        <w:t>ет научные принципы, не понимая их – он неизбежно их нарушит. В 30-х годах прошлого века </w:t>
      </w:r>
      <w:hyperlink r:id="rId4" w:anchor="_blank" w:history="1">
        <w:r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Л.С. Выготский</w:t>
        </w:r>
      </w:hyperlink>
      <w:r>
        <w:rPr>
          <w:rFonts w:ascii="Times New Roman" w:hAnsi="Times New Roman" w:cs="Times New Roman"/>
          <w:sz w:val="26"/>
          <w:szCs w:val="26"/>
        </w:rPr>
        <w:t> называл это «фельдшеризм в науке»: выполнение действий по шаблону, но без понимания общего замысла</w:t>
      </w:r>
      <w:r>
        <w:rPr>
          <w:rFonts w:ascii="Times New Roman" w:hAnsi="Times New Roman" w:cs="Times New Roman"/>
          <w:sz w:val="26"/>
          <w:szCs w:val="26"/>
        </w:rPr>
        <w:t>. Если научные принципы, сформированные поколениями учёных, используются в стиле: «так, как мне сейчас удобно»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неизбежно самозарождаются бардак и лже-наука.</w:t>
      </w:r>
    </w:p>
    <w:p w:rsidR="00000000" w:rsidRDefault="00C30CA5">
      <w:pPr>
        <w:spacing w:after="0" w:line="240" w:lineRule="auto"/>
        <w:ind w:firstLine="624"/>
        <w:jc w:val="both"/>
        <w:rPr>
          <w:sz w:val="12"/>
          <w:szCs w:val="12"/>
        </w:rPr>
      </w:pPr>
    </w:p>
    <w:p w:rsidR="00000000" w:rsidRDefault="00C30CA5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№2: Наука и лженаука: Культура и культурка</w:t>
      </w:r>
      <w:r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0" w:type="auto"/>
        <w:tblInd w:w="62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959"/>
        <w:gridCol w:w="4960"/>
      </w:tblGrid>
      <w:tr w:rsidR="00000000">
        <w:tc>
          <w:tcPr>
            <w:tcW w:w="4959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E2EAE2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Научный эффект </w:t>
            </w:r>
          </w:p>
        </w:tc>
        <w:tc>
          <w:tcPr>
            <w:tcW w:w="4960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E2EAE2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Механизмы лженауки</w:t>
            </w:r>
          </w:p>
        </w:tc>
      </w:tr>
      <w:tr w:rsidR="00000000">
        <w:tc>
          <w:tcPr>
            <w:tcW w:w="9919" w:type="dxa"/>
            <w:gridSpan w:val="2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E0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Научн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ый контекст нельзя смешивать с иными контекстами… </w:t>
            </w:r>
          </w:p>
        </w:tc>
      </w:tr>
      <w:tr w:rsidR="00000000">
        <w:tc>
          <w:tcPr>
            <w:tcW w:w="4959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Спокойное осознание-понимание: «В каком контексте мы находимся?»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Напомню: «знание» и «мнение» призывал разделять ещё </w:t>
            </w:r>
            <w:hyperlink r:id="rId5" w:anchor="_blank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Протагор </w:t>
              </w:r>
            </w:hyperlink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Древней Греции – 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примерно 500 лет до нашей эры. А </w:t>
            </w:r>
            <w:hyperlink r:id="rId6" w:anchor="_blank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Фалес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 – а это 600  лет до нашей эры – первый предложил 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доказывать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справедливость выдвигаемых утверждений.</w:t>
            </w:r>
          </w:p>
        </w:tc>
        <w:tc>
          <w:tcPr>
            <w:tcW w:w="4960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Смешение науки с идеологическими, политическими, в частнос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ти, с демократическими нормами, например, в стиле: 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«А у меня есть своё мнение!»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000000" w:rsidRDefault="00C30CA5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Пояснение: результативная наука интересуется не столько текущими «мнениями», сколько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лучшими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мире достижениями по теме и в смежных областях.</w:t>
            </w:r>
          </w:p>
        </w:tc>
      </w:tr>
      <w:tr w:rsidR="00000000">
        <w:tc>
          <w:tcPr>
            <w:tcW w:w="9919" w:type="dxa"/>
            <w:gridSpan w:val="2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E0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Корректные ссылки на авторов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-предшественников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00000">
        <w:tc>
          <w:tcPr>
            <w:tcW w:w="4959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Корректные ссылки на первоисточники </w:t>
            </w:r>
            <w:hyperlink r:id="rId7" w:anchor="_blank" w:history="1">
              <w:r>
                <w:rPr>
                  <w:rStyle w:val="Hyperlink"/>
                  <w:rFonts w:ascii="Times New Roman" w:hAnsi="Times New Roman" w:cs="Times New Roman"/>
                  <w:color w:val="0D0D0D"/>
                  <w:sz w:val="28"/>
                  <w:szCs w:val="28"/>
                  <w:u w:val="none"/>
                </w:rPr>
                <w:t>обязательны</w:t>
              </w:r>
            </w:hyperlink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См.: </w:t>
            </w:r>
            <w:hyperlink r:id="rId8" w:anchor="_blank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Викентьев И.Л., Почему невыгоден плагиат или пять плюсо</w:t>
              </w:r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в корректного цитирования</w:t>
              </w:r>
            </w:hyperlink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</w:p>
        </w:tc>
        <w:tc>
          <w:tcPr>
            <w:tcW w:w="4960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Избегание ссылок на предшественников: они ставятся только там, «где мне сейчас выгодно».</w:t>
            </w:r>
          </w:p>
          <w:p w:rsidR="00000000" w:rsidRDefault="00C30CA5">
            <w:pPr>
              <w:widowControl w:val="0"/>
              <w:spacing w:after="0" w:line="24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Вариант: бесконечное самоцитирование (т.н. «самосвидетельство»).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Часто: переписывание чужих работ «своими словами» без получения главного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нового научного качества.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И, конечно, сверхреклама себя-любимого.</w:t>
            </w:r>
          </w:p>
        </w:tc>
      </w:tr>
      <w:tr w:rsidR="00000000">
        <w:tc>
          <w:tcPr>
            <w:tcW w:w="9919" w:type="dxa"/>
            <w:gridSpan w:val="2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E0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3. Свободная и открытая конкуренция </w:t>
            </w:r>
          </w:p>
        </w:tc>
      </w:tr>
      <w:tr w:rsidR="00000000">
        <w:tc>
          <w:tcPr>
            <w:tcW w:w="4959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Открытое сравнение / обсуждение: гипотез, методик, интерпретаций, результатов. Например, на профессиональных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онференциях.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960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Всяческое избегание неза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висимых проверок, сравнения с сильными аналогами, в сочетании с поиском необразованной аудитории. 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Порой даже незнание существующих аналогов.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Иногда: просто огульное отрицание научных данных (Так, </w:t>
            </w:r>
            <w:hyperlink r:id="rId9" w:anchor="_blank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Т.Д.</w:t>
              </w:r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 xml:space="preserve"> Лысенко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 отрицал роль ДНК в наследственности); либо самой возможности познать явление.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0000">
        <w:tc>
          <w:tcPr>
            <w:tcW w:w="9919" w:type="dxa"/>
            <w:gridSpan w:val="2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E0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 Независимая оценка научной работы, а не её автора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00000">
        <w:tc>
          <w:tcPr>
            <w:tcW w:w="4959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Оценивается не человек, а его текущий научный результат относительно лучших научных достижений – он может быть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удачный, так, увы, и не очень…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учёного – удел научного сообщества, историков науки, но не его самого.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Известно, что выдающиеся врачи 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Герман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Бургав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hyperlink r:id="rId10" w:anchor="_blank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Н.И. Пирогов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 намеренно открыто публикова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 свои ошибки – так они помогали становлению нового поколения медиков, а </w:t>
            </w:r>
            <w:hyperlink r:id="rId11" w:anchor="_blank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Чарльз Дарвин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 письменно указал для будущих исследователей «узкие места» своей теории происхождения видов. </w:t>
            </w:r>
          </w:p>
        </w:tc>
        <w:tc>
          <w:tcPr>
            <w:tcW w:w="4960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сам оценивает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себя в стиле: «лучший / единственный в мире!», при этом все его работы – «не имеют аналогов», безгрешны и первостепенны.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Да, «возвращение к реальности» у завравшегося горе-учёного может произойти на профессиональных (а не любительских) Конференциях. Кстат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и, не факт, что нормально функционирующий Оргкомитет допустит на неё оккультятников.</w:t>
            </w:r>
          </w:p>
        </w:tc>
      </w:tr>
      <w:tr w:rsidR="00000000">
        <w:tc>
          <w:tcPr>
            <w:tcW w:w="9919" w:type="dxa"/>
            <w:gridSpan w:val="2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E0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 Технологическое разделение научной работы на этапы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00000">
        <w:tc>
          <w:tcPr>
            <w:tcW w:w="4959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Разделение: первоначальной гипотезы и гипотез, полученных после первых экспериментов, выводов и т.п.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960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Смешение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кучу: эмоций, мнений, предрассудков, логики и собственно наукообразных выводов… Упрямое занятие явно устаревшими моделями и методиками.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Поспешное обобщение: глобальные выводы на основании малого массива данных, одного-двух спорных экспериментов, без переп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роверки. </w:t>
            </w:r>
          </w:p>
        </w:tc>
      </w:tr>
      <w:tr w:rsidR="00000000">
        <w:tc>
          <w:tcPr>
            <w:tcW w:w="9919" w:type="dxa"/>
            <w:gridSpan w:val="2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E0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6. Независимая проверка всех этапов научной работы автора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00000">
        <w:tc>
          <w:tcPr>
            <w:tcW w:w="4959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компоненты научной работы проверяются как самим исследователем, так и, со временем, научным сообществом (особенно если работа принципиальна).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Проверяется всё: исходные данные, корре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ктность ссылок; гипотезы; полученные результаты; методика их получения; интерпретации и т.п.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960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своих результатов нет – они просто выдумываются (это высмеивал ещё </w:t>
            </w:r>
            <w:hyperlink r:id="rId12" w:anchor="_blank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Фрэнсис Бэкон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), списываются без ссыл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 и/или понимания, либо подгоняются под свою гипотезу.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Характерно увлечение умозрительными гипотезами, проверка которых крайне затруднена. Возможно, отчасти поэтому столь популярны среди лжеучёных, например, различные экзотические версии возникновения 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 у наших далёких предков. Попробуйте опровергнуть такую гипотезу!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 идёт оперирование принципиально непроверяемыми / неизмеримыми сущностями: «дух», «сверхестственные способности», «</w:t>
            </w:r>
            <w:hyperlink r:id="rId13" w:anchor="_blank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вселенский колл</w:t>
              </w:r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ективный разум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» и т.п. </w:t>
            </w:r>
          </w:p>
        </w:tc>
      </w:tr>
      <w:tr w:rsidR="00000000">
        <w:tc>
          <w:tcPr>
            <w:tcW w:w="9919" w:type="dxa"/>
            <w:gridSpan w:val="2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E0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Понимание границ своей компетентности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00000">
        <w:tc>
          <w:tcPr>
            <w:tcW w:w="4959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Научная вменяемость: понимание границ своей компетентности.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современной науке практически любая новая предметная область требует существенных затрат сил и времени на «вхождение в тему»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Наиболее простой путь, исключающий научные риски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 соответствующего специалиста в качестве консультанта.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</w:p>
        </w:tc>
        <w:tc>
          <w:tcPr>
            <w:tcW w:w="4960" w:type="dxa"/>
            <w:tcBorders>
              <w:top w:val="single" w:sz="6" w:space="0" w:color="AAAAAA"/>
              <w:left w:val="single" w:sz="2" w:space="0" w:color="AAAAAA"/>
              <w:bottom w:val="single" w:sz="2" w:space="0" w:color="AAAAAA"/>
              <w:right w:val="single" w:sz="6" w:space="0" w:color="AAAAAA"/>
            </w:tcBorders>
            <w:shd w:val="clear" w:color="auto" w:fill="FFFFFF"/>
          </w:tcPr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Лжеученый – специалист во многих или даже во всех областях и всех науках. У него нет границ компетентности. </w:t>
            </w:r>
          </w:p>
          <w:p w:rsidR="00000000" w:rsidRDefault="00C30CA5">
            <w:pPr>
              <w:widowControl w:val="0"/>
              <w:spacing w:after="0" w:line="240" w:lineRule="auto"/>
              <w:ind w:firstLine="624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редкий случай: лжеуче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ный действительно получил некоторый результат, обнаружил некоторое явление, наблюдаемое только в определённых условиях. Но трактует его чрезвычайно широко, безосновательно распространяет его на «весь мир».</w:t>
            </w:r>
          </w:p>
        </w:tc>
      </w:tr>
    </w:tbl>
    <w:p w:rsidR="00000000" w:rsidRDefault="00C30CA5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</w:rPr>
        <w:t>Главный промежуточный вывод: есть писаные и непис</w:t>
      </w:r>
      <w:r>
        <w:rPr>
          <w:rFonts w:ascii="Times New Roman" w:hAnsi="Times New Roman" w:cs="Times New Roman"/>
          <w:sz w:val="28"/>
          <w:szCs w:val="28"/>
        </w:rPr>
        <w:t>аные правила ведения приличной научной работы. И не все они выгодны лентяям и лицам, выражусь избыточно политкорректно, чьё внутреннее содержание головы не является образцом для подражания… </w:t>
      </w:r>
    </w:p>
    <w:p w:rsidR="00000000" w:rsidRDefault="00C30CA5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</w:rPr>
        <w:t>Правила эти не строго однозначные, но если нарушать несколько пун</w:t>
      </w:r>
      <w:r>
        <w:rPr>
          <w:rFonts w:ascii="Times New Roman" w:hAnsi="Times New Roman" w:cs="Times New Roman"/>
          <w:sz w:val="28"/>
          <w:szCs w:val="28"/>
        </w:rPr>
        <w:t>ктов – вероятность скатывания в лженауку увеличивается.</w:t>
      </w:r>
    </w:p>
    <w:p w:rsidR="00000000" w:rsidRDefault="00C30CA5">
      <w:pPr>
        <w:spacing w:after="0" w:line="240" w:lineRule="auto"/>
        <w:jc w:val="right"/>
        <w:rPr>
          <w:sz w:val="12"/>
          <w:szCs w:val="12"/>
        </w:rPr>
      </w:pPr>
    </w:p>
    <w:p w:rsidR="00000000" w:rsidRDefault="00C30CA5">
      <w:pPr>
        <w:spacing w:after="0" w:line="240" w:lineRule="auto"/>
        <w:jc w:val="right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Источник: </w:t>
      </w:r>
      <w:hyperlink r:id="rId14" w:history="1">
        <w:r>
          <w:rPr>
            <w:rStyle w:val="Hyperlink"/>
          </w:rPr>
          <w:t>И.Л. Викентьев о механизмах порождения лженауки. Интервью в 3-х частях с таблицами и видео - Антропогенез.РУ (antropogenez.ru)</w:t>
        </w:r>
      </w:hyperlink>
      <w:r>
        <w:rPr>
          <w:lang w:val="ru-RU"/>
        </w:rPr>
        <w:t xml:space="preserve"> </w:t>
      </w:r>
    </w:p>
    <w:sectPr w:rsidR="00000000">
      <w:pgSz w:w="11906" w:h="16838"/>
      <w:pgMar w:top="1134" w:right="851" w:bottom="1134" w:left="1134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499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0CA5"/>
    <w:rsid w:val="00C3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9F12AAE-341A-42D4-88A9-DC6793C1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499"/>
      <w:kern w:val="2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563C1"/>
      <w:u w:val="single"/>
    </w:rPr>
  </w:style>
  <w:style w:type="character" w:styleId="UnresolvedMention">
    <w:name w:val="Unresolved Mention"/>
    <w:basedOn w:val="DefaultParagraphFont0"/>
    <w:rPr>
      <w:color w:val="605E5C"/>
      <w:shd w:val="clear" w:color="auto" w:fill="E1DFDD"/>
    </w:rPr>
  </w:style>
  <w:style w:type="character" w:styleId="FollowedHyperlink">
    <w:name w:val="FollowedHyperlink"/>
    <w:basedOn w:val="DefaultParagraphFont0"/>
    <w:rPr>
      <w:color w:val="954F72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imes New Roman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z-chance.ru/citirovanie.html" TargetMode="External"/><Relationship Id="rId13" Type="http://schemas.openxmlformats.org/officeDocument/2006/relationships/hyperlink" Target="http://vikent.ru/enc/52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ikent.ru/correct-link/" TargetMode="External"/><Relationship Id="rId12" Type="http://schemas.openxmlformats.org/officeDocument/2006/relationships/hyperlink" Target="http://vikent.ru/author/3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vikent.ru/author/239/" TargetMode="External"/><Relationship Id="rId11" Type="http://schemas.openxmlformats.org/officeDocument/2006/relationships/hyperlink" Target="http://vikent.ru/author/210/" TargetMode="External"/><Relationship Id="rId5" Type="http://schemas.openxmlformats.org/officeDocument/2006/relationships/hyperlink" Target="http://vikent.ru/author/76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vikent.ru/author/59/" TargetMode="External"/><Relationship Id="rId4" Type="http://schemas.openxmlformats.org/officeDocument/2006/relationships/hyperlink" Target="http://vikent.ru/author/41/" TargetMode="External"/><Relationship Id="rId9" Type="http://schemas.openxmlformats.org/officeDocument/2006/relationships/hyperlink" Target="http://vikent.ru/author/208/" TargetMode="External"/><Relationship Id="rId14" Type="http://schemas.openxmlformats.org/officeDocument/2006/relationships/hyperlink" Target="https://antropogenez.ru/review/7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Абаева Жамиля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