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DF5" w:rsidRDefault="00E868FF" w:rsidP="00E868F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Guided Capstone Project Report</w:t>
      </w:r>
    </w:p>
    <w:p w:rsidR="00E868FF" w:rsidRDefault="00E868FF"/>
    <w:p w:rsidR="002C3396" w:rsidRDefault="002C3396">
      <w:r>
        <w:t>Our client, Big Mountain Resort</w:t>
      </w:r>
      <w:r w:rsidR="007D213E">
        <w:t xml:space="preserve"> in Montana</w:t>
      </w:r>
      <w:r>
        <w:t>, has reached out to us looking for a data-driven strategy</w:t>
      </w:r>
      <w:r w:rsidR="007C5AD2">
        <w:t>,</w:t>
      </w:r>
      <w:r>
        <w:t xml:space="preserve"> to validate their business strategy</w:t>
      </w:r>
      <w:r w:rsidR="007C5AD2">
        <w:t>,</w:t>
      </w:r>
      <w:r>
        <w:t xml:space="preserve"> for placing ticket prices. So far, they are charging a premium above the average price for the tickets but the business has a suspicious that Big Mountain is not capitalizing on its facilities as much as it could. They have an immediate challenge</w:t>
      </w:r>
      <w:r w:rsidR="007C5AD2">
        <w:t>,</w:t>
      </w:r>
      <w:r>
        <w:t xml:space="preserve"> which is</w:t>
      </w:r>
      <w:r w:rsidR="007C5AD2">
        <w:t>,</w:t>
      </w:r>
      <w:r>
        <w:t xml:space="preserve"> to cover</w:t>
      </w:r>
      <w:r w:rsidR="007C5AD2">
        <w:t xml:space="preserve"> for</w:t>
      </w:r>
      <w:r>
        <w:t xml:space="preserve"> the new operating cost resulting from installing an additional chair in the mountain.</w:t>
      </w:r>
    </w:p>
    <w:p w:rsidR="002C3396" w:rsidRPr="009D6738" w:rsidRDefault="002C3396">
      <w:pPr>
        <w:rPr>
          <w:color w:val="FF0000"/>
        </w:rPr>
      </w:pPr>
      <w:r>
        <w:t xml:space="preserve">In order to help Big Mountain </w:t>
      </w:r>
      <w:r w:rsidRPr="007C5AD2">
        <w:t xml:space="preserve">Resort, we built a Machine Learning prediction model </w:t>
      </w:r>
      <w:r w:rsidR="009D6738" w:rsidRPr="007C5AD2">
        <w:t>to identify the features that are more relevant for pricing allocation and</w:t>
      </w:r>
      <w:r w:rsidR="007C5AD2" w:rsidRPr="007C5AD2">
        <w:t xml:space="preserve"> be able to propose a data driven ticket price.</w:t>
      </w:r>
    </w:p>
    <w:p w:rsidR="002C3396" w:rsidRDefault="009D6738" w:rsidP="009D6738">
      <w:r>
        <w:t>We extracted a concentrate of information from a CSV file provided by the resort, which contained information of 330 resorts around the US</w:t>
      </w:r>
      <w:r w:rsidR="00061A1F">
        <w:t>,</w:t>
      </w:r>
      <w:r>
        <w:t xml:space="preserve"> </w:t>
      </w:r>
      <w:r w:rsidR="00061A1F">
        <w:t xml:space="preserve">containing information of </w:t>
      </w:r>
      <w:r w:rsidR="00573114">
        <w:t>27</w:t>
      </w:r>
      <w:r>
        <w:t xml:space="preserve"> </w:t>
      </w:r>
      <w:r w:rsidR="0073091F">
        <w:t>features</w:t>
      </w:r>
      <w:r w:rsidR="00061A1F">
        <w:t>, including,</w:t>
      </w:r>
      <w:r>
        <w:t xml:space="preserve"> resorts location, their elevation, </w:t>
      </w:r>
      <w:r w:rsidR="00061A1F">
        <w:t>lift</w:t>
      </w:r>
      <w:r>
        <w:t xml:space="preserve"> chairs available in the resort, runs, terrain, amount of snow they make, days opened last year, tic</w:t>
      </w:r>
      <w:r w:rsidR="00061A1F">
        <w:t>ket weekday/</w:t>
      </w:r>
      <w:r>
        <w:t>weekend passes and skiable area, among others.</w:t>
      </w:r>
    </w:p>
    <w:p w:rsidR="00805430" w:rsidRDefault="00BF6BF7" w:rsidP="009D673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3194050</wp:posOffset>
            </wp:positionH>
            <wp:positionV relativeFrom="paragraph">
              <wp:posOffset>969010</wp:posOffset>
            </wp:positionV>
            <wp:extent cx="2743200" cy="18605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cket pri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91F">
        <w:t>For the analysis</w:t>
      </w:r>
      <w:r w:rsidR="002B675D">
        <w:t>,</w:t>
      </w:r>
      <w:r w:rsidR="0073091F">
        <w:t xml:space="preserve"> we focused in the price for the weekend ticket</w:t>
      </w:r>
      <w:r w:rsidR="00E668E0">
        <w:t>, since we had more information about that price</w:t>
      </w:r>
      <w:r w:rsidR="0073091F">
        <w:t>.</w:t>
      </w:r>
      <w:r w:rsidR="002B675D">
        <w:t xml:space="preserve"> We cleaned the data from entries that were missing in the majority of resorts, such </w:t>
      </w:r>
      <w:r w:rsidR="00061A1F">
        <w:t xml:space="preserve">as </w:t>
      </w:r>
      <w:proofErr w:type="spellStart"/>
      <w:r w:rsidR="00061A1F">
        <w:t>fastEight</w:t>
      </w:r>
      <w:proofErr w:type="spellEnd"/>
      <w:r w:rsidR="00061A1F">
        <w:t xml:space="preserve"> (the number of eight</w:t>
      </w:r>
      <w:r w:rsidR="002B675D">
        <w:t xml:space="preserve"> person chair)</w:t>
      </w:r>
      <w:r w:rsidR="007D213E">
        <w:t xml:space="preserve"> and also cleaned the data from resorts that were missing </w:t>
      </w:r>
      <w:r w:rsidR="00061A1F">
        <w:t xml:space="preserve">in </w:t>
      </w:r>
      <w:r w:rsidR="007D213E">
        <w:t>both the weekend ticket price as well as the weekday ticket price</w:t>
      </w:r>
      <w:r w:rsidR="00061A1F">
        <w:t>,</w:t>
      </w:r>
      <w:r w:rsidR="007D213E">
        <w:t xml:space="preserve"> since they were useless for our analysis.</w:t>
      </w:r>
      <w:r w:rsidR="00805430">
        <w:t xml:space="preserve"> We also added information about the state population from </w:t>
      </w:r>
      <w:hyperlink r:id="rId7" w:history="1">
        <w:r w:rsidR="00805430" w:rsidRPr="00805430">
          <w:rPr>
            <w:rStyle w:val="Hyperlink"/>
          </w:rPr>
          <w:t>Wikipedia</w:t>
        </w:r>
      </w:hyperlink>
      <w:r w:rsidR="00805430">
        <w:t xml:space="preserve"> in order to include the market size </w:t>
      </w:r>
      <w:r w:rsidR="00061A1F">
        <w:t xml:space="preserve">(population in each state) </w:t>
      </w:r>
      <w:r w:rsidR="00805430">
        <w:t>in our analysis.</w:t>
      </w:r>
    </w:p>
    <w:p w:rsidR="00BF6BF7" w:rsidRDefault="00BF6BF7" w:rsidP="009D6738">
      <w:r>
        <w:t xml:space="preserve">As an interesting </w:t>
      </w:r>
      <w:r w:rsidR="00061A1F">
        <w:t>point</w:t>
      </w:r>
      <w:r>
        <w:t xml:space="preserve"> we found </w:t>
      </w:r>
      <w:r w:rsidR="00061A1F">
        <w:t xml:space="preserve">is, </w:t>
      </w:r>
      <w:r>
        <w:t>that in general, the price of the ticket between the weekend and the weekday price is the same for tickets over $100, but it is sometimes different for tickets under $100, being the weekend ticket higher than the weekday ticket.</w:t>
      </w:r>
    </w:p>
    <w:p w:rsidR="00573114" w:rsidRDefault="002B3571" w:rsidP="009D6738">
      <w:r>
        <w:t>The features in which Montana excels among other states are:</w:t>
      </w:r>
    </w:p>
    <w:p w:rsidR="002B3571" w:rsidRDefault="002B3571" w:rsidP="002B3571">
      <w:pPr>
        <w:pStyle w:val="ListParagraph"/>
        <w:numPr>
          <w:ilvl w:val="0"/>
          <w:numId w:val="2"/>
        </w:numPr>
      </w:pPr>
      <w:r>
        <w:t>Larger State Area. The third on</w:t>
      </w:r>
      <w:r w:rsidR="00061A1F">
        <w:t>e in the list, right</w:t>
      </w:r>
      <w:r>
        <w:t xml:space="preserve"> after Alaska and California</w:t>
      </w:r>
      <w:r w:rsidR="00D706B9">
        <w:t>. B</w:t>
      </w:r>
      <w:r w:rsidR="004F1B84">
        <w:t>ut</w:t>
      </w:r>
      <w:r w:rsidR="00D706B9">
        <w:t>,</w:t>
      </w:r>
      <w:r w:rsidR="004F1B84">
        <w:t xml:space="preserve"> when considering the number of </w:t>
      </w:r>
      <w:r w:rsidR="004F1B84" w:rsidRPr="00B43B23">
        <w:rPr>
          <w:b/>
        </w:rPr>
        <w:t>resorts per 100k square mile</w:t>
      </w:r>
      <w:r w:rsidR="004F1B84">
        <w:t>, Montana is not in the top 5, meaning, there are not as many resorts in the state as in other states based on the state size.</w:t>
      </w:r>
    </w:p>
    <w:p w:rsidR="002B3571" w:rsidRDefault="002D0ECB" w:rsidP="002B3571">
      <w:pPr>
        <w:pStyle w:val="ListParagraph"/>
        <w:numPr>
          <w:ilvl w:val="0"/>
          <w:numId w:val="2"/>
        </w:numPr>
      </w:pPr>
      <w:r>
        <w:t>Number of</w:t>
      </w:r>
      <w:r w:rsidR="004F1B84">
        <w:t xml:space="preserve"> </w:t>
      </w:r>
      <w:r w:rsidR="004F1B84" w:rsidRPr="00B43B23">
        <w:rPr>
          <w:b/>
        </w:rPr>
        <w:t>resorts per 100k capita</w:t>
      </w:r>
      <w:r w:rsidR="004F1B84">
        <w:t xml:space="preserve">, it takes </w:t>
      </w:r>
      <w:r w:rsidR="00D706B9">
        <w:t>Montana to the</w:t>
      </w:r>
      <w:r w:rsidR="004F1B84">
        <w:t xml:space="preserve"> fourth place below Vermont, Wyoming and New Hampshire.</w:t>
      </w:r>
    </w:p>
    <w:p w:rsidR="002B3571" w:rsidRDefault="002B3571" w:rsidP="002B3571">
      <w:pPr>
        <w:pStyle w:val="ListParagraph"/>
        <w:numPr>
          <w:ilvl w:val="0"/>
          <w:numId w:val="2"/>
        </w:numPr>
      </w:pPr>
      <w:r w:rsidRPr="002E50E5">
        <w:rPr>
          <w:b/>
        </w:rPr>
        <w:t>Skiable area</w:t>
      </w:r>
      <w:r>
        <w:t xml:space="preserve">, </w:t>
      </w:r>
      <w:r w:rsidR="00D706B9">
        <w:t>Montana</w:t>
      </w:r>
      <w:r>
        <w:t xml:space="preserve"> is the </w:t>
      </w:r>
      <w:r w:rsidR="00D706B9">
        <w:t>forth in this category</w:t>
      </w:r>
      <w:r>
        <w:t>.</w:t>
      </w:r>
      <w:r w:rsidR="004F1B84">
        <w:t xml:space="preserve"> </w:t>
      </w:r>
    </w:p>
    <w:p w:rsidR="00B43B23" w:rsidRDefault="00B43B23" w:rsidP="00B43B23">
      <w:r>
        <w:t>There are some features that Montana is not as strong as other states:</w:t>
      </w:r>
    </w:p>
    <w:p w:rsidR="00B43B23" w:rsidRDefault="00B43B23" w:rsidP="00B43B23">
      <w:pPr>
        <w:pStyle w:val="ListParagraph"/>
        <w:numPr>
          <w:ilvl w:val="0"/>
          <w:numId w:val="3"/>
        </w:numPr>
      </w:pPr>
      <w:r>
        <w:t xml:space="preserve">Colorado is not in the top 5 for larger </w:t>
      </w:r>
      <w:r w:rsidRPr="00B43B23">
        <w:rPr>
          <w:b/>
        </w:rPr>
        <w:t>night ski area</w:t>
      </w:r>
      <w:r>
        <w:t xml:space="preserve"> (lighted trails). It fell to position 12.</w:t>
      </w:r>
    </w:p>
    <w:p w:rsidR="00D706B9" w:rsidRDefault="00D706B9" w:rsidP="00B43B23">
      <w:pPr>
        <w:pStyle w:val="ListParagraph"/>
        <w:numPr>
          <w:ilvl w:val="0"/>
          <w:numId w:val="3"/>
        </w:numPr>
      </w:pPr>
      <w:r>
        <w:t xml:space="preserve">Also, the number of </w:t>
      </w:r>
      <w:r w:rsidRPr="00AA14C6">
        <w:rPr>
          <w:b/>
        </w:rPr>
        <w:t>resorts in the state</w:t>
      </w:r>
      <w:r>
        <w:t xml:space="preserve"> is low, only 12. While New York leads with 33 resorts in its state.</w:t>
      </w:r>
    </w:p>
    <w:p w:rsidR="00AA14C6" w:rsidRDefault="00AA14C6" w:rsidP="00AA14C6">
      <w:pPr>
        <w:pStyle w:val="ListParagraph"/>
        <w:numPr>
          <w:ilvl w:val="0"/>
          <w:numId w:val="3"/>
        </w:numPr>
      </w:pPr>
      <w:r w:rsidRPr="002E50E5">
        <w:rPr>
          <w:b/>
        </w:rPr>
        <w:lastRenderedPageBreak/>
        <w:t xml:space="preserve">Total days open </w:t>
      </w:r>
      <w:r>
        <w:t>during last season, Colorado takes first place, with 3258 days among the resorts in the state.</w:t>
      </w:r>
    </w:p>
    <w:p w:rsidR="00AA14C6" w:rsidRPr="002E50E5" w:rsidRDefault="00AA14C6" w:rsidP="00AA14C6">
      <w:pPr>
        <w:pStyle w:val="ListParagraph"/>
        <w:numPr>
          <w:ilvl w:val="0"/>
          <w:numId w:val="3"/>
        </w:numPr>
      </w:pPr>
      <w:r>
        <w:t>Montana</w:t>
      </w:r>
      <w:r w:rsidRPr="002E50E5">
        <w:t xml:space="preserve"> </w:t>
      </w:r>
      <w:r>
        <w:t xml:space="preserve">does not have many </w:t>
      </w:r>
      <w:r w:rsidRPr="00AA14C6">
        <w:rPr>
          <w:b/>
        </w:rPr>
        <w:t>terrain parks</w:t>
      </w:r>
      <w:r>
        <w:t xml:space="preserve">, it only offers 27, when </w:t>
      </w:r>
      <w:r w:rsidRPr="002E50E5">
        <w:t xml:space="preserve">California </w:t>
      </w:r>
      <w:r>
        <w:t xml:space="preserve">(the leading state in this category) offers </w:t>
      </w:r>
      <w:r w:rsidRPr="002E50E5">
        <w:t>81.</w:t>
      </w:r>
    </w:p>
    <w:p w:rsidR="002B3571" w:rsidRDefault="004941FF" w:rsidP="004F1B84">
      <w:r>
        <w:t xml:space="preserve">We constructed a correlation map and found </w:t>
      </w:r>
      <w:r w:rsidR="00AA14C6">
        <w:t xml:space="preserve">out which </w:t>
      </w:r>
      <w:r>
        <w:t xml:space="preserve">features </w:t>
      </w:r>
      <w:r w:rsidR="00AA14C6">
        <w:t xml:space="preserve">influence </w:t>
      </w:r>
      <w:r>
        <w:t xml:space="preserve">that most </w:t>
      </w:r>
      <w:r w:rsidR="00AA14C6">
        <w:t>in</w:t>
      </w:r>
      <w:r>
        <w:t xml:space="preserve"> ticket pric</w:t>
      </w:r>
      <w:r w:rsidR="003A0040">
        <w:t>ing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41FF" w:rsidTr="004941FF">
        <w:tc>
          <w:tcPr>
            <w:tcW w:w="3116" w:type="dxa"/>
          </w:tcPr>
          <w:p w:rsidR="004941FF" w:rsidRDefault="004941FF" w:rsidP="004F1B84">
            <w:r>
              <w:rPr>
                <w:noProof/>
              </w:rPr>
              <w:drawing>
                <wp:inline distT="0" distB="0" distL="0" distR="0">
                  <wp:extent cx="1530350" cy="8318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atter plot correlatio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252" r="50000" b="85534"/>
                          <a:stretch/>
                        </pic:blipFill>
                        <pic:spPr bwMode="auto">
                          <a:xfrm>
                            <a:off x="0" y="0"/>
                            <a:ext cx="1530350" cy="831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4941FF" w:rsidRDefault="004941FF" w:rsidP="004F1B84">
            <w:r>
              <w:rPr>
                <w:noProof/>
              </w:rPr>
              <w:drawing>
                <wp:inline distT="0" distB="0" distL="0" distR="0">
                  <wp:extent cx="1536700" cy="7937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atter plot correlatio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45" t="14466" r="50000" b="71731"/>
                          <a:stretch/>
                        </pic:blipFill>
                        <pic:spPr bwMode="auto">
                          <a:xfrm>
                            <a:off x="0" y="0"/>
                            <a:ext cx="1536700" cy="793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4941FF" w:rsidRDefault="004941FF" w:rsidP="004F1B84">
            <w:r>
              <w:rPr>
                <w:noProof/>
              </w:rPr>
              <w:drawing>
                <wp:inline distT="0" distB="0" distL="0" distR="0">
                  <wp:extent cx="1454150" cy="83185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atter plot correlatio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534" t="28490" b="57045"/>
                          <a:stretch/>
                        </pic:blipFill>
                        <pic:spPr bwMode="auto">
                          <a:xfrm>
                            <a:off x="0" y="0"/>
                            <a:ext cx="1454150" cy="831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1FF" w:rsidTr="004941FF">
        <w:tc>
          <w:tcPr>
            <w:tcW w:w="3116" w:type="dxa"/>
          </w:tcPr>
          <w:p w:rsidR="004941FF" w:rsidRDefault="004941FF" w:rsidP="004F1B84">
            <w:r>
              <w:rPr>
                <w:noProof/>
              </w:rPr>
              <w:drawing>
                <wp:inline distT="0" distB="0" distL="0" distR="0">
                  <wp:extent cx="1530350" cy="844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atter plot correlatio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07" t="28379" r="24145" b="56935"/>
                          <a:stretch/>
                        </pic:blipFill>
                        <pic:spPr bwMode="auto">
                          <a:xfrm>
                            <a:off x="0" y="0"/>
                            <a:ext cx="153035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4941FF" w:rsidRDefault="004941FF" w:rsidP="004F1B84">
            <w:r>
              <w:rPr>
                <w:noProof/>
              </w:rPr>
              <w:drawing>
                <wp:inline distT="0" distB="0" distL="0" distR="0">
                  <wp:extent cx="1504950" cy="81280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atter plot correlatio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07" t="71445" r="24572" b="14421"/>
                          <a:stretch/>
                        </pic:blipFill>
                        <pic:spPr bwMode="auto">
                          <a:xfrm>
                            <a:off x="0" y="0"/>
                            <a:ext cx="1504950" cy="81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4941FF" w:rsidRDefault="003A0040" w:rsidP="004F1B84">
            <w:r>
              <w:rPr>
                <w:noProof/>
              </w:rPr>
              <w:drawing>
                <wp:inline distT="0" distB="0" distL="0" distR="0">
                  <wp:extent cx="1454150" cy="844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atter plot correlatio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534" t="42734" b="42580"/>
                          <a:stretch/>
                        </pic:blipFill>
                        <pic:spPr bwMode="auto">
                          <a:xfrm>
                            <a:off x="0" y="0"/>
                            <a:ext cx="145415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EFC" w:rsidTr="004941FF">
        <w:tc>
          <w:tcPr>
            <w:tcW w:w="3116" w:type="dxa"/>
          </w:tcPr>
          <w:p w:rsidR="00933EFC" w:rsidRDefault="00933EFC" w:rsidP="004F1B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17650" cy="83185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atter plot correlatio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66" t="42844" r="50000" b="42690"/>
                          <a:stretch/>
                        </pic:blipFill>
                        <pic:spPr bwMode="auto">
                          <a:xfrm>
                            <a:off x="0" y="0"/>
                            <a:ext cx="1517650" cy="831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33EFC" w:rsidRDefault="00933EFC" w:rsidP="004F1B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54150" cy="83185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atter plot correlatio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534" b="85534"/>
                          <a:stretch/>
                        </pic:blipFill>
                        <pic:spPr bwMode="auto">
                          <a:xfrm>
                            <a:off x="0" y="0"/>
                            <a:ext cx="1454150" cy="831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33EFC" w:rsidRDefault="00933EFC" w:rsidP="004F1B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11300" cy="825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atter plot correlatio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214" t="42844" r="24359" b="42800"/>
                          <a:stretch/>
                        </pic:blipFill>
                        <pic:spPr bwMode="auto">
                          <a:xfrm>
                            <a:off x="0" y="0"/>
                            <a:ext cx="1511300" cy="825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41FF" w:rsidRDefault="0050405A" w:rsidP="004F1B8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2851150</wp:posOffset>
            </wp:positionH>
            <wp:positionV relativeFrom="paragraph">
              <wp:posOffset>252095</wp:posOffset>
            </wp:positionV>
            <wp:extent cx="3117850" cy="1687830"/>
            <wp:effectExtent l="0" t="0" r="635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ekend price for Big Mount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037" w:rsidRDefault="00282037" w:rsidP="003A0040">
      <w:r>
        <w:t xml:space="preserve">Then we built a </w:t>
      </w:r>
      <w:r w:rsidR="003A0040">
        <w:t xml:space="preserve">ML model to make a prediction on what would be the best weekend ticket price for Big Mountain resort and </w:t>
      </w:r>
      <w:r w:rsidR="00AA14C6">
        <w:t>wh</w:t>
      </w:r>
      <w:bookmarkStart w:id="0" w:name="_GoBack"/>
      <w:bookmarkEnd w:id="0"/>
      <w:r w:rsidR="00AA14C6">
        <w:t xml:space="preserve">at is the acceptable margin of </w:t>
      </w:r>
      <w:r w:rsidR="003A0040">
        <w:t xml:space="preserve">error on this prediction. The results </w:t>
      </w:r>
      <w:r w:rsidR="00933EFC">
        <w:t>were that</w:t>
      </w:r>
      <w:r w:rsidR="003A0040">
        <w:t xml:space="preserve">: </w:t>
      </w:r>
      <w:r w:rsidR="003A0040" w:rsidRPr="001E569B">
        <w:rPr>
          <w:b/>
        </w:rPr>
        <w:t>Big Mountain R</w:t>
      </w:r>
      <w:r w:rsidR="00AA14C6" w:rsidRPr="001E569B">
        <w:rPr>
          <w:b/>
        </w:rPr>
        <w:t>esort modelled price is $95.87</w:t>
      </w:r>
      <w:r w:rsidR="00AA14C6">
        <w:t xml:space="preserve"> (</w:t>
      </w:r>
      <w:r w:rsidR="003A0040">
        <w:t>actual price is $81.00</w:t>
      </w:r>
      <w:r w:rsidR="00AA14C6">
        <w:t>)</w:t>
      </w:r>
      <w:r w:rsidR="00933EFC">
        <w:t xml:space="preserve"> </w:t>
      </w:r>
      <w:r w:rsidR="003A0040">
        <w:t>with the expected mean absolute error of $10.39</w:t>
      </w:r>
      <w:r w:rsidR="00AA14C6">
        <w:t>,</w:t>
      </w:r>
      <w:r w:rsidR="00933EFC">
        <w:t xml:space="preserve"> which means</w:t>
      </w:r>
      <w:r w:rsidR="003A0040">
        <w:t>, there is room for an increase.</w:t>
      </w:r>
      <w:r w:rsidR="00933EFC">
        <w:t xml:space="preserve"> This would bring the resort in the state to the high end</w:t>
      </w:r>
      <w:r w:rsidR="0050405A">
        <w:t>, but it is justified!</w:t>
      </w:r>
    </w:p>
    <w:p w:rsidR="0050405A" w:rsidRDefault="00122F05" w:rsidP="003A0040">
      <w:r>
        <w:t xml:space="preserve">Now, regarding </w:t>
      </w:r>
      <w:r w:rsidR="00AA14C6">
        <w:t>the</w:t>
      </w:r>
      <w:r>
        <w:t xml:space="preserve"> suggestion</w:t>
      </w:r>
      <w:r w:rsidR="00AA14C6">
        <w:t>s</w:t>
      </w:r>
      <w:r>
        <w:t xml:space="preserve"> </w:t>
      </w:r>
      <w:r w:rsidR="00AA14C6">
        <w:t>of</w:t>
      </w:r>
      <w:r>
        <w:t xml:space="preserve"> potential scenarios </w:t>
      </w:r>
      <w:r w:rsidR="00AA14C6">
        <w:t>for</w:t>
      </w:r>
      <w:r>
        <w:t xml:space="preserve"> cutting costs:</w:t>
      </w:r>
    </w:p>
    <w:p w:rsidR="00122F05" w:rsidRDefault="00122F05" w:rsidP="00122F05">
      <w:pPr>
        <w:pStyle w:val="ListParagraph"/>
        <w:numPr>
          <w:ilvl w:val="0"/>
          <w:numId w:val="4"/>
        </w:numPr>
      </w:pPr>
      <w:r>
        <w:t xml:space="preserve">Permanently closing down up to 10 of the least used runs. </w:t>
      </w:r>
      <w:r w:rsidRPr="00122F05">
        <w:t xml:space="preserve">The model says closing one run makes no difference. Closing 2 and 3 successively reduces support for ticket price and so revenue. If Big Mountain closes down 3 runs, it seems they may as well close down 4 or 5 as there's no further loss in ticket price. Increasing the closures down to 6 or more leads to a large drop. </w:t>
      </w:r>
    </w:p>
    <w:p w:rsidR="00122F05" w:rsidRDefault="00122F05" w:rsidP="00122F05">
      <w:pPr>
        <w:pStyle w:val="ListParagraph"/>
        <w:numPr>
          <w:ilvl w:val="0"/>
          <w:numId w:val="4"/>
        </w:numPr>
      </w:pPr>
      <w:r>
        <w:t>Increase the vertical drop by adding a run to a point 150 feet lower down but requiring the installation of an additional chair lift to bring skiers back up, without additional snow making coverage</w:t>
      </w:r>
      <w:r>
        <w:t>. This makes no difference is the price estimation.</w:t>
      </w:r>
    </w:p>
    <w:p w:rsidR="00122F05" w:rsidRDefault="00122F05" w:rsidP="00122F05">
      <w:pPr>
        <w:pStyle w:val="ListParagraph"/>
        <w:numPr>
          <w:ilvl w:val="0"/>
          <w:numId w:val="4"/>
        </w:numPr>
      </w:pPr>
      <w:r>
        <w:t>Same as number 2, but adding 2 acres of snow making cover</w:t>
      </w:r>
      <w:r>
        <w:t>. This makes no difference in the price estimation since the area is pretty small.</w:t>
      </w:r>
    </w:p>
    <w:p w:rsidR="00122F05" w:rsidRDefault="00122F05" w:rsidP="00122F05">
      <w:pPr>
        <w:pStyle w:val="ListParagraph"/>
        <w:numPr>
          <w:ilvl w:val="0"/>
          <w:numId w:val="4"/>
        </w:numPr>
      </w:pPr>
      <w:r>
        <w:lastRenderedPageBreak/>
        <w:t>Increase the longest run by 0.2 mile to boast 3.5 miles length, requiring an additional snow making coverage of 4 acres</w:t>
      </w:r>
      <w:r>
        <w:t>. Makes no difference in the estimation.</w:t>
      </w:r>
    </w:p>
    <w:p w:rsidR="00933EFC" w:rsidRDefault="00933EFC" w:rsidP="003A0040"/>
    <w:p w:rsidR="003A0040" w:rsidRDefault="003A0040" w:rsidP="004F1B84"/>
    <w:p w:rsidR="00805430" w:rsidRDefault="00805430" w:rsidP="009D6738"/>
    <w:sectPr w:rsidR="00805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75D71"/>
    <w:multiLevelType w:val="hybridMultilevel"/>
    <w:tmpl w:val="26283E0E"/>
    <w:lvl w:ilvl="0" w:tplc="F976AE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82ED4"/>
    <w:multiLevelType w:val="hybridMultilevel"/>
    <w:tmpl w:val="7A3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16CC6"/>
    <w:multiLevelType w:val="hybridMultilevel"/>
    <w:tmpl w:val="85C41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23DBF"/>
    <w:multiLevelType w:val="hybridMultilevel"/>
    <w:tmpl w:val="DB1E8B2C"/>
    <w:lvl w:ilvl="0" w:tplc="F976AE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FF"/>
    <w:rsid w:val="00024B7B"/>
    <w:rsid w:val="00061A1F"/>
    <w:rsid w:val="000B0893"/>
    <w:rsid w:val="000C0E43"/>
    <w:rsid w:val="000C3D06"/>
    <w:rsid w:val="000F69F7"/>
    <w:rsid w:val="00122F05"/>
    <w:rsid w:val="00134F36"/>
    <w:rsid w:val="00152AF8"/>
    <w:rsid w:val="001558AF"/>
    <w:rsid w:val="00170010"/>
    <w:rsid w:val="00183CCB"/>
    <w:rsid w:val="001D5F9E"/>
    <w:rsid w:val="001E1A73"/>
    <w:rsid w:val="001E569B"/>
    <w:rsid w:val="001F5367"/>
    <w:rsid w:val="002008E9"/>
    <w:rsid w:val="0028111B"/>
    <w:rsid w:val="00282037"/>
    <w:rsid w:val="002B3571"/>
    <w:rsid w:val="002B675D"/>
    <w:rsid w:val="002C3396"/>
    <w:rsid w:val="002D0ECB"/>
    <w:rsid w:val="002D5F27"/>
    <w:rsid w:val="002E50E5"/>
    <w:rsid w:val="00303C68"/>
    <w:rsid w:val="00317C06"/>
    <w:rsid w:val="003209D8"/>
    <w:rsid w:val="00363214"/>
    <w:rsid w:val="00380539"/>
    <w:rsid w:val="003A0040"/>
    <w:rsid w:val="003B1849"/>
    <w:rsid w:val="003B2D4F"/>
    <w:rsid w:val="003C0CB1"/>
    <w:rsid w:val="003C708D"/>
    <w:rsid w:val="003F34C3"/>
    <w:rsid w:val="004359F2"/>
    <w:rsid w:val="00474060"/>
    <w:rsid w:val="0048596C"/>
    <w:rsid w:val="004941FF"/>
    <w:rsid w:val="004A5BEE"/>
    <w:rsid w:val="004C06B3"/>
    <w:rsid w:val="004D1163"/>
    <w:rsid w:val="004D434F"/>
    <w:rsid w:val="004E0BD5"/>
    <w:rsid w:val="004E2AEC"/>
    <w:rsid w:val="004F05C1"/>
    <w:rsid w:val="004F1B84"/>
    <w:rsid w:val="0050405A"/>
    <w:rsid w:val="005115F8"/>
    <w:rsid w:val="005270B2"/>
    <w:rsid w:val="00547674"/>
    <w:rsid w:val="00551EA2"/>
    <w:rsid w:val="005632E8"/>
    <w:rsid w:val="0056799C"/>
    <w:rsid w:val="00573114"/>
    <w:rsid w:val="005747C3"/>
    <w:rsid w:val="00591628"/>
    <w:rsid w:val="00593545"/>
    <w:rsid w:val="005B0E50"/>
    <w:rsid w:val="005E3189"/>
    <w:rsid w:val="005F30B8"/>
    <w:rsid w:val="006058AD"/>
    <w:rsid w:val="006077BD"/>
    <w:rsid w:val="0064459F"/>
    <w:rsid w:val="00663C7E"/>
    <w:rsid w:val="00687ABA"/>
    <w:rsid w:val="00691B6F"/>
    <w:rsid w:val="006C2F6D"/>
    <w:rsid w:val="006C6F33"/>
    <w:rsid w:val="006D4AB0"/>
    <w:rsid w:val="006F0DDE"/>
    <w:rsid w:val="006F19ED"/>
    <w:rsid w:val="00711C2D"/>
    <w:rsid w:val="0073091F"/>
    <w:rsid w:val="007C5AD2"/>
    <w:rsid w:val="007C79D4"/>
    <w:rsid w:val="007D213E"/>
    <w:rsid w:val="007F5B0B"/>
    <w:rsid w:val="00805430"/>
    <w:rsid w:val="00813305"/>
    <w:rsid w:val="008379E0"/>
    <w:rsid w:val="00855BDC"/>
    <w:rsid w:val="0088378C"/>
    <w:rsid w:val="00883851"/>
    <w:rsid w:val="008951E3"/>
    <w:rsid w:val="008B540D"/>
    <w:rsid w:val="008E721A"/>
    <w:rsid w:val="00912CEF"/>
    <w:rsid w:val="00933EFC"/>
    <w:rsid w:val="00936CE5"/>
    <w:rsid w:val="00966703"/>
    <w:rsid w:val="00990555"/>
    <w:rsid w:val="009B20A9"/>
    <w:rsid w:val="009C425A"/>
    <w:rsid w:val="009D652F"/>
    <w:rsid w:val="009D6738"/>
    <w:rsid w:val="00A41D48"/>
    <w:rsid w:val="00A53156"/>
    <w:rsid w:val="00A764C7"/>
    <w:rsid w:val="00A86BAF"/>
    <w:rsid w:val="00AA14C6"/>
    <w:rsid w:val="00AC7747"/>
    <w:rsid w:val="00AD2F1A"/>
    <w:rsid w:val="00AD6A96"/>
    <w:rsid w:val="00B060CB"/>
    <w:rsid w:val="00B43B23"/>
    <w:rsid w:val="00B65076"/>
    <w:rsid w:val="00BA701E"/>
    <w:rsid w:val="00BB2C01"/>
    <w:rsid w:val="00BC78DC"/>
    <w:rsid w:val="00BF6BF7"/>
    <w:rsid w:val="00C4642F"/>
    <w:rsid w:val="00C5768F"/>
    <w:rsid w:val="00C8343D"/>
    <w:rsid w:val="00D019E1"/>
    <w:rsid w:val="00D22A22"/>
    <w:rsid w:val="00D61E7B"/>
    <w:rsid w:val="00D706B9"/>
    <w:rsid w:val="00D731E5"/>
    <w:rsid w:val="00D96EA1"/>
    <w:rsid w:val="00DC3658"/>
    <w:rsid w:val="00DC7FB4"/>
    <w:rsid w:val="00DD7BB1"/>
    <w:rsid w:val="00E3510D"/>
    <w:rsid w:val="00E668E0"/>
    <w:rsid w:val="00E868FF"/>
    <w:rsid w:val="00EB1B6E"/>
    <w:rsid w:val="00EB3641"/>
    <w:rsid w:val="00ED0FC2"/>
    <w:rsid w:val="00ED2458"/>
    <w:rsid w:val="00F0797E"/>
    <w:rsid w:val="00F10001"/>
    <w:rsid w:val="00F63031"/>
    <w:rsid w:val="00F844B3"/>
    <w:rsid w:val="00FA374A"/>
    <w:rsid w:val="00FD2DF5"/>
    <w:rsid w:val="00FE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8D475-47D0-4125-9F8C-6112C0B6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8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43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4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simple.wikipedia.org/w/index.php?title=List_of_U.S._states&amp;oldid=71684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A7BAC73-F7EF-4747-8A2F-D58519695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5404</TotalTime>
  <Pages>1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Barriga</dc:creator>
  <cp:keywords/>
  <dc:description/>
  <cp:lastModifiedBy>Miguel Barriga</cp:lastModifiedBy>
  <cp:revision>11</cp:revision>
  <dcterms:created xsi:type="dcterms:W3CDTF">2021-01-29T02:57:00Z</dcterms:created>
  <dcterms:modified xsi:type="dcterms:W3CDTF">2021-02-01T21:01:00Z</dcterms:modified>
</cp:coreProperties>
</file>