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start"/>
      </w:pPr>
      <w:r>
        <w:rPr>
          <w:rFonts w:ascii="Calibri" w:cs="Calibri" w:eastAsia="Calibri" w:hAnsi="Calibri"/>
          <w:b/>
          <w:bCs/>
          <w:color w:val="0F172A"/>
          <w:sz w:val="38"/>
          <w:szCs w:val="38"/>
        </w:rPr>
        <w:t xml:space="preserve">WEBSITE TRACKING &amp; MARTECH AUDIT REPORT</w:t>
      </w:r>
    </w:p>
    <w:p>
      <w:pPr>
        <w:spacing w:after="200" w:before="0"/>
        <w:jc w:val="start"/>
      </w:pPr>
      <w:r>
        <w:rPr>
          <w:rFonts w:ascii="Calibri" w:cs="Calibri" w:eastAsia="Calibri" w:hAnsi="Calibri"/>
          <w:color w:val="2563EB"/>
          <w:sz w:val="24"/>
          <w:szCs w:val="24"/>
        </w:rPr>
        <w:t xml:space="preserve">Comprehensive Technical Analysis, Bug Diagnosis &amp; Strategic MarTech Roadmap</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708"/>
        <w:gridCol w:w="6318"/>
      </w:tblGrid>
      <w:tr>
        <w:tc>
          <w:tcPr>
            <w:tcW w:type="pct" w:w="1500"/>
            <w:shd w:fill="F8FAFC"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Property Audited:</w:t>
            </w:r>
          </w:p>
        </w:tc>
        <w:tc>
          <w:tcPr>
            <w:tcW w:type="pct" w:w="3500"/>
            <w:shd w:fill="F8FAFC" w:val="clear"/>
            <w:tcMar>
              <w:top w:type="dxa" w:w="120"/>
              <w:left w:type="dxa" w:w="160"/>
              <w:bottom w:type="dxa" w:w="120"/>
              <w:right w:type="dxa" w:w="160"/>
            </w:tcMar>
          </w:tcPr>
          <w:p>
            <w:pPr>
              <w:jc w:val="start"/>
            </w:pPr>
            <w:r>
              <w:rPr>
                <w:rFonts w:ascii="Calibri" w:cs="Calibri" w:eastAsia="Calibri" w:hAnsi="Calibri"/>
                <w:b w:val="false"/>
                <w:bCs w:val="false"/>
                <w:color w:val="2563EB"/>
                <w:sz w:val="19"/>
                <w:szCs w:val="19"/>
              </w:rPr>
              <w:t xml:space="preserve">https://digitalymarket.com</w:t>
            </w:r>
          </w:p>
        </w:tc>
      </w:tr>
      <w:tr>
        <w:tc>
          <w:tcPr>
            <w:tcW w:type="pct" w:w="150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Audit Date:</w:t>
            </w:r>
          </w:p>
        </w:tc>
        <w:tc>
          <w:tcPr>
            <w:tcW w:type="pct" w:w="350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October 2026</w:t>
            </w:r>
          </w:p>
        </w:tc>
      </w:tr>
      <w:tr>
        <w:tc>
          <w:tcPr>
            <w:tcW w:type="pct" w:w="1500"/>
            <w:shd w:fill="F8FAFC"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Inspection Scope:</w:t>
            </w:r>
          </w:p>
        </w:tc>
        <w:tc>
          <w:tcPr>
            <w:tcW w:type="pct" w:w="350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Live Production DOM, Google Tag Manager Container (GTM-KKPZ3XL5), GA4, Meta Pixels, Google Ads Bidding Tags, Microsoft Clarity, Search Console Tokens, Platform Telemetry</w:t>
            </w:r>
          </w:p>
        </w:tc>
      </w:tr>
      <w:tr>
        <w:tc>
          <w:tcPr>
            <w:tcW w:type="pct" w:w="150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Overall Health Score:</w:t>
            </w:r>
          </w:p>
        </w:tc>
        <w:tc>
          <w:tcPr>
            <w:tcW w:type="pct" w:w="3500"/>
            <w:shd w:fill="FFFFFF" w:val="clear"/>
            <w:tcMar>
              <w:top w:type="dxa" w:w="120"/>
              <w:left w:type="dxa" w:w="160"/>
              <w:bottom w:type="dxa" w:w="120"/>
              <w:right w:type="dxa" w:w="160"/>
            </w:tcMar>
          </w:tcPr>
          <w:p>
            <w:pPr>
              <w:jc w:val="start"/>
            </w:pPr>
            <w:r>
              <w:rPr>
                <w:rFonts w:ascii="Calibri" w:cs="Calibri" w:eastAsia="Calibri" w:hAnsi="Calibri"/>
                <w:b/>
                <w:bCs/>
                <w:color w:val="DC2626"/>
                <w:sz w:val="19"/>
                <w:szCs w:val="19"/>
              </w:rPr>
              <w:t xml:space="preserve">58 / 100 — CRITICAL MISCONFIGURATIONS IDENTIFIED</w:t>
            </w:r>
          </w:p>
        </w:tc>
      </w:tr>
    </w:tbl>
    <w:p>
      <w:pPr>
        <w:spacing w:after="200" w:before="0"/>
      </w:pPr>
      <w:r>
        <w:rPr>
          <w:rFonts w:ascii="Calibri" w:cs="Calibri" w:eastAsia="Calibri" w:hAnsi="Calibri"/>
          <w:b w:val="false"/>
          <w:bCs w:val="false"/>
          <w:i w:val="false"/>
          <w:iCs w:val="false"/>
          <w:color w:val="1E293B"/>
          <w:sz w:val="21"/>
          <w:szCs w:val="21"/>
        </w:rPr>
        <w:t xml:space="preserve"/>
      </w:r>
    </w:p>
    <w:p>
      <w:pPr>
        <w:pStyle w:val="Heading1"/>
        <w:spacing w:after="140" w:before="360"/>
      </w:pPr>
      <w:r>
        <w:rPr>
          <w:rFonts w:ascii="Calibri" w:cs="Calibri" w:eastAsia="Calibri" w:hAnsi="Calibri"/>
          <w:b/>
          <w:bCs/>
          <w:color w:val="0F172A"/>
          <w:sz w:val="32"/>
          <w:szCs w:val="32"/>
        </w:rPr>
        <w:t xml:space="preserve">1. Executive Summary</w:t>
      </w:r>
    </w:p>
    <w:p>
      <w:pPr>
        <w:spacing w:after="120" w:before="0"/>
      </w:pPr>
      <w:r>
        <w:rPr>
          <w:rFonts w:ascii="Calibri" w:cs="Calibri" w:eastAsia="Calibri" w:hAnsi="Calibri"/>
          <w:b w:val="false"/>
          <w:bCs w:val="false"/>
          <w:i w:val="false"/>
          <w:iCs w:val="false"/>
          <w:color w:val="1E293B"/>
          <w:sz w:val="21"/>
          <w:szCs w:val="21"/>
        </w:rPr>
        <w:t xml:space="preserve">A comprehensive technical tracking audit of digitalymarket.com was conducted by inspecting the live production HTML document object model (DOM), decoding the remote Google Tag Manager (GTM) production container script, and auditing active tracking scripts, cookies, and network payloads.</w:t>
      </w:r>
    </w:p>
    <w:p>
      <w:pPr>
        <w:spacing w:after="120" w:before="0"/>
      </w:pPr>
      <w:r>
        <w:rPr>
          <w:rFonts w:ascii="Calibri" w:cs="Calibri" w:eastAsia="Calibri" w:hAnsi="Calibri"/>
          <w:b w:val="false"/>
          <w:bCs w:val="false"/>
          <w:i w:val="false"/>
          <w:iCs w:val="false"/>
          <w:color w:val="1E293B"/>
          <w:sz w:val="21"/>
          <w:szCs w:val="21"/>
        </w:rPr>
        <w:t xml:space="preserve">The website currently possesses the foundational infrastructure for web analytics and user recording. However, the audit revealed two severe structural errors that are actively corrupting advertising attribution and conversion data:</w:t>
      </w:r>
    </w:p>
    <w:tbl>
      <w:tblPr>
        <w:tblW w:type="pct" w:w="5000"/>
        <w:tblBorders>
          <w:top w:val="none"/>
          <w:left w:val="single" w:color="DC2626" w:sz="24"/>
          <w:bottom w:val="none"/>
          <w:right w:val="none"/>
          <w:insideH w:val="single" w:color="auto" w:sz="4"/>
          <w:insideV w:val="single" w:color="auto" w:sz="4"/>
        </w:tblBorders>
      </w:tblPr>
      <w:tblGrid>
        <w:gridCol w:w="9026"/>
      </w:tblGrid>
      <w:tr>
        <w:tc>
          <w:tcPr>
            <w:tcW w:type="pct" w:w="5000"/>
            <w:shd w:fill="FEF2F2" w:val="clear"/>
            <w:tcMar>
              <w:top w:type="dxa" w:w="160"/>
              <w:left w:type="dxa" w:w="200"/>
              <w:bottom w:type="dxa" w:w="160"/>
              <w:right w:type="dxa" w:w="200"/>
            </w:tcMar>
          </w:tcPr>
          <w:p>
            <w:pPr>
              <w:spacing w:after="80"/>
            </w:pPr>
            <w:r>
              <w:rPr>
                <w:rFonts w:ascii="Calibri" w:cs="Calibri" w:eastAsia="Calibri" w:hAnsi="Calibri"/>
                <w:b/>
                <w:bCs/>
                <w:color w:val="DC2626"/>
                <w:sz w:val="22"/>
                <w:szCs w:val="22"/>
              </w:rPr>
              <w:t xml:space="preserve">🚨 CRITICAL FINDING 1: Google Ads Conversion Firing on Every Pageview</w:t>
            </w:r>
          </w:p>
          <w:p>
            <w:pPr>
              <w:spacing w:after="0"/>
            </w:pPr>
            <w:r>
              <w:rPr>
                <w:rFonts w:ascii="Calibri" w:cs="Calibri" w:eastAsia="Calibri" w:hAnsi="Calibri"/>
                <w:color w:val="1E293B"/>
                <w:sz w:val="20"/>
                <w:szCs w:val="20"/>
              </w:rPr>
              <w:t xml:space="preserve">GTM Tag ID 6 (Google Ads Conversion Tracking — Label: qNK4CNzkxOMcENyx_PEo) is wired to the standard pageview trigger ('gtm.js' / All Pages). Every visitor page load is reported to Google Ads as a successful lead conversion. This inflates reported conversions to 100% of traffic, completely destroys Smart Bidding (Target CPA / Target ROAS) algorithms, and causes ad spend to be wasted on bounce traffic.</w:t>
            </w:r>
          </w:p>
        </w:tc>
      </w:tr>
    </w:tbl>
    <w:p>
      <w:pPr>
        <w:spacing w:after="120" w:before="0"/>
      </w:pPr>
      <w:r>
        <w:rPr>
          <w:rFonts w:ascii="Calibri" w:cs="Calibri" w:eastAsia="Calibri" w:hAnsi="Calibri"/>
          <w:b w:val="false"/>
          <w:bCs w:val="false"/>
          <w:i w:val="false"/>
          <w:iCs w:val="false"/>
          <w:color w:val="1E293B"/>
          <w:sz w:val="21"/>
          <w:szCs w:val="21"/>
        </w:rPr>
        <w:t xml:space="preserve"/>
      </w:r>
    </w:p>
    <w:tbl>
      <w:tblPr>
        <w:tblW w:type="pct" w:w="5000"/>
        <w:tblBorders>
          <w:top w:val="none"/>
          <w:left w:val="single" w:color="D97706" w:sz="24"/>
          <w:bottom w:val="none"/>
          <w:right w:val="none"/>
          <w:insideH w:val="single" w:color="auto" w:sz="4"/>
          <w:insideV w:val="single" w:color="auto" w:sz="4"/>
        </w:tblBorders>
      </w:tblPr>
      <w:tblGrid>
        <w:gridCol w:w="9026"/>
      </w:tblGrid>
      <w:tr>
        <w:tc>
          <w:tcPr>
            <w:tcW w:type="pct" w:w="5000"/>
            <w:shd w:fill="FFFBEB" w:val="clear"/>
            <w:tcMar>
              <w:top w:type="dxa" w:w="160"/>
              <w:left w:type="dxa" w:w="200"/>
              <w:bottom w:type="dxa" w:w="160"/>
              <w:right w:type="dxa" w:w="200"/>
            </w:tcMar>
          </w:tcPr>
          <w:p>
            <w:pPr>
              <w:spacing w:after="80"/>
            </w:pPr>
            <w:r>
              <w:rPr>
                <w:rFonts w:ascii="Calibri" w:cs="Calibri" w:eastAsia="Calibri" w:hAnsi="Calibri"/>
                <w:b/>
                <w:bCs/>
                <w:color w:val="D97706"/>
                <w:sz w:val="22"/>
                <w:szCs w:val="22"/>
              </w:rPr>
              <w:t xml:space="preserve">⚠️ SEVERE FINDING 2: Conflicting Dual Meta (Facebook) Pixel Installation</w:t>
            </w:r>
          </w:p>
          <w:p>
            <w:pPr>
              <w:spacing w:after="0"/>
            </w:pPr>
            <w:r>
              <w:rPr>
                <w:rFonts w:ascii="Calibri" w:cs="Calibri" w:eastAsia="Calibri" w:hAnsi="Calibri"/>
                <w:color w:val="1E293B"/>
                <w:sz w:val="20"/>
                <w:szCs w:val="20"/>
              </w:rPr>
              <w:t xml:space="preserve">The site has two distinct Meta Pixels deployed simultaneously across two different ad accounts: Pixel ID 1615445166763879 is hardcoded in the HTML head/noscript, while Pixel ID 1791505495459296 is deployed inside GTM. Both fire standard PageView hits on every load, causing duplicate event counts, attribution fragmentation, and audience signal degradation.</w:t>
            </w:r>
          </w:p>
        </w:tc>
      </w:tr>
    </w:tbl>
    <w:p>
      <w:pPr>
        <w:spacing w:after="120" w:before="0"/>
      </w:pPr>
      <w:r>
        <w:rPr>
          <w:rFonts w:ascii="Calibri" w:cs="Calibri" w:eastAsia="Calibri" w:hAnsi="Calibri"/>
          <w:b w:val="false"/>
          <w:bCs w:val="false"/>
          <w:i w:val="false"/>
          <w:iCs w:val="false"/>
          <w:color w:val="1E293B"/>
          <w:sz w:val="21"/>
          <w:szCs w:val="21"/>
        </w:rPr>
        <w:t xml:space="preserve"/>
      </w:r>
    </w:p>
    <w:tbl>
      <w:tblPr>
        <w:tblW w:type="pct" w:w="5000"/>
        <w:tblBorders>
          <w:top w:val="none"/>
          <w:left w:val="single" w:color="2563EB" w:sz="24"/>
          <w:bottom w:val="none"/>
          <w:right w:val="none"/>
          <w:insideH w:val="single" w:color="auto" w:sz="4"/>
          <w:insideV w:val="single" w:color="auto" w:sz="4"/>
        </w:tblBorders>
      </w:tblPr>
      <w:tblGrid>
        <w:gridCol w:w="9026"/>
      </w:tblGrid>
      <w:tr>
        <w:tc>
          <w:tcPr>
            <w:tcW w:type="pct" w:w="5000"/>
            <w:shd w:fill="EFF6FF" w:val="clear"/>
            <w:tcMar>
              <w:top w:type="dxa" w:w="160"/>
              <w:left w:type="dxa" w:w="200"/>
              <w:bottom w:type="dxa" w:w="160"/>
              <w:right w:type="dxa" w:w="200"/>
            </w:tcMar>
          </w:tcPr>
          <w:p>
            <w:pPr>
              <w:spacing w:after="80"/>
            </w:pPr>
            <w:r>
              <w:rPr>
                <w:rFonts w:ascii="Calibri" w:cs="Calibri" w:eastAsia="Calibri" w:hAnsi="Calibri"/>
                <w:b/>
                <w:bCs/>
                <w:color w:val="2563EB"/>
                <w:sz w:val="22"/>
                <w:szCs w:val="22"/>
              </w:rPr>
              <w:t xml:space="preserve">⚠️ GAP 3: Complete Absence of Custom Lead &amp; Interaction Tracking</w:t>
            </w:r>
          </w:p>
          <w:p>
            <w:pPr>
              <w:spacing w:after="0"/>
            </w:pPr>
            <w:r>
              <w:rPr>
                <w:rFonts w:ascii="Calibri" w:cs="Calibri" w:eastAsia="Calibri" w:hAnsi="Calibri"/>
                <w:color w:val="1E293B"/>
                <w:sz w:val="20"/>
                <w:szCs w:val="20"/>
              </w:rPr>
              <w:t xml:space="preserve">Neither GA4 nor Google Ads nor Meta have tags configured for business actions (e.g., Contact Form Submissions, WhatsApp chat clicks, Phone call clicks, Case study downloads, or Consultation bookings). No dataLayer push events currently exist.</w:t>
            </w:r>
          </w:p>
        </w:tc>
      </w:tr>
    </w:tbl>
    <w:p>
      <w:pPr>
        <w:spacing w:after="200" w:before="0"/>
      </w:pPr>
      <w:r>
        <w:rPr>
          <w:rFonts w:ascii="Calibri" w:cs="Calibri" w:eastAsia="Calibri" w:hAnsi="Calibri"/>
          <w:b w:val="false"/>
          <w:bCs w:val="false"/>
          <w:i w:val="false"/>
          <w:iCs w:val="false"/>
          <w:color w:val="1E293B"/>
          <w:sz w:val="21"/>
          <w:szCs w:val="21"/>
        </w:rPr>
        <w:t xml:space="preserve"/>
      </w:r>
    </w:p>
    <w:p>
      <w:pPr>
        <w:pStyle w:val="Heading1"/>
        <w:spacing w:after="140" w:before="360"/>
      </w:pPr>
      <w:r>
        <w:rPr>
          <w:rFonts w:ascii="Calibri" w:cs="Calibri" w:eastAsia="Calibri" w:hAnsi="Calibri"/>
          <w:b/>
          <w:bCs/>
          <w:color w:val="0F172A"/>
          <w:sz w:val="32"/>
          <w:szCs w:val="32"/>
        </w:rPr>
        <w:t xml:space="preserve">2. Current Tracking Stack Inventory &amp; Operational Status</w:t>
      </w:r>
    </w:p>
    <w:p>
      <w:pPr>
        <w:spacing w:after="120" w:before="0"/>
      </w:pPr>
      <w:r>
        <w:rPr>
          <w:rFonts w:ascii="Calibri" w:cs="Calibri" w:eastAsia="Calibri" w:hAnsi="Calibri"/>
          <w:b w:val="false"/>
          <w:bCs w:val="false"/>
          <w:i w:val="false"/>
          <w:iCs w:val="false"/>
          <w:color w:val="1E293B"/>
          <w:sz w:val="21"/>
          <w:szCs w:val="21"/>
        </w:rPr>
        <w:t xml:space="preserve">The table below details all tracking systems, IDs, injection mechanisms, trigger rules, and current operational states detected on digitalymarket.com:</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986"/>
        <w:gridCol w:w="2257"/>
        <w:gridCol w:w="1805"/>
        <w:gridCol w:w="1354"/>
        <w:gridCol w:w="1625"/>
      </w:tblGrid>
      <w:tr>
        <w:tc>
          <w:tcPr>
            <w:tcW w:type="pct" w:w="1100"/>
            <w:shd w:fill="1E293B" w:val="clear"/>
            <w:tcMar>
              <w:top w:type="dxa" w:w="140"/>
              <w:left w:type="dxa" w:w="160"/>
              <w:bottom w:type="dxa" w:w="140"/>
              <w:right w:type="dxa" w:w="160"/>
            </w:tcMar>
          </w:tcPr>
          <w:p>
            <w:pPr>
              <w:jc w:val="start"/>
            </w:pPr>
            <w:r>
              <w:rPr>
                <w:rFonts w:ascii="Calibri" w:cs="Calibri" w:eastAsia="Calibri" w:hAnsi="Calibri"/>
                <w:b/>
                <w:bCs/>
                <w:color w:val="FFFFFF"/>
                <w:sz w:val="20"/>
                <w:szCs w:val="20"/>
              </w:rPr>
              <w:t xml:space="preserve">Platform / Tool</w:t>
            </w:r>
          </w:p>
        </w:tc>
        <w:tc>
          <w:tcPr>
            <w:tcW w:type="pct" w:w="1250"/>
            <w:shd w:fill="1E293B" w:val="clear"/>
            <w:tcMar>
              <w:top w:type="dxa" w:w="140"/>
              <w:left w:type="dxa" w:w="160"/>
              <w:bottom w:type="dxa" w:w="140"/>
              <w:right w:type="dxa" w:w="160"/>
            </w:tcMar>
          </w:tcPr>
          <w:p>
            <w:pPr>
              <w:jc w:val="start"/>
            </w:pPr>
            <w:r>
              <w:rPr>
                <w:rFonts w:ascii="Calibri" w:cs="Calibri" w:eastAsia="Calibri" w:hAnsi="Calibri"/>
                <w:b/>
                <w:bCs/>
                <w:color w:val="FFFFFF"/>
                <w:sz w:val="20"/>
                <w:szCs w:val="20"/>
              </w:rPr>
              <w:t xml:space="preserve">Tracking ID / Identifier</w:t>
            </w:r>
          </w:p>
        </w:tc>
        <w:tc>
          <w:tcPr>
            <w:tcW w:type="pct" w:w="1000"/>
            <w:shd w:fill="1E293B" w:val="clear"/>
            <w:tcMar>
              <w:top w:type="dxa" w:w="140"/>
              <w:left w:type="dxa" w:w="160"/>
              <w:bottom w:type="dxa" w:w="140"/>
              <w:right w:type="dxa" w:w="160"/>
            </w:tcMar>
          </w:tcPr>
          <w:p>
            <w:pPr>
              <w:jc w:val="start"/>
            </w:pPr>
            <w:r>
              <w:rPr>
                <w:rFonts w:ascii="Calibri" w:cs="Calibri" w:eastAsia="Calibri" w:hAnsi="Calibri"/>
                <w:b/>
                <w:bCs/>
                <w:color w:val="FFFFFF"/>
                <w:sz w:val="20"/>
                <w:szCs w:val="20"/>
              </w:rPr>
              <w:t xml:space="preserve">Deployment Method</w:t>
            </w:r>
          </w:p>
        </w:tc>
        <w:tc>
          <w:tcPr>
            <w:tcW w:type="pct" w:w="750"/>
            <w:shd w:fill="1E293B" w:val="clear"/>
            <w:tcMar>
              <w:top w:type="dxa" w:w="140"/>
              <w:left w:type="dxa" w:w="160"/>
              <w:bottom w:type="dxa" w:w="140"/>
              <w:right w:type="dxa" w:w="160"/>
            </w:tcMar>
          </w:tcPr>
          <w:p>
            <w:pPr>
              <w:jc w:val="start"/>
            </w:pPr>
            <w:r>
              <w:rPr>
                <w:rFonts w:ascii="Calibri" w:cs="Calibri" w:eastAsia="Calibri" w:hAnsi="Calibri"/>
                <w:b/>
                <w:bCs/>
                <w:color w:val="FFFFFF"/>
                <w:sz w:val="20"/>
                <w:szCs w:val="20"/>
              </w:rPr>
              <w:t xml:space="preserve">Firing Trigger</w:t>
            </w:r>
          </w:p>
        </w:tc>
        <w:tc>
          <w:tcPr>
            <w:tcW w:type="pct" w:w="900"/>
            <w:shd w:fill="1E293B" w:val="clear"/>
            <w:tcMar>
              <w:top w:type="dxa" w:w="140"/>
              <w:left w:type="dxa" w:w="160"/>
              <w:bottom w:type="dxa" w:w="140"/>
              <w:right w:type="dxa" w:w="160"/>
            </w:tcMar>
          </w:tcPr>
          <w:p>
            <w:pPr>
              <w:jc w:val="start"/>
            </w:pPr>
            <w:r>
              <w:rPr>
                <w:rFonts w:ascii="Calibri" w:cs="Calibri" w:eastAsia="Calibri" w:hAnsi="Calibri"/>
                <w:b/>
                <w:bCs/>
                <w:color w:val="FFFFFF"/>
                <w:sz w:val="20"/>
                <w:szCs w:val="20"/>
              </w:rPr>
              <w:t xml:space="preserve">Operational Status</w:t>
            </w:r>
          </w:p>
        </w:tc>
      </w:tr>
      <w:tr>
        <w:tc>
          <w:tcPr>
            <w:tcW w:type="pct" w:w="110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Google Tag Manager</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GTM-KKPZ3XL5</w:t>
            </w:r>
          </w:p>
        </w:tc>
        <w:tc>
          <w:tcPr>
            <w:tcW w:type="pct" w:w="100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Inline HTML (&lt;head&gt; + &lt;noscript&gt;)</w:t>
            </w:r>
          </w:p>
        </w:tc>
        <w:tc>
          <w:tcPr>
            <w:tcW w:type="pct" w:w="7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All Pages</w:t>
            </w:r>
          </w:p>
        </w:tc>
        <w:tc>
          <w:tcPr>
            <w:tcW w:type="pct" w:w="900"/>
            <w:shd w:fill="F0FDF4" w:val="clear"/>
            <w:tcMar>
              <w:top w:type="dxa" w:w="120"/>
              <w:left w:type="dxa" w:w="160"/>
              <w:bottom w:type="dxa" w:w="120"/>
              <w:right w:type="dxa" w:w="160"/>
            </w:tcMar>
          </w:tcPr>
          <w:p>
            <w:pPr>
              <w:jc w:val="start"/>
            </w:pPr>
            <w:r>
              <w:rPr>
                <w:rFonts w:ascii="Calibri" w:cs="Calibri" w:eastAsia="Calibri" w:hAnsi="Calibri"/>
                <w:b/>
                <w:bCs/>
                <w:color w:val="16A34A"/>
                <w:sz w:val="19"/>
                <w:szCs w:val="19"/>
              </w:rPr>
              <w:t xml:space="preserve">✅ Active &amp; Healthy</w:t>
            </w:r>
          </w:p>
        </w:tc>
      </w:tr>
      <w:tr>
        <w:tc>
          <w:tcPr>
            <w:tcW w:type="pct" w:w="1100"/>
            <w:shd w:fill="F8FAFC"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Google Search Console</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EqZrtxdyQDmh6l_BsNxR0...</w:t>
            </w:r>
          </w:p>
        </w:tc>
        <w:tc>
          <w:tcPr>
            <w:tcW w:type="pct" w:w="100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&lt;meta name='google-site-verification'&gt;</w:t>
            </w:r>
          </w:p>
        </w:tc>
        <w:tc>
          <w:tcPr>
            <w:tcW w:type="pct" w:w="7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HTML Header</w:t>
            </w:r>
          </w:p>
        </w:tc>
        <w:tc>
          <w:tcPr>
            <w:tcW w:type="pct" w:w="900"/>
            <w:shd w:fill="F0FDF4" w:val="clear"/>
            <w:tcMar>
              <w:top w:type="dxa" w:w="120"/>
              <w:left w:type="dxa" w:w="160"/>
              <w:bottom w:type="dxa" w:w="120"/>
              <w:right w:type="dxa" w:w="160"/>
            </w:tcMar>
          </w:tcPr>
          <w:p>
            <w:pPr>
              <w:jc w:val="start"/>
            </w:pPr>
            <w:r>
              <w:rPr>
                <w:rFonts w:ascii="Calibri" w:cs="Calibri" w:eastAsia="Calibri" w:hAnsi="Calibri"/>
                <w:b/>
                <w:bCs/>
                <w:color w:val="16A34A"/>
                <w:sz w:val="19"/>
                <w:szCs w:val="19"/>
              </w:rPr>
              <w:t xml:space="preserve">✅ Verified</w:t>
            </w:r>
          </w:p>
        </w:tc>
      </w:tr>
      <w:tr>
        <w:tc>
          <w:tcPr>
            <w:tcW w:type="pct" w:w="110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Google Analytics 4 (GA4)</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G-Y4C6BMK9WG</w:t>
            </w:r>
          </w:p>
        </w:tc>
        <w:tc>
          <w:tcPr>
            <w:tcW w:type="pct" w:w="100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 Tag ID 7 (__googtag)</w:t>
            </w:r>
          </w:p>
        </w:tc>
        <w:tc>
          <w:tcPr>
            <w:tcW w:type="pct" w:w="7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gtm.init (Initialization)</w:t>
            </w:r>
          </w:p>
        </w:tc>
        <w:tc>
          <w:tcPr>
            <w:tcW w:type="pct" w:w="900"/>
            <w:shd w:fill="F0FDF4" w:val="clear"/>
            <w:tcMar>
              <w:top w:type="dxa" w:w="120"/>
              <w:left w:type="dxa" w:w="160"/>
              <w:bottom w:type="dxa" w:w="120"/>
              <w:right w:type="dxa" w:w="160"/>
            </w:tcMar>
          </w:tcPr>
          <w:p>
            <w:pPr>
              <w:jc w:val="start"/>
            </w:pPr>
            <w:r>
              <w:rPr>
                <w:rFonts w:ascii="Calibri" w:cs="Calibri" w:eastAsia="Calibri" w:hAnsi="Calibri"/>
                <w:b/>
                <w:bCs/>
                <w:color w:val="16A34A"/>
                <w:sz w:val="19"/>
                <w:szCs w:val="19"/>
              </w:rPr>
              <w:t xml:space="preserve">✅ Active (Basic)</w:t>
            </w:r>
          </w:p>
        </w:tc>
      </w:tr>
      <w:tr>
        <w:tc>
          <w:tcPr>
            <w:tcW w:type="pct" w:w="1100"/>
            <w:shd w:fill="F8FAFC"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Meta Pixel #1</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1615445166763879</w:t>
            </w:r>
          </w:p>
        </w:tc>
        <w:tc>
          <w:tcPr>
            <w:tcW w:type="pct" w:w="100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Hardcoded HTML Script</w:t>
            </w:r>
          </w:p>
        </w:tc>
        <w:tc>
          <w:tcPr>
            <w:tcW w:type="pct" w:w="7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Immediate Exec</w:t>
            </w:r>
          </w:p>
        </w:tc>
        <w:tc>
          <w:tcPr>
            <w:tcW w:type="pct" w:w="900"/>
            <w:shd w:fill="FFFBEB" w:val="clear"/>
            <w:tcMar>
              <w:top w:type="dxa" w:w="120"/>
              <w:left w:type="dxa" w:w="160"/>
              <w:bottom w:type="dxa" w:w="120"/>
              <w:right w:type="dxa" w:w="160"/>
            </w:tcMar>
          </w:tcPr>
          <w:p>
            <w:pPr>
              <w:jc w:val="start"/>
            </w:pPr>
            <w:r>
              <w:rPr>
                <w:rFonts w:ascii="Calibri" w:cs="Calibri" w:eastAsia="Calibri" w:hAnsi="Calibri"/>
                <w:b/>
                <w:bCs/>
                <w:color w:val="D97706"/>
                <w:sz w:val="19"/>
                <w:szCs w:val="19"/>
              </w:rPr>
              <w:t xml:space="preserve">⚠️ Duplicate / Conflict</w:t>
            </w:r>
          </w:p>
        </w:tc>
      </w:tr>
      <w:tr>
        <w:tc>
          <w:tcPr>
            <w:tcW w:type="pct" w:w="110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Meta Pixel #2</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1791505495459296</w:t>
            </w:r>
          </w:p>
        </w:tc>
        <w:tc>
          <w:tcPr>
            <w:tcW w:type="pct" w:w="100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 Tag ID 10 (Custom HTML)</w:t>
            </w:r>
          </w:p>
        </w:tc>
        <w:tc>
          <w:tcPr>
            <w:tcW w:type="pct" w:w="7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gtm.init (All Pages)</w:t>
            </w:r>
          </w:p>
        </w:tc>
        <w:tc>
          <w:tcPr>
            <w:tcW w:type="pct" w:w="900"/>
            <w:shd w:fill="FFFBEB" w:val="clear"/>
            <w:tcMar>
              <w:top w:type="dxa" w:w="120"/>
              <w:left w:type="dxa" w:w="160"/>
              <w:bottom w:type="dxa" w:w="120"/>
              <w:right w:type="dxa" w:w="160"/>
            </w:tcMar>
          </w:tcPr>
          <w:p>
            <w:pPr>
              <w:jc w:val="start"/>
            </w:pPr>
            <w:r>
              <w:rPr>
                <w:rFonts w:ascii="Calibri" w:cs="Calibri" w:eastAsia="Calibri" w:hAnsi="Calibri"/>
                <w:b/>
                <w:bCs/>
                <w:color w:val="D97706"/>
                <w:sz w:val="19"/>
                <w:szCs w:val="19"/>
              </w:rPr>
              <w:t xml:space="preserve">⚠️ Duplicate / Conflict</w:t>
            </w:r>
          </w:p>
        </w:tc>
      </w:tr>
      <w:tr>
        <w:tc>
          <w:tcPr>
            <w:tcW w:type="pct" w:w="1100"/>
            <w:shd w:fill="F8FAFC"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Google Ads Remarketing</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AW-10976434396</w:t>
            </w:r>
          </w:p>
        </w:tc>
        <w:tc>
          <w:tcPr>
            <w:tcW w:type="pct" w:w="100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 Tag ID 5 (__sp)</w:t>
            </w:r>
          </w:p>
        </w:tc>
        <w:tc>
          <w:tcPr>
            <w:tcW w:type="pct" w:w="7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gtm.init (All Pages)</w:t>
            </w:r>
          </w:p>
        </w:tc>
        <w:tc>
          <w:tcPr>
            <w:tcW w:type="pct" w:w="900"/>
            <w:shd w:fill="F0FDF4" w:val="clear"/>
            <w:tcMar>
              <w:top w:type="dxa" w:w="120"/>
              <w:left w:type="dxa" w:w="160"/>
              <w:bottom w:type="dxa" w:w="120"/>
              <w:right w:type="dxa" w:w="160"/>
            </w:tcMar>
          </w:tcPr>
          <w:p>
            <w:pPr>
              <w:jc w:val="start"/>
            </w:pPr>
            <w:r>
              <w:rPr>
                <w:rFonts w:ascii="Calibri" w:cs="Calibri" w:eastAsia="Calibri" w:hAnsi="Calibri"/>
                <w:b/>
                <w:bCs/>
                <w:color w:val="16A34A"/>
                <w:sz w:val="19"/>
                <w:szCs w:val="19"/>
              </w:rPr>
              <w:t xml:space="preserve">✅ Active</w:t>
            </w:r>
          </w:p>
        </w:tc>
      </w:tr>
      <w:tr>
        <w:tc>
          <w:tcPr>
            <w:tcW w:type="pct" w:w="110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Google Ads Conversion</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DC2626"/>
                <w:sz w:val="19"/>
                <w:szCs w:val="19"/>
              </w:rPr>
              <w:t xml:space="preserve">10976434396 / qNK4CNzkxOMcENyx_PEo</w:t>
            </w:r>
          </w:p>
        </w:tc>
        <w:tc>
          <w:tcPr>
            <w:tcW w:type="pct" w:w="100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 Tag ID 6 (__awct)</w:t>
            </w:r>
          </w:p>
        </w:tc>
        <w:tc>
          <w:tcPr>
            <w:tcW w:type="pct" w:w="750"/>
            <w:shd w:fill="FFFFFF" w:val="clear"/>
            <w:tcMar>
              <w:top w:type="dxa" w:w="120"/>
              <w:left w:type="dxa" w:w="160"/>
              <w:bottom w:type="dxa" w:w="120"/>
              <w:right w:type="dxa" w:w="160"/>
            </w:tcMar>
          </w:tcPr>
          <w:p>
            <w:pPr>
              <w:jc w:val="start"/>
            </w:pPr>
            <w:r>
              <w:rPr>
                <w:rFonts w:ascii="Calibri" w:cs="Calibri" w:eastAsia="Calibri" w:hAnsi="Calibri"/>
                <w:b/>
                <w:bCs/>
                <w:color w:val="DC2626"/>
                <w:sz w:val="19"/>
                <w:szCs w:val="19"/>
              </w:rPr>
              <w:t xml:space="preserve">gtm.js (All Pages)</w:t>
            </w:r>
          </w:p>
        </w:tc>
        <w:tc>
          <w:tcPr>
            <w:tcW w:type="pct" w:w="900"/>
            <w:shd w:fill="FEF2F2" w:val="clear"/>
            <w:tcMar>
              <w:top w:type="dxa" w:w="120"/>
              <w:left w:type="dxa" w:w="160"/>
              <w:bottom w:type="dxa" w:w="120"/>
              <w:right w:type="dxa" w:w="160"/>
            </w:tcMar>
          </w:tcPr>
          <w:p>
            <w:pPr>
              <w:jc w:val="start"/>
            </w:pPr>
            <w:r>
              <w:rPr>
                <w:rFonts w:ascii="Calibri" w:cs="Calibri" w:eastAsia="Calibri" w:hAnsi="Calibri"/>
                <w:b/>
                <w:bCs/>
                <w:color w:val="DC2626"/>
                <w:sz w:val="19"/>
                <w:szCs w:val="19"/>
              </w:rPr>
              <w:t xml:space="preserve">🚨 CRITICAL ERROR</w:t>
            </w:r>
          </w:p>
        </w:tc>
      </w:tr>
      <w:tr>
        <w:tc>
          <w:tcPr>
            <w:tcW w:type="pct" w:w="1100"/>
            <w:shd w:fill="F8FAFC"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Microsoft Clarity</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y55ed0nfer</w:t>
            </w:r>
          </w:p>
        </w:tc>
        <w:tc>
          <w:tcPr>
            <w:tcW w:type="pct" w:w="100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 Tag ID 12 (Clarity Template)</w:t>
            </w:r>
          </w:p>
        </w:tc>
        <w:tc>
          <w:tcPr>
            <w:tcW w:type="pct" w:w="7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gtm.js (All Pages)</w:t>
            </w:r>
          </w:p>
        </w:tc>
        <w:tc>
          <w:tcPr>
            <w:tcW w:type="pct" w:w="900"/>
            <w:shd w:fill="F0FDF4" w:val="clear"/>
            <w:tcMar>
              <w:top w:type="dxa" w:w="120"/>
              <w:left w:type="dxa" w:w="160"/>
              <w:bottom w:type="dxa" w:w="120"/>
              <w:right w:type="dxa" w:w="160"/>
            </w:tcMar>
          </w:tcPr>
          <w:p>
            <w:pPr>
              <w:jc w:val="start"/>
            </w:pPr>
            <w:r>
              <w:rPr>
                <w:rFonts w:ascii="Calibri" w:cs="Calibri" w:eastAsia="Calibri" w:hAnsi="Calibri"/>
                <w:b/>
                <w:bCs/>
                <w:color w:val="16A34A"/>
                <w:sz w:val="19"/>
                <w:szCs w:val="19"/>
              </w:rPr>
              <w:t xml:space="preserve">✅ Active &amp; Recording</w:t>
            </w:r>
          </w:p>
        </w:tc>
      </w:tr>
      <w:tr>
        <w:tc>
          <w:tcPr>
            <w:tcW w:type="pct" w:w="110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Platform Telemetry</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64748B"/>
                <w:sz w:val="19"/>
                <w:szCs w:val="19"/>
              </w:rPr>
              <w:t xml:space="preserve">lovp_4swew6k42c95qt154f8ja9g4g8</w:t>
            </w:r>
          </w:p>
        </w:tc>
        <w:tc>
          <w:tcPr>
            <w:tcW w:type="pct" w:w="100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Lovable / Flock (~flock.js)</w:t>
            </w:r>
          </w:p>
        </w:tc>
        <w:tc>
          <w:tcPr>
            <w:tcW w:type="pct" w:w="7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Script Injection</w:t>
            </w:r>
          </w:p>
        </w:tc>
        <w:tc>
          <w:tcPr>
            <w:tcW w:type="pct" w:w="900"/>
            <w:shd w:fill="FFFFFF" w:val="clear"/>
            <w:tcMar>
              <w:top w:type="dxa" w:w="120"/>
              <w:left w:type="dxa" w:w="160"/>
              <w:bottom w:type="dxa" w:w="120"/>
              <w:right w:type="dxa" w:w="160"/>
            </w:tcMar>
          </w:tcPr>
          <w:p>
            <w:pPr>
              <w:jc w:val="start"/>
            </w:pPr>
            <w:r>
              <w:rPr>
                <w:rFonts w:ascii="Calibri" w:cs="Calibri" w:eastAsia="Calibri" w:hAnsi="Calibri"/>
                <w:b w:val="false"/>
                <w:bCs w:val="false"/>
                <w:color w:val="64748B"/>
                <w:sz w:val="19"/>
                <w:szCs w:val="19"/>
              </w:rPr>
              <w:t xml:space="preserve">✅ Active (Hosting)</w:t>
            </w:r>
          </w:p>
        </w:tc>
      </w:tr>
    </w:tbl>
    <w:p>
      <w:pPr>
        <w:spacing w:after="200" w:before="0"/>
      </w:pPr>
      <w:r>
        <w:rPr>
          <w:rFonts w:ascii="Calibri" w:cs="Calibri" w:eastAsia="Calibri" w:hAnsi="Calibri"/>
          <w:b w:val="false"/>
          <w:bCs w:val="false"/>
          <w:i w:val="false"/>
          <w:iCs w:val="false"/>
          <w:color w:val="1E293B"/>
          <w:sz w:val="21"/>
          <w:szCs w:val="21"/>
        </w:rPr>
        <w:t xml:space="preserve"/>
      </w:r>
    </w:p>
    <w:p>
      <w:pPr>
        <w:pStyle w:val="Heading1"/>
        <w:spacing w:after="140" w:before="360"/>
      </w:pPr>
      <w:r>
        <w:rPr>
          <w:rFonts w:ascii="Calibri" w:cs="Calibri" w:eastAsia="Calibri" w:hAnsi="Calibri"/>
          <w:b/>
          <w:bCs/>
          <w:color w:val="0F172A"/>
          <w:sz w:val="32"/>
          <w:szCs w:val="32"/>
        </w:rPr>
        <w:t xml:space="preserve">3. Detailed Technical Analysis by Platform</w:t>
      </w:r>
    </w:p>
    <w:p>
      <w:pPr>
        <w:pStyle w:val="Heading2"/>
        <w:spacing w:after="100" w:before="260"/>
      </w:pPr>
      <w:r>
        <w:rPr>
          <w:rFonts w:ascii="Calibri" w:cs="Calibri" w:eastAsia="Calibri" w:hAnsi="Calibri"/>
          <w:b/>
          <w:bCs/>
          <w:color w:val="2563EB"/>
          <w:sz w:val="26"/>
          <w:szCs w:val="26"/>
        </w:rPr>
        <w:t xml:space="preserve">3.1 Google Tag Manager Container (GTM-KKPZ3XL5)</w:t>
      </w:r>
    </w:p>
    <w:p>
      <w:pPr>
        <w:spacing w:after="120" w:before="0"/>
      </w:pPr>
      <w:r>
        <w:rPr>
          <w:rFonts w:ascii="Calibri" w:cs="Calibri" w:eastAsia="Calibri" w:hAnsi="Calibri"/>
          <w:b w:val="false"/>
          <w:bCs w:val="false"/>
          <w:i w:val="false"/>
          <w:iCs w:val="false"/>
          <w:color w:val="1E293B"/>
          <w:sz w:val="21"/>
          <w:szCs w:val="21"/>
        </w:rPr>
        <w:t xml:space="preserve">GTM is installed correctly within the HTML structure: the primary asynchronous loader is placed high in the &lt;head&gt; block, and the corresponding &lt;noscript&gt; fallback iframe is placed directly following the opening &lt;body&gt; tag.</w:t>
      </w:r>
    </w:p>
    <w:p>
      <w:pPr>
        <w:pStyle w:val="ListParagraph"/>
        <w:numPr>
          <w:ilvl w:val="0"/>
          <w:numId w:val="1"/>
        </w:numPr>
        <w:spacing w:after="80" w:before="40"/>
      </w:pPr>
      <w:r>
        <w:rPr>
          <w:rFonts w:ascii="Calibri" w:cs="Calibri" w:eastAsia="Calibri" w:hAnsi="Calibri"/>
          <w:b/>
          <w:bCs/>
          <w:color w:val="1E293B"/>
          <w:sz w:val="21"/>
          <w:szCs w:val="21"/>
        </w:rPr>
        <w:t xml:space="preserve">Container Runtime Evaluation: </w:t>
      </w:r>
      <w:r>
        <w:rPr>
          <w:rFonts w:ascii="Calibri" w:cs="Calibri" w:eastAsia="Calibri" w:hAnsi="Calibri"/>
          <w:color w:val="1E293B"/>
          <w:sz w:val="21"/>
          <w:szCs w:val="21"/>
        </w:rPr>
        <w:t xml:space="preserve">The live script at https://www.googletagmanager.com/gtm.js?id=GTM-KKPZ3XL5 successfully returns HTTP 200 with an optimized payload.</w:t>
      </w:r>
    </w:p>
    <w:p>
      <w:pPr>
        <w:pStyle w:val="ListParagraph"/>
        <w:numPr>
          <w:ilvl w:val="0"/>
          <w:numId w:val="1"/>
        </w:numPr>
        <w:spacing w:after="80" w:before="40"/>
      </w:pPr>
      <w:r>
        <w:rPr>
          <w:rFonts w:ascii="Calibri" w:cs="Calibri" w:eastAsia="Calibri" w:hAnsi="Calibri"/>
          <w:b/>
          <w:bCs/>
          <w:color w:val="1E293B"/>
          <w:sz w:val="21"/>
          <w:szCs w:val="21"/>
        </w:rPr>
        <w:t xml:space="preserve">Trigger Architecture: </w:t>
      </w:r>
      <w:r>
        <w:rPr>
          <w:rFonts w:ascii="Calibri" w:cs="Calibri" w:eastAsia="Calibri" w:hAnsi="Calibri"/>
          <w:color w:val="1E293B"/>
          <w:sz w:val="21"/>
          <w:szCs w:val="21"/>
        </w:rPr>
        <w:t xml:space="preserve">The container relies almost exclusively on two default triggers: 'gtm.init' (Page Initialization) and 'gtm.js' (Container Loaded). There are zero custom event triggers, zero Click triggers, and zero Form Submission triggers defined in this container.</w:t>
      </w:r>
    </w:p>
    <w:p>
      <w:pPr>
        <w:pStyle w:val="ListParagraph"/>
        <w:numPr>
          <w:ilvl w:val="0"/>
          <w:numId w:val="1"/>
        </w:numPr>
        <w:spacing w:after="80" w:before="40"/>
      </w:pPr>
      <w:r>
        <w:rPr>
          <w:rFonts w:ascii="Calibri" w:cs="Calibri" w:eastAsia="Calibri" w:hAnsi="Calibri"/>
          <w:b/>
          <w:bCs/>
          <w:color w:val="1E293B"/>
          <w:sz w:val="21"/>
          <w:szCs w:val="21"/>
        </w:rPr>
        <w:t xml:space="preserve">Enhanced Conversions Flag: </w:t>
      </w:r>
      <w:r>
        <w:rPr>
          <w:rFonts w:ascii="Calibri" w:cs="Calibri" w:eastAsia="Calibri" w:hAnsi="Calibri"/>
          <w:color w:val="1E293B"/>
          <w:sz w:val="21"/>
          <w:szCs w:val="21"/>
        </w:rPr>
        <w:t xml:space="preserve">Tag ID 6 has the enhanced conversions flag set to false: {key: 'enable_enhanced_conversions', value: 'false'}. User-provided customer data (hashed emails and phone numbers) is not being passed to Google Ads.</w:t>
      </w:r>
    </w:p>
    <w:p>
      <w:pPr>
        <w:pStyle w:val="Heading2"/>
        <w:spacing w:after="100" w:before="260"/>
      </w:pPr>
      <w:r>
        <w:rPr>
          <w:rFonts w:ascii="Calibri" w:cs="Calibri" w:eastAsia="Calibri" w:hAnsi="Calibri"/>
          <w:b/>
          <w:bCs/>
          <w:color w:val="2563EB"/>
          <w:sz w:val="26"/>
          <w:szCs w:val="26"/>
        </w:rPr>
        <w:t xml:space="preserve">3.2 Google Analytics 4 (Measurement ID: G-Y4C6BMK9WG)</w:t>
      </w:r>
    </w:p>
    <w:p>
      <w:pPr>
        <w:spacing w:after="120" w:before="0"/>
      </w:pPr>
      <w:r>
        <w:rPr>
          <w:rFonts w:ascii="Calibri" w:cs="Calibri" w:eastAsia="Calibri" w:hAnsi="Calibri"/>
          <w:b w:val="false"/>
          <w:bCs w:val="false"/>
          <w:i w:val="false"/>
          <w:iCs w:val="false"/>
          <w:color w:val="1E293B"/>
          <w:sz w:val="21"/>
          <w:szCs w:val="21"/>
        </w:rPr>
        <w:t xml:space="preserve">GA4 is deployed via the modern Google Tag (__googtag) under Tag ID 7. It triggers on gtm.init across all pages.</w:t>
      </w:r>
    </w:p>
    <w:p>
      <w:pPr>
        <w:pStyle w:val="ListParagraph"/>
        <w:numPr>
          <w:ilvl w:val="0"/>
          <w:numId w:val="1"/>
        </w:numPr>
        <w:spacing w:after="80" w:before="40"/>
      </w:pPr>
      <w:r>
        <w:rPr>
          <w:rFonts w:ascii="Calibri" w:cs="Calibri" w:eastAsia="Calibri" w:hAnsi="Calibri"/>
          <w:b/>
          <w:bCs/>
          <w:color w:val="1E293B"/>
          <w:sz w:val="21"/>
          <w:szCs w:val="21"/>
        </w:rPr>
        <w:t xml:space="preserve">Current Functionality: </w:t>
      </w:r>
      <w:r>
        <w:rPr>
          <w:rFonts w:ascii="Calibri" w:cs="Calibri" w:eastAsia="Calibri" w:hAnsi="Calibri"/>
          <w:color w:val="1E293B"/>
          <w:sz w:val="21"/>
          <w:szCs w:val="21"/>
        </w:rPr>
        <w:t xml:space="preserve">It tracks default automatic pageviews, session starts, first visits, and scroll depth (if enhanced measurement is enabled in the GA4 property UI).</w:t>
      </w:r>
    </w:p>
    <w:p>
      <w:pPr>
        <w:pStyle w:val="ListParagraph"/>
        <w:numPr>
          <w:ilvl w:val="0"/>
          <w:numId w:val="1"/>
        </w:numPr>
        <w:spacing w:after="80" w:before="40"/>
      </w:pPr>
      <w:r>
        <w:rPr>
          <w:rFonts w:ascii="Calibri" w:cs="Calibri" w:eastAsia="Calibri" w:hAnsi="Calibri"/>
          <w:b/>
          <w:bCs/>
          <w:color w:val="1E293B"/>
          <w:sz w:val="21"/>
          <w:szCs w:val="21"/>
        </w:rPr>
        <w:t xml:space="preserve">Critical Gaps: </w:t>
      </w:r>
      <w:r>
        <w:rPr>
          <w:rFonts w:ascii="Calibri" w:cs="Calibri" w:eastAsia="Calibri" w:hAnsi="Calibri"/>
          <w:color w:val="1E293B"/>
          <w:sz w:val="21"/>
          <w:szCs w:val="21"/>
        </w:rPr>
        <w:t xml:space="preserve">There are no custom events passed to GA4. B2B interactions such as 'generate_lead', 'contact_submit', 'whatsapp_click', or 'calendly_booked' are completely unrecorded. GA4 cannot calculate lead conversion rates or marketing channel return on investment.</w:t>
      </w:r>
    </w:p>
    <w:p>
      <w:pPr>
        <w:pStyle w:val="Heading2"/>
        <w:spacing w:after="100" w:before="260"/>
      </w:pPr>
      <w:r>
        <w:rPr>
          <w:rFonts w:ascii="Calibri" w:cs="Calibri" w:eastAsia="Calibri" w:hAnsi="Calibri"/>
          <w:b/>
          <w:bCs/>
          <w:color w:val="2563EB"/>
          <w:sz w:val="26"/>
          <w:szCs w:val="26"/>
        </w:rPr>
        <w:t xml:space="preserve">3.3 Meta (Facebook) Pixel Redundancy &amp; Conflict</w:t>
      </w:r>
    </w:p>
    <w:p>
      <w:pPr>
        <w:spacing w:after="120" w:before="0"/>
      </w:pPr>
      <w:r>
        <w:rPr>
          <w:rFonts w:ascii="Calibri" w:cs="Calibri" w:eastAsia="Calibri" w:hAnsi="Calibri"/>
          <w:b w:val="false"/>
          <w:bCs w:val="false"/>
          <w:i w:val="false"/>
          <w:iCs w:val="false"/>
          <w:color w:val="1E293B"/>
          <w:sz w:val="21"/>
          <w:szCs w:val="21"/>
        </w:rPr>
        <w:t xml:space="preserve">The website possesses two competing Meta Pixel tracking configurations operating in parallel:</w:t>
      </w:r>
    </w:p>
    <w:p>
      <w:pPr>
        <w:pStyle w:val="ListParagraph"/>
        <w:numPr>
          <w:ilvl w:val="0"/>
          <w:numId w:val="1"/>
        </w:numPr>
        <w:spacing w:after="80" w:before="40"/>
      </w:pPr>
      <w:r>
        <w:rPr>
          <w:rFonts w:ascii="Calibri" w:cs="Calibri" w:eastAsia="Calibri" w:hAnsi="Calibri"/>
          <w:b/>
          <w:bCs/>
          <w:color w:val="1E293B"/>
          <w:sz w:val="21"/>
          <w:szCs w:val="21"/>
        </w:rPr>
        <w:t xml:space="preserve">HTML Root Pixel: </w:t>
      </w:r>
      <w:r>
        <w:rPr>
          <w:rFonts w:ascii="Calibri" w:cs="Calibri" w:eastAsia="Calibri" w:hAnsi="Calibri"/>
          <w:color w:val="1E293B"/>
          <w:sz w:val="21"/>
          <w:szCs w:val="21"/>
        </w:rPr>
        <w:t xml:space="preserve">Hardcoded in index.html with Pixel ID 1615445166763879. It initializes fbq('init', '1615445166763879') and immediately invokes fbq('track', 'PageView').</w:t>
      </w:r>
    </w:p>
    <w:p>
      <w:pPr>
        <w:pStyle w:val="ListParagraph"/>
        <w:numPr>
          <w:ilvl w:val="0"/>
          <w:numId w:val="1"/>
        </w:numPr>
        <w:spacing w:after="80" w:before="40"/>
      </w:pPr>
      <w:r>
        <w:rPr>
          <w:rFonts w:ascii="Calibri" w:cs="Calibri" w:eastAsia="Calibri" w:hAnsi="Calibri"/>
          <w:b/>
          <w:bCs/>
          <w:color w:val="1E293B"/>
          <w:sz w:val="21"/>
          <w:szCs w:val="21"/>
        </w:rPr>
        <w:t xml:space="preserve">GTM Custom HTML Pixel: </w:t>
      </w:r>
      <w:r>
        <w:rPr>
          <w:rFonts w:ascii="Calibri" w:cs="Calibri" w:eastAsia="Calibri" w:hAnsi="Calibri"/>
          <w:color w:val="1E293B"/>
          <w:sz w:val="21"/>
          <w:szCs w:val="21"/>
        </w:rPr>
        <w:t xml:space="preserve">Configured in GTM Tag ID 10 with Pixel ID 1791505495459296. It also initializes and fires fbq('track', 'PageView') on page load.</w:t>
      </w:r>
    </w:p>
    <w:p>
      <w:pPr>
        <w:pStyle w:val="ListParagraph"/>
        <w:numPr>
          <w:ilvl w:val="0"/>
          <w:numId w:val="1"/>
        </w:numPr>
        <w:spacing w:after="80" w:before="40"/>
      </w:pPr>
      <w:r>
        <w:rPr>
          <w:rFonts w:ascii="Calibri" w:cs="Calibri" w:eastAsia="Calibri" w:hAnsi="Calibri"/>
          <w:b/>
          <w:bCs/>
          <w:color w:val="1E293B"/>
          <w:sz w:val="21"/>
          <w:szCs w:val="21"/>
        </w:rPr>
        <w:t xml:space="preserve">Operational Impact: </w:t>
      </w:r>
      <w:r>
        <w:rPr>
          <w:rFonts w:ascii="Calibri" w:cs="Calibri" w:eastAsia="Calibri" w:hAnsi="Calibri"/>
          <w:color w:val="1E293B"/>
          <w:sz w:val="21"/>
          <w:szCs w:val="21"/>
        </w:rPr>
        <w:t xml:space="preserve">Each user visit registers two pageviews across two distinct Meta Business Ad Accounts. If campaigns are run from one ad account, pixel data and machine-learning optimization signals are split or lost in the other. Furthermore, neither pixel has Conversions API (CAPI) enabled, meaning 25-40% of browser traffic from iOS Safari and ad-blockers is dropped.</w:t>
      </w:r>
    </w:p>
    <w:p>
      <w:pPr>
        <w:pStyle w:val="Heading2"/>
        <w:spacing w:after="100" w:before="260"/>
      </w:pPr>
      <w:r>
        <w:rPr>
          <w:rFonts w:ascii="Calibri" w:cs="Calibri" w:eastAsia="Calibri" w:hAnsi="Calibri"/>
          <w:b/>
          <w:bCs/>
          <w:color w:val="2563EB"/>
          <w:sz w:val="26"/>
          <w:szCs w:val="26"/>
        </w:rPr>
        <w:t xml:space="preserve">3.4 Google Ads Conversion Tracking (Tag ID 6: AW-10976434396 / qNK4CNzkxOMcENyx_PEo)</w:t>
      </w:r>
    </w:p>
    <w:p>
      <w:pPr>
        <w:spacing w:after="120" w:before="0"/>
      </w:pPr>
      <w:r>
        <w:rPr>
          <w:rFonts w:ascii="Calibri" w:cs="Calibri" w:eastAsia="Calibri" w:hAnsi="Calibri"/>
          <w:b w:val="false"/>
          <w:bCs w:val="false"/>
          <w:i w:val="false"/>
          <w:iCs w:val="false"/>
          <w:color w:val="1E293B"/>
          <w:sz w:val="21"/>
          <w:szCs w:val="21"/>
        </w:rPr>
        <w:t xml:space="preserve">This is the most critical issue identified during the audit. Tag ID 6 in GTM is an active Google Ads Conversion Tracking tag (__awct).</w:t>
      </w:r>
    </w:p>
    <w:p>
      <w:pPr>
        <w:pStyle w:val="ListParagraph"/>
        <w:numPr>
          <w:ilvl w:val="0"/>
          <w:numId w:val="1"/>
        </w:numPr>
        <w:spacing w:after="80" w:before="40"/>
      </w:pPr>
      <w:r>
        <w:rPr>
          <w:rFonts w:ascii="Calibri" w:cs="Calibri" w:eastAsia="Calibri" w:hAnsi="Calibri"/>
          <w:b/>
          <w:bCs/>
          <w:color w:val="1E293B"/>
          <w:sz w:val="21"/>
          <w:szCs w:val="21"/>
        </w:rPr>
        <w:t xml:space="preserve">Configuration: </w:t>
      </w:r>
      <w:r>
        <w:rPr>
          <w:rFonts w:ascii="Calibri" w:cs="Calibri" w:eastAsia="Calibri" w:hAnsi="Calibri"/>
          <w:color w:val="1E293B"/>
          <w:sz w:val="21"/>
          <w:szCs w:val="21"/>
        </w:rPr>
        <w:t xml:space="preserve">Conversion ID: 10976434396, Conversion Label: qNK4CNzkxOMcENyx_PEo.</w:t>
      </w:r>
    </w:p>
    <w:p>
      <w:pPr>
        <w:pStyle w:val="ListParagraph"/>
        <w:numPr>
          <w:ilvl w:val="0"/>
          <w:numId w:val="1"/>
        </w:numPr>
        <w:spacing w:after="80" w:before="40"/>
      </w:pPr>
      <w:r>
        <w:rPr>
          <w:rFonts w:ascii="Calibri" w:cs="Calibri" w:eastAsia="Calibri" w:hAnsi="Calibri"/>
          <w:b/>
          <w:bCs/>
          <w:color w:val="1E293B"/>
          <w:sz w:val="21"/>
          <w:szCs w:val="21"/>
        </w:rPr>
        <w:t xml:space="preserve">Assigned Rule: </w:t>
      </w:r>
      <w:r>
        <w:rPr>
          <w:rFonts w:ascii="Calibri" w:cs="Calibri" w:eastAsia="Calibri" w:hAnsi="Calibri"/>
          <w:color w:val="1E293B"/>
          <w:sz w:val="21"/>
          <w:szCs w:val="21"/>
        </w:rPr>
        <w:t xml:space="preserve">Rule 1 (Firing condition: event equals 'gtm.js').</w:t>
      </w:r>
    </w:p>
    <w:p>
      <w:pPr>
        <w:pStyle w:val="ListParagraph"/>
        <w:numPr>
          <w:ilvl w:val="0"/>
          <w:numId w:val="1"/>
        </w:numPr>
        <w:spacing w:after="80" w:before="40"/>
      </w:pPr>
      <w:r>
        <w:rPr>
          <w:rFonts w:ascii="Calibri" w:cs="Calibri" w:eastAsia="Calibri" w:hAnsi="Calibri"/>
          <w:b/>
          <w:bCs/>
          <w:color w:val="1E293B"/>
          <w:sz w:val="21"/>
          <w:szCs w:val="21"/>
        </w:rPr>
        <w:t xml:space="preserve">The Flaw: </w:t>
      </w:r>
      <w:r>
        <w:rPr>
          <w:rFonts w:ascii="Calibri" w:cs="Calibri" w:eastAsia="Calibri" w:hAnsi="Calibri"/>
          <w:color w:val="1E293B"/>
          <w:sz w:val="21"/>
          <w:szCs w:val="21"/>
        </w:rPr>
        <w:t xml:space="preserve">Rule 1 represents every standard page load across digitalymarket.com. As a result, whenever ANY visitor opens ANY page on the website, Google Ads records a conversion.</w:t>
      </w:r>
    </w:p>
    <w:p>
      <w:pPr>
        <w:pStyle w:val="ListParagraph"/>
        <w:numPr>
          <w:ilvl w:val="0"/>
          <w:numId w:val="1"/>
        </w:numPr>
        <w:spacing w:after="80" w:before="40"/>
      </w:pPr>
      <w:r>
        <w:rPr>
          <w:rFonts w:ascii="Calibri" w:cs="Calibri" w:eastAsia="Calibri" w:hAnsi="Calibri"/>
          <w:b/>
          <w:bCs/>
          <w:color w:val="1E293B"/>
          <w:sz w:val="21"/>
          <w:szCs w:val="21"/>
        </w:rPr>
        <w:t xml:space="preserve">Financial &amp; Algorithmic Consequence: </w:t>
      </w:r>
      <w:r>
        <w:rPr>
          <w:rFonts w:ascii="Calibri" w:cs="Calibri" w:eastAsia="Calibri" w:hAnsi="Calibri"/>
          <w:color w:val="1E293B"/>
          <w:sz w:val="21"/>
          <w:szCs w:val="21"/>
        </w:rPr>
        <w:t xml:space="preserve">In Google Ads, automated Smart Bidding algorithms (Maximize Conversions, Target CPA, Target ROAS) seek users who look like past converters. Because 100% of visitors convert immediately upon page load, Google Ads' bidding algorithm concludes that cheap, accidental clicks and low-intent bot traffic are 'perfect converters.' This drives ad spend away from genuine B2B prospects and drains budget into useless impressions.</w:t>
      </w:r>
    </w:p>
    <w:p>
      <w:pPr>
        <w:pStyle w:val="Heading2"/>
        <w:spacing w:after="100" w:before="260"/>
      </w:pPr>
      <w:r>
        <w:rPr>
          <w:rFonts w:ascii="Calibri" w:cs="Calibri" w:eastAsia="Calibri" w:hAnsi="Calibri"/>
          <w:b/>
          <w:bCs/>
          <w:color w:val="2563EB"/>
          <w:sz w:val="26"/>
          <w:szCs w:val="26"/>
        </w:rPr>
        <w:t xml:space="preserve">3.5 Microsoft Clarity (Project ID: y55ed0nfer)</w:t>
      </w:r>
    </w:p>
    <w:p>
      <w:pPr>
        <w:spacing w:after="120" w:before="0"/>
      </w:pPr>
      <w:r>
        <w:rPr>
          <w:rFonts w:ascii="Calibri" w:cs="Calibri" w:eastAsia="Calibri" w:hAnsi="Calibri"/>
          <w:b w:val="false"/>
          <w:bCs w:val="false"/>
          <w:i w:val="false"/>
          <w:iCs w:val="false"/>
          <w:color w:val="1E293B"/>
          <w:sz w:val="21"/>
          <w:szCs w:val="21"/>
        </w:rPr>
        <w:t xml:space="preserve">Microsoft Clarity is deployed cleanly using the official GTM community template (Tag ID 12).</w:t>
      </w:r>
    </w:p>
    <w:p>
      <w:pPr>
        <w:pStyle w:val="ListParagraph"/>
        <w:numPr>
          <w:ilvl w:val="0"/>
          <w:numId w:val="1"/>
        </w:numPr>
        <w:spacing w:after="80" w:before="40"/>
      </w:pPr>
      <w:r>
        <w:rPr>
          <w:rFonts w:ascii="Calibri" w:cs="Calibri" w:eastAsia="Calibri" w:hAnsi="Calibri"/>
          <w:b/>
          <w:bCs/>
          <w:color w:val="1E293B"/>
          <w:sz w:val="21"/>
          <w:szCs w:val="21"/>
        </w:rPr>
        <w:t xml:space="preserve">Status: </w:t>
      </w:r>
      <w:r>
        <w:rPr>
          <w:rFonts w:ascii="Calibri" w:cs="Calibri" w:eastAsia="Calibri" w:hAnsi="Calibri"/>
          <w:color w:val="1E293B"/>
          <w:sz w:val="21"/>
          <w:szCs w:val="21"/>
        </w:rPr>
        <w:t xml:space="preserve">Active and healthy. It records user mouse movements, click heatmaps, dead clicks, quick backs, and full session replays.</w:t>
      </w:r>
    </w:p>
    <w:p>
      <w:pPr>
        <w:pStyle w:val="ListParagraph"/>
        <w:numPr>
          <w:ilvl w:val="0"/>
          <w:numId w:val="1"/>
        </w:numPr>
        <w:spacing w:after="80" w:before="40"/>
      </w:pPr>
      <w:r>
        <w:rPr>
          <w:rFonts w:ascii="Calibri" w:cs="Calibri" w:eastAsia="Calibri" w:hAnsi="Calibri"/>
          <w:b/>
          <w:bCs/>
          <w:color w:val="1E293B"/>
          <w:sz w:val="21"/>
          <w:szCs w:val="21"/>
        </w:rPr>
        <w:t xml:space="preserve">Recommendation: </w:t>
      </w:r>
      <w:r>
        <w:rPr>
          <w:rFonts w:ascii="Calibri" w:cs="Calibri" w:eastAsia="Calibri" w:hAnsi="Calibri"/>
          <w:color w:val="1E293B"/>
          <w:sz w:val="21"/>
          <w:szCs w:val="21"/>
        </w:rPr>
        <w:t xml:space="preserve">Ensure the GA4 integration toggle inside the Microsoft Clarity dashboard is turned ON to pass Clarity Playback URLs directly into GA4 exploration reports.</w:t>
      </w:r>
    </w:p>
    <w:p>
      <w:pPr>
        <w:spacing w:after="200" w:before="0"/>
      </w:pPr>
      <w:r>
        <w:rPr>
          <w:rFonts w:ascii="Calibri" w:cs="Calibri" w:eastAsia="Calibri" w:hAnsi="Calibri"/>
          <w:b w:val="false"/>
          <w:bCs w:val="false"/>
          <w:i w:val="false"/>
          <w:iCs w:val="false"/>
          <w:color w:val="1E293B"/>
          <w:sz w:val="21"/>
          <w:szCs w:val="21"/>
        </w:rPr>
        <w:t xml:space="preserve"/>
      </w:r>
    </w:p>
    <w:p>
      <w:pPr>
        <w:pStyle w:val="Heading1"/>
        <w:spacing w:after="140" w:before="360"/>
      </w:pPr>
      <w:r>
        <w:rPr>
          <w:rFonts w:ascii="Calibri" w:cs="Calibri" w:eastAsia="Calibri" w:hAnsi="Calibri"/>
          <w:b/>
          <w:bCs/>
          <w:color w:val="0F172A"/>
          <w:sz w:val="32"/>
          <w:szCs w:val="32"/>
        </w:rPr>
        <w:t xml:space="preserve">4. Strategic MarTech Recommendations (B2B Agency Growth)</w:t>
      </w:r>
    </w:p>
    <w:p>
      <w:pPr>
        <w:spacing w:after="120" w:before="0"/>
      </w:pPr>
      <w:r>
        <w:rPr>
          <w:rFonts w:ascii="Calibri" w:cs="Calibri" w:eastAsia="Calibri" w:hAnsi="Calibri"/>
          <w:b w:val="false"/>
          <w:bCs w:val="false"/>
          <w:i w:val="false"/>
          <w:iCs w:val="false"/>
          <w:color w:val="1E293B"/>
          <w:sz w:val="21"/>
          <w:szCs w:val="21"/>
        </w:rPr>
        <w:t xml:space="preserve">For DigitalyMarket to function as a premier B2B Digital Marketing and Generative Engine Optimization (GEO) agency, the tracking infrastructure must reflect enterprise best practices. The following 7 integrations are strongly recommended:</w:t>
      </w:r>
    </w:p>
    <w:p>
      <w:pPr>
        <w:pStyle w:val="ListParagraph"/>
        <w:numPr>
          <w:ilvl w:val="0"/>
          <w:numId w:val="1"/>
        </w:numPr>
        <w:spacing w:after="80" w:before="40"/>
      </w:pPr>
      <w:r>
        <w:rPr>
          <w:rFonts w:ascii="Calibri" w:cs="Calibri" w:eastAsia="Calibri" w:hAnsi="Calibri"/>
          <w:b/>
          <w:bCs/>
          <w:color w:val="1E293B"/>
          <w:sz w:val="21"/>
          <w:szCs w:val="21"/>
        </w:rPr>
        <w:t xml:space="preserve">1. Google Consent Mode v2 (Urgent / Regulatory Compliance): </w:t>
      </w:r>
      <w:r>
        <w:rPr>
          <w:rFonts w:ascii="Calibri" w:cs="Calibri" w:eastAsia="Calibri" w:hAnsi="Calibri"/>
          <w:color w:val="1E293B"/>
          <w:sz w:val="21"/>
          <w:szCs w:val="21"/>
        </w:rPr>
        <w:t xml:space="preserve">Mandatory for Google Ads and GA4 under EU/EEA Digital Markets Act (DMA) compliance. Implementing Advanced Consent Mode allows Google tags to fire cookieless pings when consent is denied, recovering up to 65% of lost conversion data through Google's AI modeling.</w:t>
      </w:r>
    </w:p>
    <w:p>
      <w:pPr>
        <w:pStyle w:val="ListParagraph"/>
        <w:numPr>
          <w:ilvl w:val="0"/>
          <w:numId w:val="1"/>
        </w:numPr>
        <w:spacing w:after="80" w:before="40"/>
      </w:pPr>
      <w:r>
        <w:rPr>
          <w:rFonts w:ascii="Calibri" w:cs="Calibri" w:eastAsia="Calibri" w:hAnsi="Calibri"/>
          <w:b/>
          <w:bCs/>
          <w:color w:val="1E293B"/>
          <w:sz w:val="21"/>
          <w:szCs w:val="21"/>
        </w:rPr>
        <w:t xml:space="preserve">2. Meta Conversions API (CAPI): </w:t>
      </w:r>
      <w:r>
        <w:rPr>
          <w:rFonts w:ascii="Calibri" w:cs="Calibri" w:eastAsia="Calibri" w:hAnsi="Calibri"/>
          <w:color w:val="1E293B"/>
          <w:sz w:val="21"/>
          <w:szCs w:val="21"/>
        </w:rPr>
        <w:t xml:space="preserve">Bypasses browser-level cookie restrictions (Safari ITP, Brave, Firefox, and ad-blockers). Enables server-to-server lead transmission with high Event Match Quality (EMQ), lifting Meta ad attribution by 15-30%.</w:t>
      </w:r>
    </w:p>
    <w:p>
      <w:pPr>
        <w:pStyle w:val="ListParagraph"/>
        <w:numPr>
          <w:ilvl w:val="0"/>
          <w:numId w:val="1"/>
        </w:numPr>
        <w:spacing w:after="80" w:before="40"/>
      </w:pPr>
      <w:r>
        <w:rPr>
          <w:rFonts w:ascii="Calibri" w:cs="Calibri" w:eastAsia="Calibri" w:hAnsi="Calibri"/>
          <w:b/>
          <w:bCs/>
          <w:color w:val="1E293B"/>
          <w:sz w:val="21"/>
          <w:szCs w:val="21"/>
        </w:rPr>
        <w:t xml:space="preserve">3. LinkedIn Insight Tag &amp; LinkedIn Conversions API: </w:t>
      </w:r>
      <w:r>
        <w:rPr>
          <w:rFonts w:ascii="Calibri" w:cs="Calibri" w:eastAsia="Calibri" w:hAnsi="Calibri"/>
          <w:color w:val="1E293B"/>
          <w:sz w:val="21"/>
          <w:szCs w:val="21"/>
        </w:rPr>
        <w:t xml:space="preserve">DigitalyMarket targets high-ticket B2B clients, manufacturing firms, and corporate leaders. The LinkedIn Insight Tag provides unmatched B2B demographic reporting (Job Function, Seniority, Company Size, Industry) and empowers precision retargeting of decision-makers.</w:t>
      </w:r>
    </w:p>
    <w:p>
      <w:pPr>
        <w:pStyle w:val="ListParagraph"/>
        <w:numPr>
          <w:ilvl w:val="0"/>
          <w:numId w:val="1"/>
        </w:numPr>
        <w:spacing w:after="80" w:before="40"/>
      </w:pPr>
      <w:r>
        <w:rPr>
          <w:rFonts w:ascii="Calibri" w:cs="Calibri" w:eastAsia="Calibri" w:hAnsi="Calibri"/>
          <w:b/>
          <w:bCs/>
          <w:color w:val="1E293B"/>
          <w:sz w:val="21"/>
          <w:szCs w:val="21"/>
        </w:rPr>
        <w:t xml:space="preserve">4. Google Ads Enhanced Conversions for Leads: </w:t>
      </w:r>
      <w:r>
        <w:rPr>
          <w:rFonts w:ascii="Calibri" w:cs="Calibri" w:eastAsia="Calibri" w:hAnsi="Calibri"/>
          <w:color w:val="1E293B"/>
          <w:sz w:val="21"/>
          <w:szCs w:val="21"/>
        </w:rPr>
        <w:t xml:space="preserve">Allows the transmission of hashed first-party user data (SHA-256 encrypted email and phone number) captured on form submission. This directly enhances Google's conversion matching accuracy, especially across cross-device searches.</w:t>
      </w:r>
    </w:p>
    <w:p>
      <w:pPr>
        <w:pStyle w:val="ListParagraph"/>
        <w:numPr>
          <w:ilvl w:val="0"/>
          <w:numId w:val="1"/>
        </w:numPr>
        <w:spacing w:after="80" w:before="40"/>
      </w:pPr>
      <w:r>
        <w:rPr>
          <w:rFonts w:ascii="Calibri" w:cs="Calibri" w:eastAsia="Calibri" w:hAnsi="Calibri"/>
          <w:b/>
          <w:bCs/>
          <w:color w:val="1E293B"/>
          <w:sz w:val="21"/>
          <w:szCs w:val="21"/>
        </w:rPr>
        <w:t xml:space="preserve">5. B2B Account Deanonymization / Intent Tracking: </w:t>
      </w:r>
      <w:r>
        <w:rPr>
          <w:rFonts w:ascii="Calibri" w:cs="Calibri" w:eastAsia="Calibri" w:hAnsi="Calibri"/>
          <w:color w:val="1E293B"/>
          <w:sz w:val="21"/>
          <w:szCs w:val="21"/>
        </w:rPr>
        <w:t xml:space="preserve">Integrating an IP-to-company intelligence tool (e.g., Factors.ai, Albacross, Snitcher, or 6sense) reveals which corporate domain names are visiting the website, reading service pages, and researching GEO/SEO before they ever fill out a form.</w:t>
      </w:r>
    </w:p>
    <w:p>
      <w:pPr>
        <w:pStyle w:val="ListParagraph"/>
        <w:numPr>
          <w:ilvl w:val="0"/>
          <w:numId w:val="1"/>
        </w:numPr>
        <w:spacing w:after="80" w:before="40"/>
      </w:pPr>
      <w:r>
        <w:rPr>
          <w:rFonts w:ascii="Calibri" w:cs="Calibri" w:eastAsia="Calibri" w:hAnsi="Calibri"/>
          <w:b/>
          <w:bCs/>
          <w:color w:val="1E293B"/>
          <w:sz w:val="21"/>
          <w:szCs w:val="21"/>
        </w:rPr>
        <w:t xml:space="preserve">6. Microsoft Advertising (Bing UET) Tag: </w:t>
      </w:r>
      <w:r>
        <w:rPr>
          <w:rFonts w:ascii="Calibri" w:cs="Calibri" w:eastAsia="Calibri" w:hAnsi="Calibri"/>
          <w:color w:val="1E293B"/>
          <w:sz w:val="21"/>
          <w:szCs w:val="21"/>
        </w:rPr>
        <w:t xml:space="preserve">Corporate decision-makers, IT managers, and enterprise buyers frequently use default Edge/Bing environments on workplace computers. Bing Ads typically delivers lower CPAs for B2B search traffic.</w:t>
      </w:r>
    </w:p>
    <w:p>
      <w:pPr>
        <w:pStyle w:val="ListParagraph"/>
        <w:numPr>
          <w:ilvl w:val="0"/>
          <w:numId w:val="1"/>
        </w:numPr>
        <w:spacing w:after="80" w:before="40"/>
      </w:pPr>
      <w:r>
        <w:rPr>
          <w:rFonts w:ascii="Calibri" w:cs="Calibri" w:eastAsia="Calibri" w:hAnsi="Calibri"/>
          <w:b/>
          <w:bCs/>
          <w:color w:val="1E293B"/>
          <w:sz w:val="21"/>
          <w:szCs w:val="21"/>
        </w:rPr>
        <w:t xml:space="preserve">7. Standardized Custom Event Taxonomy: </w:t>
      </w:r>
      <w:r>
        <w:rPr>
          <w:rFonts w:ascii="Calibri" w:cs="Calibri" w:eastAsia="Calibri" w:hAnsi="Calibri"/>
          <w:color w:val="1E293B"/>
          <w:sz w:val="21"/>
          <w:szCs w:val="21"/>
        </w:rPr>
        <w:t xml:space="preserve">Deploying a rigorous event hierarchy for all client touchpoints: form submissions, WhatsApp initiations, phone clicks, consultation bookings, and case study interactions.</w:t>
      </w:r>
    </w:p>
    <w:p>
      <w:pPr>
        <w:spacing w:after="200" w:before="0"/>
      </w:pPr>
      <w:r>
        <w:rPr>
          <w:rFonts w:ascii="Calibri" w:cs="Calibri" w:eastAsia="Calibri" w:hAnsi="Calibri"/>
          <w:b w:val="false"/>
          <w:bCs w:val="false"/>
          <w:i w:val="false"/>
          <w:iCs w:val="false"/>
          <w:color w:val="1E293B"/>
          <w:sz w:val="21"/>
          <w:szCs w:val="21"/>
        </w:rPr>
        <w:t xml:space="preserve"/>
      </w:r>
    </w:p>
    <w:p>
      <w:pPr>
        <w:pStyle w:val="Heading1"/>
        <w:spacing w:after="140" w:before="360"/>
      </w:pPr>
      <w:r>
        <w:rPr>
          <w:rFonts w:ascii="Calibri" w:cs="Calibri" w:eastAsia="Calibri" w:hAnsi="Calibri"/>
          <w:b/>
          <w:bCs/>
          <w:color w:val="0F172A"/>
          <w:sz w:val="32"/>
          <w:szCs w:val="32"/>
        </w:rPr>
        <w:t xml:space="preserve">5. Recommended Event Tracking Taxonomy &amp; Data Layer Specs</w:t>
      </w:r>
    </w:p>
    <w:p>
      <w:pPr>
        <w:spacing w:after="120" w:before="0"/>
      </w:pPr>
      <w:r>
        <w:rPr>
          <w:rFonts w:ascii="Calibri" w:cs="Calibri" w:eastAsia="Calibri" w:hAnsi="Calibri"/>
          <w:b w:val="false"/>
          <w:bCs w:val="false"/>
          <w:i w:val="false"/>
          <w:iCs w:val="false"/>
          <w:color w:val="1E293B"/>
          <w:sz w:val="21"/>
          <w:szCs w:val="21"/>
        </w:rPr>
        <w:t xml:space="preserve">The following standardized events must be implemented across GTM, GA4, Meta, and Google Ads: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257"/>
        <w:gridCol w:w="2257"/>
        <w:gridCol w:w="2257"/>
        <w:gridCol w:w="2257"/>
      </w:tblGrid>
      <w:tr>
        <w:tc>
          <w:tcPr>
            <w:tcW w:type="pct" w:w="1250"/>
            <w:shd w:fill="1E293B" w:val="clear"/>
            <w:tcMar>
              <w:top w:type="dxa" w:w="140"/>
              <w:left w:type="dxa" w:w="160"/>
              <w:bottom w:type="dxa" w:w="140"/>
              <w:right w:type="dxa" w:w="160"/>
            </w:tcMar>
          </w:tcPr>
          <w:p>
            <w:pPr>
              <w:jc w:val="start"/>
            </w:pPr>
            <w:r>
              <w:rPr>
                <w:rFonts w:ascii="Calibri" w:cs="Calibri" w:eastAsia="Calibri" w:hAnsi="Calibri"/>
                <w:b/>
                <w:bCs/>
                <w:color w:val="FFFFFF"/>
                <w:sz w:val="20"/>
                <w:szCs w:val="20"/>
              </w:rPr>
              <w:t xml:space="preserve">Event Name</w:t>
            </w:r>
          </w:p>
        </w:tc>
        <w:tc>
          <w:tcPr>
            <w:tcW w:type="pct" w:w="1250"/>
            <w:shd w:fill="1E293B" w:val="clear"/>
            <w:tcMar>
              <w:top w:type="dxa" w:w="140"/>
              <w:left w:type="dxa" w:w="160"/>
              <w:bottom w:type="dxa" w:w="140"/>
              <w:right w:type="dxa" w:w="160"/>
            </w:tcMar>
          </w:tcPr>
          <w:p>
            <w:pPr>
              <w:jc w:val="start"/>
            </w:pPr>
            <w:r>
              <w:rPr>
                <w:rFonts w:ascii="Calibri" w:cs="Calibri" w:eastAsia="Calibri" w:hAnsi="Calibri"/>
                <w:b/>
                <w:bCs/>
                <w:color w:val="FFFFFF"/>
                <w:sz w:val="20"/>
                <w:szCs w:val="20"/>
              </w:rPr>
              <w:t xml:space="preserve">Trigger Condition</w:t>
            </w:r>
          </w:p>
        </w:tc>
        <w:tc>
          <w:tcPr>
            <w:tcW w:type="pct" w:w="1250"/>
            <w:shd w:fill="1E293B" w:val="clear"/>
            <w:tcMar>
              <w:top w:type="dxa" w:w="140"/>
              <w:left w:type="dxa" w:w="160"/>
              <w:bottom w:type="dxa" w:w="140"/>
              <w:right w:type="dxa" w:w="160"/>
            </w:tcMar>
          </w:tcPr>
          <w:p>
            <w:pPr>
              <w:jc w:val="start"/>
            </w:pPr>
            <w:r>
              <w:rPr>
                <w:rFonts w:ascii="Calibri" w:cs="Calibri" w:eastAsia="Calibri" w:hAnsi="Calibri"/>
                <w:b/>
                <w:bCs/>
                <w:color w:val="FFFFFF"/>
                <w:sz w:val="20"/>
                <w:szCs w:val="20"/>
              </w:rPr>
              <w:t xml:space="preserve">Required Parameters</w:t>
            </w:r>
          </w:p>
        </w:tc>
        <w:tc>
          <w:tcPr>
            <w:tcW w:type="pct" w:w="1250"/>
            <w:shd w:fill="1E293B" w:val="clear"/>
            <w:tcMar>
              <w:top w:type="dxa" w:w="140"/>
              <w:left w:type="dxa" w:w="160"/>
              <w:bottom w:type="dxa" w:w="140"/>
              <w:right w:type="dxa" w:w="160"/>
            </w:tcMar>
          </w:tcPr>
          <w:p>
            <w:pPr>
              <w:jc w:val="start"/>
            </w:pPr>
            <w:r>
              <w:rPr>
                <w:rFonts w:ascii="Calibri" w:cs="Calibri" w:eastAsia="Calibri" w:hAnsi="Calibri"/>
                <w:b/>
                <w:bCs/>
                <w:color w:val="FFFFFF"/>
                <w:sz w:val="20"/>
                <w:szCs w:val="20"/>
              </w:rPr>
              <w:t xml:space="preserve">Destination Platforms</w:t>
            </w:r>
          </w:p>
        </w:tc>
      </w:tr>
      <w:tr>
        <w:tc>
          <w:tcPr>
            <w:tcW w:type="pct" w:w="125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generate_lead</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Contact form submission success / Thank-you state</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form_id, service_interest, lead_type</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bCs/>
                <w:color w:val="2563EB"/>
                <w:sz w:val="19"/>
                <w:szCs w:val="19"/>
              </w:rPr>
              <w:t xml:space="preserve">GA4 (Key Event), Google Ads (Primary), Meta (Lead), LinkedIn</w:t>
            </w:r>
          </w:p>
        </w:tc>
      </w:tr>
      <w:tr>
        <w:tc>
          <w:tcPr>
            <w:tcW w:type="pct" w:w="1250"/>
            <w:shd w:fill="F8FAFC"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click_whatsapp</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Click on any WhatsApp chat link or floating button</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link_url, page_location, button_location</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GA4 (Key Event), Meta (Contact), Google Ads (Secondary)</w:t>
            </w:r>
          </w:p>
        </w:tc>
      </w:tr>
      <w:tr>
        <w:tc>
          <w:tcPr>
            <w:tcW w:type="pct" w:w="125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click_to_call</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Click on phone number (href^='tel:')</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phone_number, page_location</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GA4, Google Ads Call Conversion</w:t>
            </w:r>
          </w:p>
        </w:tc>
      </w:tr>
      <w:tr>
        <w:tc>
          <w:tcPr>
            <w:tcW w:type="pct" w:w="1250"/>
            <w:shd w:fill="F8FAFC"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book_consultation</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Calendly / meeting embed appointment confirmed</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meeting_type, appointment_date</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bCs/>
                <w:color w:val="2563EB"/>
                <w:sz w:val="19"/>
                <w:szCs w:val="19"/>
              </w:rPr>
              <w:t xml:space="preserve">GA4 (Key Event), Google Ads, Meta (Schedule)</w:t>
            </w:r>
          </w:p>
        </w:tc>
      </w:tr>
      <w:tr>
        <w:tc>
          <w:tcPr>
            <w:tcW w:type="pct" w:w="1250"/>
            <w:shd w:fill="FFFFFF"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download_case_study</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Download of PDF case study or whitepaper</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file_name, file_extension, asset_topic</w:t>
            </w:r>
          </w:p>
        </w:tc>
        <w:tc>
          <w:tcPr>
            <w:tcW w:type="pct" w:w="1250"/>
            <w:shd w:fill="FFFFFF"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GA4, Meta (ViewContent)</w:t>
            </w:r>
          </w:p>
        </w:tc>
      </w:tr>
      <w:tr>
        <w:tc>
          <w:tcPr>
            <w:tcW w:type="pct" w:w="1250"/>
            <w:shd w:fill="F8FAFC" w:val="clear"/>
            <w:tcMar>
              <w:top w:type="dxa" w:w="120"/>
              <w:left w:type="dxa" w:w="160"/>
              <w:bottom w:type="dxa" w:w="120"/>
              <w:right w:type="dxa" w:w="160"/>
            </w:tcMar>
          </w:tcPr>
          <w:p>
            <w:pPr>
              <w:jc w:val="start"/>
            </w:pPr>
            <w:r>
              <w:rPr>
                <w:rFonts w:ascii="Calibri" w:cs="Calibri" w:eastAsia="Calibri" w:hAnsi="Calibri"/>
                <w:b/>
                <w:bCs/>
                <w:color w:val="1E293B"/>
                <w:sz w:val="19"/>
                <w:szCs w:val="19"/>
              </w:rPr>
              <w:t xml:space="preserve">scroll_deep</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User reaches 75% and 90% scroll depth on case study/service page</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depth_threshold, page_title</w:t>
            </w:r>
          </w:p>
        </w:tc>
        <w:tc>
          <w:tcPr>
            <w:tcW w:type="pct" w:w="1250"/>
            <w:shd w:fill="F8FAFC" w:val="clear"/>
            <w:tcMar>
              <w:top w:type="dxa" w:w="120"/>
              <w:left w:type="dxa" w:w="160"/>
              <w:bottom w:type="dxa" w:w="120"/>
              <w:right w:type="dxa" w:w="160"/>
            </w:tcMar>
          </w:tcPr>
          <w:p>
            <w:pPr>
              <w:jc w:val="start"/>
            </w:pPr>
            <w:r>
              <w:rPr>
                <w:rFonts w:ascii="Calibri" w:cs="Calibri" w:eastAsia="Calibri" w:hAnsi="Calibri"/>
                <w:b w:val="false"/>
                <w:bCs w:val="false"/>
                <w:color w:val="1E293B"/>
                <w:sz w:val="19"/>
                <w:szCs w:val="19"/>
              </w:rPr>
              <w:t xml:space="preserve">GA4 (Engagement)</w:t>
            </w:r>
          </w:p>
        </w:tc>
      </w:tr>
    </w:tbl>
    <w:p>
      <w:pPr>
        <w:spacing w:after="200" w:before="0"/>
      </w:pPr>
      <w:r>
        <w:rPr>
          <w:rFonts w:ascii="Calibri" w:cs="Calibri" w:eastAsia="Calibri" w:hAnsi="Calibri"/>
          <w:b w:val="false"/>
          <w:bCs w:val="false"/>
          <w:i w:val="false"/>
          <w:iCs w:val="false"/>
          <w:color w:val="1E293B"/>
          <w:sz w:val="21"/>
          <w:szCs w:val="21"/>
        </w:rPr>
        <w:t xml:space="preserve"/>
      </w:r>
    </w:p>
    <w:p>
      <w:pPr>
        <w:pStyle w:val="Heading1"/>
        <w:spacing w:after="140" w:before="360"/>
      </w:pPr>
      <w:r>
        <w:rPr>
          <w:rFonts w:ascii="Calibri" w:cs="Calibri" w:eastAsia="Calibri" w:hAnsi="Calibri"/>
          <w:b/>
          <w:bCs/>
          <w:color w:val="0F172A"/>
          <w:sz w:val="32"/>
          <w:szCs w:val="32"/>
        </w:rPr>
        <w:t xml:space="preserve">6. Step-by-Step Remediation &amp; Execution Plan</w:t>
      </w:r>
    </w:p>
    <w:p>
      <w:pPr>
        <w:spacing w:after="120" w:before="0"/>
      </w:pPr>
      <w:r>
        <w:rPr>
          <w:rFonts w:ascii="Calibri" w:cs="Calibri" w:eastAsia="Calibri" w:hAnsi="Calibri"/>
          <w:b w:val="false"/>
          <w:bCs w:val="false"/>
          <w:i w:val="false"/>
          <w:iCs w:val="false"/>
          <w:color w:val="1E293B"/>
          <w:sz w:val="21"/>
          <w:szCs w:val="21"/>
        </w:rPr>
        <w:t xml:space="preserve">To correct the current tracking anomalies and elevate DigitalyMarket's analytics stack, follow this phased action plan:</w:t>
      </w:r>
    </w:p>
    <w:p>
      <w:pPr>
        <w:pStyle w:val="Heading2"/>
        <w:spacing w:after="100" w:before="260"/>
      </w:pPr>
      <w:r>
        <w:rPr>
          <w:rFonts w:ascii="Calibri" w:cs="Calibri" w:eastAsia="Calibri" w:hAnsi="Calibri"/>
          <w:b/>
          <w:bCs/>
          <w:color w:val="2563EB"/>
          <w:sz w:val="26"/>
          <w:szCs w:val="26"/>
        </w:rPr>
        <w:t xml:space="preserve">Phase 1: Emergency Bug Fixes (Immediate / 0-24 Hours)</w:t>
      </w:r>
    </w:p>
    <w:p>
      <w:pPr>
        <w:pStyle w:val="ListParagraph"/>
        <w:numPr>
          <w:ilvl w:val="0"/>
          <w:numId w:val="1"/>
        </w:numPr>
        <w:spacing w:after="80" w:before="40"/>
      </w:pPr>
      <w:r>
        <w:rPr>
          <w:rFonts w:ascii="Calibri" w:cs="Calibri" w:eastAsia="Calibri" w:hAnsi="Calibri"/>
          <w:b/>
          <w:bCs/>
          <w:color w:val="1E293B"/>
          <w:sz w:val="21"/>
          <w:szCs w:val="21"/>
        </w:rPr>
        <w:t xml:space="preserve">Step 1.1: Disconnect Google Ads Conversion from All Pages: </w:t>
      </w:r>
      <w:r>
        <w:rPr>
          <w:rFonts w:ascii="Calibri" w:cs="Calibri" w:eastAsia="Calibri" w:hAnsi="Calibri"/>
          <w:color w:val="1E293B"/>
          <w:sz w:val="21"/>
          <w:szCs w:val="21"/>
        </w:rPr>
        <w:t xml:space="preserve">In Google Tag Manager, locate Tag ID 6 (__awct). Immediately remove 'All Pages' (Rule 1) from its Firing Triggers. Do not republish until a dedicated form submission trigger is created.</w:t>
      </w:r>
    </w:p>
    <w:p>
      <w:pPr>
        <w:pStyle w:val="ListParagraph"/>
        <w:numPr>
          <w:ilvl w:val="0"/>
          <w:numId w:val="1"/>
        </w:numPr>
        <w:spacing w:after="80" w:before="40"/>
      </w:pPr>
      <w:r>
        <w:rPr>
          <w:rFonts w:ascii="Calibri" w:cs="Calibri" w:eastAsia="Calibri" w:hAnsi="Calibri"/>
          <w:b/>
          <w:bCs/>
          <w:color w:val="1E293B"/>
          <w:sz w:val="21"/>
          <w:szCs w:val="21"/>
        </w:rPr>
        <w:t xml:space="preserve">Step 1.2: Consolidate Meta Pixels: </w:t>
      </w:r>
      <w:r>
        <w:rPr>
          <w:rFonts w:ascii="Calibri" w:cs="Calibri" w:eastAsia="Calibri" w:hAnsi="Calibri"/>
          <w:color w:val="1E293B"/>
          <w:sz w:val="21"/>
          <w:szCs w:val="21"/>
        </w:rPr>
        <w:t xml:space="preserve">Determine which Meta Business Ad Account is primary. If Pixel 1791505495459296 (in GTM) is the official account, remove the hardcoded &lt;script&gt; and &lt;noscript&gt; for Pixel 1615445166763879 from index.html. If 1615445166763879 is preferred, delete Tag ID 10 from GTM.</w:t>
      </w:r>
    </w:p>
    <w:p>
      <w:pPr>
        <w:pStyle w:val="ListParagraph"/>
        <w:numPr>
          <w:ilvl w:val="0"/>
          <w:numId w:val="1"/>
        </w:numPr>
        <w:spacing w:after="80" w:before="40"/>
      </w:pPr>
      <w:r>
        <w:rPr>
          <w:rFonts w:ascii="Calibri" w:cs="Calibri" w:eastAsia="Calibri" w:hAnsi="Calibri"/>
          <w:b/>
          <w:bCs/>
          <w:color w:val="1E293B"/>
          <w:sz w:val="21"/>
          <w:szCs w:val="21"/>
        </w:rPr>
        <w:t xml:space="preserve">Step 1.3: Publish Emergency GTM Version: </w:t>
      </w:r>
      <w:r>
        <w:rPr>
          <w:rFonts w:ascii="Calibri" w:cs="Calibri" w:eastAsia="Calibri" w:hAnsi="Calibri"/>
          <w:color w:val="1E293B"/>
          <w:sz w:val="21"/>
          <w:szCs w:val="21"/>
        </w:rPr>
        <w:t xml:space="preserve">Submit and publish container version to instantly stop bad conversion signals to Google Ads.</w:t>
      </w:r>
    </w:p>
    <w:p>
      <w:pPr>
        <w:pStyle w:val="Heading2"/>
        <w:spacing w:after="100" w:before="260"/>
      </w:pPr>
      <w:r>
        <w:rPr>
          <w:rFonts w:ascii="Calibri" w:cs="Calibri" w:eastAsia="Calibri" w:hAnsi="Calibri"/>
          <w:b/>
          <w:bCs/>
          <w:color w:val="2563EB"/>
          <w:sz w:val="26"/>
          <w:szCs w:val="26"/>
        </w:rPr>
        <w:t xml:space="preserve">Phase 2: Event Tracking &amp; Conversions (Days 1-3)</w:t>
      </w:r>
    </w:p>
    <w:p>
      <w:pPr>
        <w:pStyle w:val="ListParagraph"/>
        <w:numPr>
          <w:ilvl w:val="0"/>
          <w:numId w:val="1"/>
        </w:numPr>
        <w:spacing w:after="80" w:before="40"/>
      </w:pPr>
      <w:r>
        <w:rPr>
          <w:rFonts w:ascii="Calibri" w:cs="Calibri" w:eastAsia="Calibri" w:hAnsi="Calibri"/>
          <w:b/>
          <w:bCs/>
          <w:color w:val="1E293B"/>
          <w:sz w:val="21"/>
          <w:szCs w:val="21"/>
        </w:rPr>
        <w:t xml:space="preserve">Step 2.1: Implement Form Submission Trigger: </w:t>
      </w:r>
      <w:r>
        <w:rPr>
          <w:rFonts w:ascii="Calibri" w:cs="Calibri" w:eastAsia="Calibri" w:hAnsi="Calibri"/>
          <w:color w:val="1E293B"/>
          <w:sz w:val="21"/>
          <w:szCs w:val="21"/>
        </w:rPr>
        <w:t xml:space="preserve">Create a Custom Event Trigger in GTM for 'lead_submitted' or a Form Submission element visibility trigger for the contact form.</w:t>
      </w:r>
    </w:p>
    <w:p>
      <w:pPr>
        <w:pStyle w:val="ListParagraph"/>
        <w:numPr>
          <w:ilvl w:val="0"/>
          <w:numId w:val="1"/>
        </w:numPr>
        <w:spacing w:after="80" w:before="40"/>
      </w:pPr>
      <w:r>
        <w:rPr>
          <w:rFonts w:ascii="Calibri" w:cs="Calibri" w:eastAsia="Calibri" w:hAnsi="Calibri"/>
          <w:b/>
          <w:bCs/>
          <w:color w:val="1E293B"/>
          <w:sz w:val="21"/>
          <w:szCs w:val="21"/>
        </w:rPr>
        <w:t xml:space="preserve">Step 2.2: Reconnect Google Ads Conversion Tag: </w:t>
      </w:r>
      <w:r>
        <w:rPr>
          <w:rFonts w:ascii="Calibri" w:cs="Calibri" w:eastAsia="Calibri" w:hAnsi="Calibri"/>
          <w:color w:val="1E293B"/>
          <w:sz w:val="21"/>
          <w:szCs w:val="21"/>
        </w:rPr>
        <w:t xml:space="preserve">Attach Tag ID 6 exclusively to the new Form Submission trigger. Test via GTM Preview Mode.</w:t>
      </w:r>
    </w:p>
    <w:p>
      <w:pPr>
        <w:pStyle w:val="ListParagraph"/>
        <w:numPr>
          <w:ilvl w:val="0"/>
          <w:numId w:val="1"/>
        </w:numPr>
        <w:spacing w:after="80" w:before="40"/>
      </w:pPr>
      <w:r>
        <w:rPr>
          <w:rFonts w:ascii="Calibri" w:cs="Calibri" w:eastAsia="Calibri" w:hAnsi="Calibri"/>
          <w:b/>
          <w:bCs/>
          <w:color w:val="1E293B"/>
          <w:sz w:val="21"/>
          <w:szCs w:val="21"/>
        </w:rPr>
        <w:t xml:space="preserve">Step 2.3: Build GA4 Lead Event Tag: </w:t>
      </w:r>
      <w:r>
        <w:rPr>
          <w:rFonts w:ascii="Calibri" w:cs="Calibri" w:eastAsia="Calibri" w:hAnsi="Calibri"/>
          <w:color w:val="1E293B"/>
          <w:sz w:val="21"/>
          <w:szCs w:val="21"/>
        </w:rPr>
        <w:t xml:space="preserve">Create a GA4 Event Tag with Event Name 'generate_lead', triggered by the form submission. Mark 'generate_lead' as a Key Event inside GA4 admin.</w:t>
      </w:r>
    </w:p>
    <w:p>
      <w:pPr>
        <w:pStyle w:val="ListParagraph"/>
        <w:numPr>
          <w:ilvl w:val="0"/>
          <w:numId w:val="1"/>
        </w:numPr>
        <w:spacing w:after="80" w:before="40"/>
      </w:pPr>
      <w:r>
        <w:rPr>
          <w:rFonts w:ascii="Calibri" w:cs="Calibri" w:eastAsia="Calibri" w:hAnsi="Calibri"/>
          <w:b/>
          <w:bCs/>
          <w:color w:val="1E293B"/>
          <w:sz w:val="21"/>
          <w:szCs w:val="21"/>
        </w:rPr>
        <w:t xml:space="preserve">Step 2.4: Configure WhatsApp &amp; Click-to-Call Triggers: </w:t>
      </w:r>
      <w:r>
        <w:rPr>
          <w:rFonts w:ascii="Calibri" w:cs="Calibri" w:eastAsia="Calibri" w:hAnsi="Calibri"/>
          <w:color w:val="1E293B"/>
          <w:sz w:val="21"/>
          <w:szCs w:val="21"/>
        </w:rPr>
        <w:t xml:space="preserve">Create Click Triggers targeting 'Click URL contains api.whatsapp.com' and 'Click URL starts with tel:'. Fire corresponding GA4 and Meta events.</w:t>
      </w:r>
    </w:p>
    <w:p>
      <w:pPr>
        <w:pStyle w:val="Heading2"/>
        <w:spacing w:after="100" w:before="260"/>
      </w:pPr>
      <w:r>
        <w:rPr>
          <w:rFonts w:ascii="Calibri" w:cs="Calibri" w:eastAsia="Calibri" w:hAnsi="Calibri"/>
          <w:b/>
          <w:bCs/>
          <w:color w:val="2563EB"/>
          <w:sz w:val="26"/>
          <w:szCs w:val="26"/>
        </w:rPr>
        <w:t xml:space="preserve">Phase 3: Advanced B2B Tracking &amp; Compliance (Days 4-7)</w:t>
      </w:r>
    </w:p>
    <w:p>
      <w:pPr>
        <w:pStyle w:val="ListParagraph"/>
        <w:numPr>
          <w:ilvl w:val="0"/>
          <w:numId w:val="1"/>
        </w:numPr>
        <w:spacing w:after="80" w:before="40"/>
      </w:pPr>
      <w:r>
        <w:rPr>
          <w:rFonts w:ascii="Calibri" w:cs="Calibri" w:eastAsia="Calibri" w:hAnsi="Calibri"/>
          <w:b/>
          <w:bCs/>
          <w:color w:val="1E293B"/>
          <w:sz w:val="21"/>
          <w:szCs w:val="21"/>
        </w:rPr>
        <w:t xml:space="preserve">Step 3.1: Enable Enhanced Conversions: </w:t>
      </w:r>
      <w:r>
        <w:rPr>
          <w:rFonts w:ascii="Calibri" w:cs="Calibri" w:eastAsia="Calibri" w:hAnsi="Calibri"/>
          <w:color w:val="1E293B"/>
          <w:sz w:val="21"/>
          <w:szCs w:val="21"/>
        </w:rPr>
        <w:t xml:space="preserve">In Google Ads and GTM Tag ID 6, enable User-Provided Data. Capture the email input variable and pass it with automatic SHA-256 hashing.</w:t>
      </w:r>
    </w:p>
    <w:p>
      <w:pPr>
        <w:pStyle w:val="ListParagraph"/>
        <w:numPr>
          <w:ilvl w:val="0"/>
          <w:numId w:val="1"/>
        </w:numPr>
        <w:spacing w:after="80" w:before="40"/>
      </w:pPr>
      <w:r>
        <w:rPr>
          <w:rFonts w:ascii="Calibri" w:cs="Calibri" w:eastAsia="Calibri" w:hAnsi="Calibri"/>
          <w:b/>
          <w:bCs/>
          <w:color w:val="1E293B"/>
          <w:sz w:val="21"/>
          <w:szCs w:val="21"/>
        </w:rPr>
        <w:t xml:space="preserve">Step 3.2: Implement Cookiebot / OneTrust for Consent Mode v2: </w:t>
      </w:r>
      <w:r>
        <w:rPr>
          <w:rFonts w:ascii="Calibri" w:cs="Calibri" w:eastAsia="Calibri" w:hAnsi="Calibri"/>
          <w:color w:val="1E293B"/>
          <w:sz w:val="21"/>
          <w:szCs w:val="21"/>
        </w:rPr>
        <w:t xml:space="preserve">Install a certified Consent Management Platform (CMP). Configure default consent states to 'denied' and update on user grant.</w:t>
      </w:r>
    </w:p>
    <w:p>
      <w:pPr>
        <w:pStyle w:val="ListParagraph"/>
        <w:numPr>
          <w:ilvl w:val="0"/>
          <w:numId w:val="1"/>
        </w:numPr>
        <w:spacing w:after="80" w:before="40"/>
      </w:pPr>
      <w:r>
        <w:rPr>
          <w:rFonts w:ascii="Calibri" w:cs="Calibri" w:eastAsia="Calibri" w:hAnsi="Calibri"/>
          <w:b/>
          <w:bCs/>
          <w:color w:val="1E293B"/>
          <w:sz w:val="21"/>
          <w:szCs w:val="21"/>
        </w:rPr>
        <w:t xml:space="preserve">Step 3.3: Deploy LinkedIn Insight Tag: </w:t>
      </w:r>
      <w:r>
        <w:rPr>
          <w:rFonts w:ascii="Calibri" w:cs="Calibri" w:eastAsia="Calibri" w:hAnsi="Calibri"/>
          <w:color w:val="1E293B"/>
          <w:sz w:val="21"/>
          <w:szCs w:val="21"/>
        </w:rPr>
        <w:t xml:space="preserve">Add LinkedIn Insight Tag via GTM Community Template for corporate visitor demographics and retargeting.</w:t>
      </w:r>
    </w:p>
    <w:p>
      <w:pPr>
        <w:pStyle w:val="ListParagraph"/>
        <w:numPr>
          <w:ilvl w:val="0"/>
          <w:numId w:val="1"/>
        </w:numPr>
        <w:spacing w:after="80" w:before="40"/>
      </w:pPr>
      <w:r>
        <w:rPr>
          <w:rFonts w:ascii="Calibri" w:cs="Calibri" w:eastAsia="Calibri" w:hAnsi="Calibri"/>
          <w:b/>
          <w:bCs/>
          <w:color w:val="1E293B"/>
          <w:sz w:val="21"/>
          <w:szCs w:val="21"/>
        </w:rPr>
        <w:t xml:space="preserve">Step 3.4: Evaluate B2B Deanonymization (Factors.ai): </w:t>
      </w:r>
      <w:r>
        <w:rPr>
          <w:rFonts w:ascii="Calibri" w:cs="Calibri" w:eastAsia="Calibri" w:hAnsi="Calibri"/>
          <w:color w:val="1E293B"/>
          <w:sz w:val="21"/>
          <w:szCs w:val="21"/>
        </w:rPr>
        <w:t xml:space="preserve">Inject script for IP account tracking to supply the sales team with warm outbound intelligence.</w:t>
      </w:r>
    </w:p>
    <w:p>
      <w:pPr>
        <w:spacing w:after="200" w:before="0"/>
      </w:pPr>
      <w:r>
        <w:rPr>
          <w:rFonts w:ascii="Calibri" w:cs="Calibri" w:eastAsia="Calibri" w:hAnsi="Calibri"/>
          <w:b w:val="false"/>
          <w:bCs w:val="false"/>
          <w:i w:val="false"/>
          <w:iCs w:val="false"/>
          <w:color w:val="1E293B"/>
          <w:sz w:val="21"/>
          <w:szCs w:val="21"/>
        </w:rPr>
        <w:t xml:space="preserve"/>
      </w:r>
    </w:p>
    <w:p>
      <w:pPr>
        <w:pStyle w:val="Heading1"/>
        <w:spacing w:after="140" w:before="360"/>
      </w:pPr>
      <w:r>
        <w:rPr>
          <w:rFonts w:ascii="Calibri" w:cs="Calibri" w:eastAsia="Calibri" w:hAnsi="Calibri"/>
          <w:b/>
          <w:bCs/>
          <w:color w:val="0F172A"/>
          <w:sz w:val="32"/>
          <w:szCs w:val="32"/>
        </w:rPr>
        <w:t xml:space="preserve">7. Quality Assurance &amp; Verification Protocol</w:t>
      </w:r>
    </w:p>
    <w:p>
      <w:pPr>
        <w:spacing w:after="120" w:before="0"/>
      </w:pPr>
      <w:r>
        <w:rPr>
          <w:rFonts w:ascii="Calibri" w:cs="Calibri" w:eastAsia="Calibri" w:hAnsi="Calibri"/>
          <w:b w:val="false"/>
          <w:bCs w:val="false"/>
          <w:i w:val="false"/>
          <w:iCs w:val="false"/>
          <w:color w:val="1E293B"/>
          <w:sz w:val="21"/>
          <w:szCs w:val="21"/>
        </w:rPr>
        <w:t xml:space="preserve">Before signing off on the remediated stack, execute the following verification steps:</w:t>
      </w:r>
    </w:p>
    <w:p>
      <w:pPr>
        <w:pStyle w:val="ListParagraph"/>
        <w:numPr>
          <w:ilvl w:val="0"/>
          <w:numId w:val="1"/>
        </w:numPr>
        <w:spacing w:after="80" w:before="40"/>
      </w:pPr>
      <w:r>
        <w:rPr>
          <w:rFonts w:ascii="Calibri" w:cs="Calibri" w:eastAsia="Calibri" w:hAnsi="Calibri"/>
          <w:b/>
          <w:bCs/>
          <w:color w:val="1E293B"/>
          <w:sz w:val="21"/>
          <w:szCs w:val="21"/>
        </w:rPr>
        <w:t xml:space="preserve">1. Google Tag Assistant: </w:t>
      </w:r>
      <w:r>
        <w:rPr>
          <w:rFonts w:ascii="Calibri" w:cs="Calibri" w:eastAsia="Calibri" w:hAnsi="Calibri"/>
          <w:color w:val="1E293B"/>
          <w:sz w:val="21"/>
          <w:szCs w:val="21"/>
        </w:rPr>
        <w:t xml:space="preserve">Open https://tagassistant.google.com/. Verify that Tag ID 6 does NOT fire on page load and ONLY fires upon completing a real test form submission.</w:t>
      </w:r>
    </w:p>
    <w:p>
      <w:pPr>
        <w:pStyle w:val="ListParagraph"/>
        <w:numPr>
          <w:ilvl w:val="0"/>
          <w:numId w:val="1"/>
        </w:numPr>
        <w:spacing w:after="80" w:before="40"/>
      </w:pPr>
      <w:r>
        <w:rPr>
          <w:rFonts w:ascii="Calibri" w:cs="Calibri" w:eastAsia="Calibri" w:hAnsi="Calibri"/>
          <w:b/>
          <w:bCs/>
          <w:color w:val="1E293B"/>
          <w:sz w:val="21"/>
          <w:szCs w:val="21"/>
        </w:rPr>
        <w:t xml:space="preserve">2. Meta Pixel Helper Chrome Extension: </w:t>
      </w:r>
      <w:r>
        <w:rPr>
          <w:rFonts w:ascii="Calibri" w:cs="Calibri" w:eastAsia="Calibri" w:hAnsi="Calibri"/>
          <w:color w:val="1E293B"/>
          <w:sz w:val="21"/>
          <w:szCs w:val="21"/>
        </w:rPr>
        <w:t xml:space="preserve">Verify that exactly ONE Meta Pixel ID is detected, firing a single PageView on load, and firing 'Lead' only upon form submission.</w:t>
      </w:r>
    </w:p>
    <w:p>
      <w:pPr>
        <w:pStyle w:val="ListParagraph"/>
        <w:numPr>
          <w:ilvl w:val="0"/>
          <w:numId w:val="1"/>
        </w:numPr>
        <w:spacing w:after="80" w:before="40"/>
      </w:pPr>
      <w:r>
        <w:rPr>
          <w:rFonts w:ascii="Calibri" w:cs="Calibri" w:eastAsia="Calibri" w:hAnsi="Calibri"/>
          <w:b/>
          <w:bCs/>
          <w:color w:val="1E293B"/>
          <w:sz w:val="21"/>
          <w:szCs w:val="21"/>
        </w:rPr>
        <w:t xml:space="preserve">3. GA4 DebugView: </w:t>
      </w:r>
      <w:r>
        <w:rPr>
          <w:rFonts w:ascii="Calibri" w:cs="Calibri" w:eastAsia="Calibri" w:hAnsi="Calibri"/>
          <w:color w:val="1E293B"/>
          <w:sz w:val="21"/>
          <w:szCs w:val="21"/>
        </w:rPr>
        <w:t xml:space="preserve">In GA4 &gt; Admin &gt; DebugView, confirm real-time receipt of 'page_view', 'session_start', and 'generate_lead' events with correct custom parameters.</w:t>
      </w:r>
    </w:p>
    <w:p>
      <w:pPr>
        <w:pStyle w:val="ListParagraph"/>
        <w:numPr>
          <w:ilvl w:val="0"/>
          <w:numId w:val="1"/>
        </w:numPr>
        <w:spacing w:after="80" w:before="40"/>
      </w:pPr>
      <w:r>
        <w:rPr>
          <w:rFonts w:ascii="Calibri" w:cs="Calibri" w:eastAsia="Calibri" w:hAnsi="Calibri"/>
          <w:b/>
          <w:bCs/>
          <w:color w:val="1E293B"/>
          <w:sz w:val="21"/>
          <w:szCs w:val="21"/>
        </w:rPr>
        <w:t xml:space="preserve">4. Google Ads Status Column: </w:t>
      </w:r>
      <w:r>
        <w:rPr>
          <w:rFonts w:ascii="Calibri" w:cs="Calibri" w:eastAsia="Calibri" w:hAnsi="Calibri"/>
          <w:color w:val="1E293B"/>
          <w:sz w:val="21"/>
          <w:szCs w:val="21"/>
        </w:rPr>
        <w:t xml:space="preserve">Within 24-48 hours after remediation, verify in Google Ads &gt; Goals &gt; Conversions that the conversion action shows 'Active' with realistic conversion counts.</w:t>
      </w:r>
    </w:p>
    <w:p>
      <w:pPr>
        <w:spacing w:after="100" w:before="200"/>
      </w:pPr>
      <w:r>
        <w:rPr>
          <w:rFonts w:ascii="Calibri" w:cs="Calibri" w:eastAsia="Calibri" w:hAnsi="Calibri"/>
          <w:b w:val="false"/>
          <w:bCs w:val="false"/>
          <w:i w:val="false"/>
          <w:iCs w:val="false"/>
          <w:color w:val="1E293B"/>
          <w:sz w:val="21"/>
          <w:szCs w:val="21"/>
        </w:rPr>
        <w:t xml:space="preserve"/>
      </w:r>
    </w:p>
    <w:p>
      <w:pPr>
        <w:spacing w:after="120" w:before="0"/>
      </w:pPr>
      <w:r>
        <w:rPr>
          <w:rFonts w:ascii="Calibri" w:cs="Calibri" w:eastAsia="Calibri" w:hAnsi="Calibri"/>
          <w:b w:val="false"/>
          <w:bCs w:val="false"/>
          <w:i/>
          <w:iCs/>
          <w:color w:val="64748B"/>
          <w:sz w:val="21"/>
          <w:szCs w:val="21"/>
        </w:rPr>
        <w:t xml:space="preserve">Report prepared by: Antigravity Technical Marketing &amp; Analytics Team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both"/>
    </w:pPr>
    <w:r>
      <w:rPr>
        <w:rFonts w:ascii="Calibri" w:cs="Calibri" w:eastAsia="Calibri" w:hAnsi="Calibri"/>
        <w:color w:val="64748B"/>
        <w:sz w:val="16"/>
        <w:szCs w:val="16"/>
      </w:rPr>
      <w:t xml:space="preserve">Confidential | Prepared for DigitalyMarket Leadership</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PAGE</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NUMPAGES</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end"/>
    </w:pPr>
    <w:r>
      <w:rPr>
        <w:rFonts w:ascii="Calibri" w:cs="Calibri" w:eastAsia="Calibri" w:hAnsi="Calibri"/>
        <w:color w:val="64748B"/>
        <w:sz w:val="16"/>
        <w:szCs w:val="16"/>
      </w:rPr>
      <w:t xml:space="preserve">DigitalyMarket.com — Technical Tracking &amp; MarTech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2026-10-17T07:31:13.224Z</dcterms:created>
  <dcterms:modified xsi:type="dcterms:W3CDTF">2026-10-17T07:31:13.226Z</dcterms:modified>
</cp:coreProperties>
</file>

<file path=docProps/custom.xml><?xml version="1.0" encoding="utf-8"?>
<Properties xmlns="http://schemas.openxmlformats.org/officeDocument/2006/custom-properties" xmlns:vt="http://schemas.openxmlformats.org/officeDocument/2006/docPropsVTypes"/>
</file>