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5"/>
        <w:pBdr/>
        <w:spacing/>
        <w:ind/>
        <w:rPr/>
      </w:pPr>
      <w:r>
        <w:rPr>
          <w:rStyle w:val="696"/>
        </w:rPr>
        <w:t xml:space="preserve">10. Analiza ekonomske i vremenske izvedivosti</w:t>
      </w:r>
      <w:r/>
    </w:p>
    <w:p>
      <w:pPr>
        <w:pStyle w:val="697"/>
        <w:pBdr/>
        <w:spacing/>
        <w:ind/>
        <w:rPr/>
      </w:pPr>
      <w:r>
        <w:rPr>
          <w:rStyle w:val="698"/>
        </w:rPr>
        <w:t xml:space="preserve">10.1. Analiza ekonomske izvedivosti</w:t>
      </w:r>
      <w:r/>
    </w:p>
    <w:p>
      <w:pPr>
        <w:pStyle w:val="699"/>
        <w:pBdr/>
        <w:spacing/>
        <w:ind/>
        <w:rPr/>
      </w:pPr>
      <w:r>
        <w:rPr>
          <w:rStyle w:val="700"/>
        </w:rPr>
        <w:t xml:space="preserve">Analiza ekonomske izvedivosti projekta </w:t>
      </w:r>
      <w:r>
        <w:rPr>
          <w:rStyle w:val="701"/>
        </w:rPr>
        <w:t xml:space="preserve">DroneInspect</w:t>
      </w:r>
      <w:r>
        <w:rPr>
          <w:rStyle w:val="700"/>
        </w:rPr>
        <w:t xml:space="preserve"> ima za cilj utvrditi finansijsku opravdanost ulaganja u razvoj i uvođenje centralizovanog informacionog sistema za upravljanje tehničkim inspekcijama objekata pomoću dronova. Procjena se zasniva na analizi očekivanih troškova razvoja i održavanja sistema u odnosu na mjerljive (opipljive) i kvalitativne (neopipljive) poslovne koristi koje će kompanija ostvariti tokom trogodišnjeg perioda eksploatacije.</w:t>
      </w:r>
      <w:r/>
    </w:p>
    <w:p>
      <w:pPr>
        <w:pStyle w:val="699"/>
        <w:pBdr/>
        <w:spacing/>
        <w:ind/>
        <w:rPr/>
      </w:pPr>
      <w:r>
        <w:rPr>
          <w:rStyle w:val="700"/>
        </w:rPr>
        <w:t xml:space="preserve">U skladu s predloženom tehničkom arhitekturom (poglavlje 9), sistem se oslanja na postojeću </w:t>
      </w:r>
      <w:r>
        <w:rPr>
          <w:rStyle w:val="702"/>
        </w:rPr>
        <w:t xml:space="preserve">cloud</w:t>
      </w:r>
      <w:r>
        <w:rPr>
          <w:rStyle w:val="700"/>
        </w:rPr>
        <w:t xml:space="preserve"> infrastrukturu (smještaj web aplikacije, PostgreSQL baze podataka i pohrana multimedijalnih datoteka putem servisa poput Azure Blob Storage ili Amazon S3) te integraciju postojećeg AI servisa za preliminarnu kategorizaciju oštećenja. Takav pristup značajno smanjuje početne kapitalne izdatke jer eliminiše potrebu za kupovinom vlastitih fizičkih servera i skupim treniranjem vlastitog modela vještačke inteligencije od početka.</w:t>
      </w:r>
      <w:r/>
    </w:p>
    <w:p>
      <w:pPr>
        <w:pStyle w:val="703"/>
        <w:pBdr/>
        <w:spacing/>
        <w:ind/>
        <w:rPr/>
      </w:pPr>
      <w:r>
        <w:rPr>
          <w:rStyle w:val="704"/>
        </w:rPr>
        <w:t xml:space="preserve">10.1.1. Procjena troškova projekta</w:t>
      </w:r>
      <w:r/>
    </w:p>
    <w:p>
      <w:pPr>
        <w:pStyle w:val="699"/>
        <w:pBdr/>
        <w:spacing/>
        <w:ind/>
        <w:rPr/>
      </w:pPr>
      <w:r>
        <w:rPr>
          <w:rStyle w:val="700"/>
        </w:rPr>
        <w:t xml:space="preserve">Troškovi realizacije i korištenja sistema DroneInspect dijele se na </w:t>
      </w:r>
      <w:r>
        <w:rPr>
          <w:rStyle w:val="701"/>
        </w:rPr>
        <w:t xml:space="preserve">početne (jednokratne) troškove razvoja i implementacije</w:t>
      </w:r>
      <w:r>
        <w:rPr>
          <w:rStyle w:val="700"/>
        </w:rPr>
        <w:t xml:space="preserve"> (Godina 0) te </w:t>
      </w:r>
      <w:r>
        <w:rPr>
          <w:rStyle w:val="701"/>
        </w:rPr>
        <w:t xml:space="preserve">tekuće (operativne) godišnje troškove</w:t>
      </w:r>
      <w:r>
        <w:rPr>
          <w:rStyle w:val="700"/>
        </w:rPr>
        <w:t xml:space="preserve"> održavanja i infrastrukture (Godine 1–3).</w:t>
      </w:r>
      <w:r/>
    </w:p>
    <w:p>
      <w:pPr>
        <w:pStyle w:val="705"/>
        <w:pBdr/>
        <w:spacing/>
        <w:ind/>
        <w:rPr/>
      </w:pPr>
      <w:r>
        <w:rPr>
          <w:rStyle w:val="706"/>
        </w:rPr>
        <w:t xml:space="preserve">1. Početni troškovi ulaganja (Godina 0)</w:t>
      </w:r>
      <w:r/>
    </w:p>
    <w:p>
      <w:pPr>
        <w:pStyle w:val="699"/>
        <w:pBdr/>
        <w:spacing/>
        <w:ind/>
        <w:rPr/>
      </w:pPr>
      <w:r>
        <w:rPr>
          <w:rStyle w:val="700"/>
        </w:rPr>
        <w:t xml:space="preserve">Početno ulaganje obuhvata sve aktivnosti potrebne da se sistem analizira, projektuje, razvije, testira i uvede u operativni rad:</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tblGrid>
      <w:tr>
        <w:trPr/>
        <w:tc>
          <w:tcPr>
            <w:tcBorders>
              <w:bottom w:val="single" w:color="dddddd" w:sz="12" w:space="0"/>
            </w:tcBorders>
            <w:tcW w:w="0" w:type="auto"/>
            <w:vAlign w:val="center"/>
          </w:tcPr>
          <w:p>
            <w:pPr>
              <w:pStyle w:val="707"/>
              <w:pBdr/>
              <w:spacing/>
              <w:ind/>
              <w:rPr/>
            </w:pPr>
            <w:r>
              <w:rPr>
                <w:rStyle w:val="708"/>
              </w:rPr>
              <w:t xml:space="preserve">Red. br.</w:t>
            </w:r>
            <w:r/>
          </w:p>
        </w:tc>
        <w:tc>
          <w:tcPr>
            <w:tcBorders>
              <w:bottom w:val="single" w:color="dddddd" w:sz="12" w:space="0"/>
            </w:tcBorders>
            <w:tcW w:w="0" w:type="auto"/>
            <w:vAlign w:val="center"/>
          </w:tcPr>
          <w:p>
            <w:pPr>
              <w:pStyle w:val="709"/>
              <w:pBdr/>
              <w:spacing/>
              <w:ind/>
              <w:rPr/>
            </w:pPr>
            <w:r>
              <w:rPr>
                <w:rStyle w:val="710"/>
              </w:rPr>
              <w:t xml:space="preserve">Kategorija početnog troška</w:t>
            </w:r>
            <w:r/>
          </w:p>
        </w:tc>
        <w:tc>
          <w:tcPr>
            <w:tcBorders>
              <w:bottom w:val="single" w:color="dddddd" w:sz="12" w:space="0"/>
            </w:tcBorders>
            <w:tcW w:w="0" w:type="auto"/>
            <w:vAlign w:val="center"/>
          </w:tcPr>
          <w:p>
            <w:pPr>
              <w:pStyle w:val="709"/>
              <w:pBdr/>
              <w:spacing/>
              <w:ind/>
              <w:rPr/>
            </w:pPr>
            <w:r>
              <w:rPr>
                <w:rStyle w:val="710"/>
              </w:rPr>
              <w:t xml:space="preserve">Opis aktivnosti</w:t>
            </w:r>
            <w:r/>
          </w:p>
        </w:tc>
        <w:tc>
          <w:tcPr>
            <w:tcBorders>
              <w:bottom w:val="single" w:color="dddddd" w:sz="12" w:space="0"/>
            </w:tcBorders>
            <w:tcW w:w="0" w:type="auto"/>
            <w:vAlign w:val="center"/>
          </w:tcPr>
          <w:p>
            <w:pPr>
              <w:pStyle w:val="711"/>
              <w:pBdr/>
              <w:spacing/>
              <w:ind/>
              <w:rPr/>
            </w:pPr>
            <w:r>
              <w:rPr>
                <w:rStyle w:val="712"/>
              </w:rPr>
              <w:t xml:space="preserve">Procijenjeni iznos (KM)</w:t>
            </w:r>
            <w:r/>
          </w:p>
        </w:tc>
      </w:tr>
      <w:tr>
        <w:trPr/>
        <w:tc>
          <w:tcPr>
            <w:tcBorders>
              <w:top w:val="single" w:color="dddddd" w:sz="6" w:space="0"/>
            </w:tcBorders>
            <w:tcW w:w="0" w:type="auto"/>
            <w:vAlign w:val="center"/>
          </w:tcPr>
          <w:p>
            <w:pPr>
              <w:pStyle w:val="713"/>
              <w:pBdr/>
              <w:spacing/>
              <w:ind/>
              <w:rPr/>
            </w:pPr>
            <w:r>
              <w:rPr>
                <w:rStyle w:val="714"/>
              </w:rPr>
              <w:t xml:space="preserve">1.</w:t>
            </w:r>
            <w:r/>
          </w:p>
        </w:tc>
        <w:tc>
          <w:tcPr>
            <w:tcBorders>
              <w:top w:val="single" w:color="dddddd" w:sz="6" w:space="0"/>
            </w:tcBorders>
            <w:tcW w:w="0" w:type="auto"/>
            <w:vAlign w:val="center"/>
          </w:tcPr>
          <w:p>
            <w:pPr>
              <w:pStyle w:val="715"/>
              <w:pBdr/>
              <w:spacing/>
              <w:ind/>
              <w:rPr/>
            </w:pPr>
            <w:r>
              <w:rPr>
                <w:rStyle w:val="716"/>
              </w:rPr>
              <w:t xml:space="preserve">Analiza zahtjeva i dizajn sistema</w:t>
            </w:r>
            <w:r/>
          </w:p>
        </w:tc>
        <w:tc>
          <w:tcPr>
            <w:tcBorders>
              <w:top w:val="single" w:color="dddddd" w:sz="6" w:space="0"/>
            </w:tcBorders>
            <w:tcW w:w="0" w:type="auto"/>
            <w:vAlign w:val="center"/>
          </w:tcPr>
          <w:p>
            <w:pPr>
              <w:pStyle w:val="715"/>
              <w:pBdr/>
              <w:spacing/>
              <w:ind/>
              <w:rPr/>
            </w:pPr>
            <w:r>
              <w:rPr>
                <w:rStyle w:val="716"/>
              </w:rPr>
              <w:t xml:space="preserve">Analiza poslovnih procesa, specifikacija zahtjeva, dizajn baze podataka i korisničkog interfejsa (UI/UX)</w:t>
            </w:r>
            <w:r/>
          </w:p>
        </w:tc>
        <w:tc>
          <w:tcPr>
            <w:tcBorders>
              <w:top w:val="single" w:color="dddddd" w:sz="6" w:space="0"/>
            </w:tcBorders>
            <w:tcW w:w="0" w:type="auto"/>
            <w:vAlign w:val="center"/>
          </w:tcPr>
          <w:p>
            <w:pPr>
              <w:pStyle w:val="717"/>
              <w:pBdr/>
              <w:spacing/>
              <w:ind/>
              <w:rPr/>
            </w:pPr>
            <w:r>
              <w:rPr>
                <w:rStyle w:val="718"/>
              </w:rPr>
              <w:t xml:space="preserve">3.500</w:t>
            </w:r>
            <w:r/>
          </w:p>
        </w:tc>
      </w:tr>
      <w:tr>
        <w:trPr/>
        <w:tc>
          <w:tcPr>
            <w:tcBorders>
              <w:top w:val="single" w:color="dddddd" w:sz="6" w:space="0"/>
            </w:tcBorders>
            <w:tcW w:w="0" w:type="auto"/>
            <w:vAlign w:val="center"/>
          </w:tcPr>
          <w:p>
            <w:pPr>
              <w:pStyle w:val="713"/>
              <w:pBdr/>
              <w:spacing/>
              <w:ind/>
              <w:rPr/>
            </w:pPr>
            <w:r>
              <w:rPr>
                <w:rStyle w:val="714"/>
              </w:rPr>
              <w:t xml:space="preserve">2.</w:t>
            </w:r>
            <w:r/>
          </w:p>
        </w:tc>
        <w:tc>
          <w:tcPr>
            <w:tcBorders>
              <w:top w:val="single" w:color="dddddd" w:sz="6" w:space="0"/>
            </w:tcBorders>
            <w:tcW w:w="0" w:type="auto"/>
            <w:vAlign w:val="center"/>
          </w:tcPr>
          <w:p>
            <w:pPr>
              <w:pStyle w:val="715"/>
              <w:pBdr/>
              <w:spacing/>
              <w:ind/>
              <w:rPr/>
            </w:pPr>
            <w:r>
              <w:rPr>
                <w:rStyle w:val="716"/>
              </w:rPr>
              <w:t xml:space="preserve">Razvoj osnovne web aplikacije</w:t>
            </w:r>
            <w:r/>
          </w:p>
        </w:tc>
        <w:tc>
          <w:tcPr>
            <w:tcBorders>
              <w:top w:val="single" w:color="dddddd" w:sz="6" w:space="0"/>
            </w:tcBorders>
            <w:tcW w:w="0" w:type="auto"/>
            <w:vAlign w:val="center"/>
          </w:tcPr>
          <w:p>
            <w:pPr>
              <w:pStyle w:val="715"/>
              <w:pBdr/>
              <w:spacing/>
              <w:ind/>
              <w:rPr/>
            </w:pPr>
            <w:r>
              <w:rPr>
                <w:rStyle w:val="716"/>
              </w:rPr>
              <w:t xml:space="preserve">Implementacija klijentskog dijela (React), serverskog dijela (ASP.NET Core REST API) i relacione baze podataka (PostgreSQL)</w:t>
            </w:r>
            <w:r/>
          </w:p>
        </w:tc>
        <w:tc>
          <w:tcPr>
            <w:tcBorders>
              <w:top w:val="single" w:color="dddddd" w:sz="6" w:space="0"/>
            </w:tcBorders>
            <w:tcW w:w="0" w:type="auto"/>
            <w:vAlign w:val="center"/>
          </w:tcPr>
          <w:p>
            <w:pPr>
              <w:pStyle w:val="717"/>
              <w:pBdr/>
              <w:spacing/>
              <w:ind/>
              <w:rPr/>
            </w:pPr>
            <w:r>
              <w:rPr>
                <w:rStyle w:val="718"/>
              </w:rPr>
              <w:t xml:space="preserve">14.000</w:t>
            </w:r>
            <w:r/>
          </w:p>
        </w:tc>
      </w:tr>
      <w:tr>
        <w:trPr/>
        <w:tc>
          <w:tcPr>
            <w:tcBorders>
              <w:top w:val="single" w:color="dddddd" w:sz="6" w:space="0"/>
            </w:tcBorders>
            <w:tcW w:w="0" w:type="auto"/>
            <w:vAlign w:val="center"/>
          </w:tcPr>
          <w:p>
            <w:pPr>
              <w:pStyle w:val="713"/>
              <w:pBdr/>
              <w:spacing/>
              <w:ind/>
              <w:rPr/>
            </w:pPr>
            <w:r>
              <w:rPr>
                <w:rStyle w:val="714"/>
              </w:rPr>
              <w:t xml:space="preserve">3.</w:t>
            </w:r>
            <w:r/>
          </w:p>
        </w:tc>
        <w:tc>
          <w:tcPr>
            <w:tcBorders>
              <w:top w:val="single" w:color="dddddd" w:sz="6" w:space="0"/>
            </w:tcBorders>
            <w:tcW w:w="0" w:type="auto"/>
            <w:vAlign w:val="center"/>
          </w:tcPr>
          <w:p>
            <w:pPr>
              <w:pStyle w:val="715"/>
              <w:pBdr/>
              <w:spacing/>
              <w:ind/>
              <w:rPr/>
            </w:pPr>
            <w:r>
              <w:rPr>
                <w:rStyle w:val="716"/>
              </w:rPr>
              <w:t xml:space="preserve">Integracija </w:t>
            </w:r>
            <w:r>
              <w:rPr>
                <w:rStyle w:val="719"/>
              </w:rPr>
              <w:t xml:space="preserve">cloud</w:t>
            </w:r>
            <w:r>
              <w:rPr>
                <w:rStyle w:val="716"/>
              </w:rPr>
              <w:t xml:space="preserve"> pohrane i AI servisa</w:t>
            </w:r>
            <w:r/>
          </w:p>
        </w:tc>
        <w:tc>
          <w:tcPr>
            <w:tcBorders>
              <w:top w:val="single" w:color="dddddd" w:sz="6" w:space="0"/>
            </w:tcBorders>
            <w:tcW w:w="0" w:type="auto"/>
            <w:vAlign w:val="center"/>
          </w:tcPr>
          <w:p>
            <w:pPr>
              <w:pStyle w:val="715"/>
              <w:pBdr/>
              <w:spacing/>
              <w:ind/>
              <w:rPr/>
            </w:pPr>
            <w:r>
              <w:rPr>
                <w:rStyle w:val="716"/>
              </w:rPr>
              <w:t xml:space="preserve">Povezivanje sa servisom za pohranu velikih datoteka (fotografije i videozapisi) te integracija AI API-ja za analizu slika</w:t>
            </w:r>
            <w:r/>
          </w:p>
        </w:tc>
        <w:tc>
          <w:tcPr>
            <w:tcBorders>
              <w:top w:val="single" w:color="dddddd" w:sz="6" w:space="0"/>
            </w:tcBorders>
            <w:tcW w:w="0" w:type="auto"/>
            <w:vAlign w:val="center"/>
          </w:tcPr>
          <w:p>
            <w:pPr>
              <w:pStyle w:val="717"/>
              <w:pBdr/>
              <w:spacing/>
              <w:ind/>
              <w:rPr/>
            </w:pPr>
            <w:r>
              <w:rPr>
                <w:rStyle w:val="718"/>
              </w:rPr>
              <w:t xml:space="preserve">3.000</w:t>
            </w:r>
            <w:r/>
          </w:p>
        </w:tc>
      </w:tr>
      <w:tr>
        <w:trPr/>
        <w:tc>
          <w:tcPr>
            <w:tcBorders>
              <w:top w:val="single" w:color="dddddd" w:sz="6" w:space="0"/>
            </w:tcBorders>
            <w:tcW w:w="0" w:type="auto"/>
            <w:vAlign w:val="center"/>
          </w:tcPr>
          <w:p>
            <w:pPr>
              <w:pStyle w:val="713"/>
              <w:pBdr/>
              <w:spacing/>
              <w:ind/>
              <w:rPr/>
            </w:pPr>
            <w:r>
              <w:rPr>
                <w:rStyle w:val="714"/>
              </w:rPr>
              <w:t xml:space="preserve">4.</w:t>
            </w:r>
            <w:r/>
          </w:p>
        </w:tc>
        <w:tc>
          <w:tcPr>
            <w:tcBorders>
              <w:top w:val="single" w:color="dddddd" w:sz="6" w:space="0"/>
            </w:tcBorders>
            <w:tcW w:w="0" w:type="auto"/>
            <w:vAlign w:val="center"/>
          </w:tcPr>
          <w:p>
            <w:pPr>
              <w:pStyle w:val="715"/>
              <w:pBdr/>
              <w:spacing/>
              <w:ind/>
              <w:rPr/>
            </w:pPr>
            <w:r>
              <w:rPr>
                <w:rStyle w:val="716"/>
              </w:rPr>
              <w:t xml:space="preserve">Testiranje, postavljanje i početna migracija</w:t>
            </w:r>
            <w:r/>
          </w:p>
        </w:tc>
        <w:tc>
          <w:tcPr>
            <w:tcBorders>
              <w:top w:val="single" w:color="dddddd" w:sz="6" w:space="0"/>
            </w:tcBorders>
            <w:tcW w:w="0" w:type="auto"/>
            <w:vAlign w:val="center"/>
          </w:tcPr>
          <w:p>
            <w:pPr>
              <w:pStyle w:val="715"/>
              <w:pBdr/>
              <w:spacing/>
              <w:ind/>
              <w:rPr/>
            </w:pPr>
            <w:r>
              <w:rPr>
                <w:rStyle w:val="716"/>
              </w:rPr>
              <w:t xml:space="preserve">Funkcionalno i sigurnosno testiranje, postavljanje na </w:t>
            </w:r>
            <w:r>
              <w:rPr>
                <w:rStyle w:val="719"/>
              </w:rPr>
              <w:t xml:space="preserve">cloud</w:t>
            </w:r>
            <w:r>
              <w:rPr>
                <w:rStyle w:val="716"/>
              </w:rPr>
              <w:t xml:space="preserve"> infrastrukturu te prebacivanje postojećih evidencija iz Excel tabela</w:t>
            </w:r>
            <w:r/>
          </w:p>
        </w:tc>
        <w:tc>
          <w:tcPr>
            <w:tcBorders>
              <w:top w:val="single" w:color="dddddd" w:sz="6" w:space="0"/>
            </w:tcBorders>
            <w:tcW w:w="0" w:type="auto"/>
            <w:vAlign w:val="center"/>
          </w:tcPr>
          <w:p>
            <w:pPr>
              <w:pStyle w:val="717"/>
              <w:pBdr/>
              <w:spacing/>
              <w:ind/>
              <w:rPr/>
            </w:pPr>
            <w:r>
              <w:rPr>
                <w:rStyle w:val="718"/>
              </w:rPr>
              <w:t xml:space="preserve">2.000</w:t>
            </w:r>
            <w:r/>
          </w:p>
        </w:tc>
      </w:tr>
      <w:tr>
        <w:trPr/>
        <w:tc>
          <w:tcPr>
            <w:tcBorders>
              <w:top w:val="single" w:color="dddddd" w:sz="6" w:space="0"/>
            </w:tcBorders>
            <w:tcW w:w="0" w:type="auto"/>
            <w:vAlign w:val="center"/>
          </w:tcPr>
          <w:p>
            <w:pPr>
              <w:pStyle w:val="713"/>
              <w:pBdr/>
              <w:spacing/>
              <w:ind/>
              <w:rPr/>
            </w:pPr>
            <w:r>
              <w:rPr>
                <w:rStyle w:val="714"/>
              </w:rPr>
              <w:t xml:space="preserve">5.</w:t>
            </w:r>
            <w:r/>
          </w:p>
        </w:tc>
        <w:tc>
          <w:tcPr>
            <w:tcBorders>
              <w:top w:val="single" w:color="dddddd" w:sz="6" w:space="0"/>
            </w:tcBorders>
            <w:tcW w:w="0" w:type="auto"/>
            <w:vAlign w:val="center"/>
          </w:tcPr>
          <w:p>
            <w:pPr>
              <w:pStyle w:val="715"/>
              <w:pBdr/>
              <w:spacing/>
              <w:ind/>
              <w:rPr/>
            </w:pPr>
            <w:r>
              <w:rPr>
                <w:rStyle w:val="716"/>
              </w:rPr>
              <w:t xml:space="preserve">Obuka korisnika i dokumentacija</w:t>
            </w:r>
            <w:r/>
          </w:p>
        </w:tc>
        <w:tc>
          <w:tcPr>
            <w:tcBorders>
              <w:top w:val="single" w:color="dddddd" w:sz="6" w:space="0"/>
            </w:tcBorders>
            <w:tcW w:w="0" w:type="auto"/>
            <w:vAlign w:val="center"/>
          </w:tcPr>
          <w:p>
            <w:pPr>
              <w:pStyle w:val="715"/>
              <w:pBdr/>
              <w:spacing/>
              <w:ind/>
              <w:rPr/>
            </w:pPr>
            <w:r>
              <w:rPr>
                <w:rStyle w:val="716"/>
              </w:rPr>
              <w:t xml:space="preserve">Obuka koordinatora, operatera dronova, tehničkih inspektora i administratora te izrada korisničkih uputstava</w:t>
            </w:r>
            <w:r/>
          </w:p>
        </w:tc>
        <w:tc>
          <w:tcPr>
            <w:tcBorders>
              <w:top w:val="single" w:color="dddddd" w:sz="6" w:space="0"/>
            </w:tcBorders>
            <w:tcW w:w="0" w:type="auto"/>
            <w:vAlign w:val="center"/>
          </w:tcPr>
          <w:p>
            <w:pPr>
              <w:pStyle w:val="717"/>
              <w:pBdr/>
              <w:spacing/>
              <w:ind/>
              <w:rPr/>
            </w:pPr>
            <w:r>
              <w:rPr>
                <w:rStyle w:val="718"/>
              </w:rPr>
              <w:t xml:space="preserve">1.500</w:t>
            </w:r>
            <w:r/>
          </w:p>
        </w:tc>
      </w:tr>
      <w:tr>
        <w:trPr/>
        <w:tc>
          <w:tcPr>
            <w:tcBorders>
              <w:top w:val="single" w:color="dddddd" w:sz="6" w:space="0"/>
            </w:tcBorders>
            <w:tcW w:w="0" w:type="auto"/>
            <w:vAlign w:val="center"/>
          </w:tcPr>
          <w:p>
            <w:pPr>
              <w:pBdr/>
              <w:spacing/>
              <w:ind/>
              <w:rPr>
                <w:rFonts w:eastAsia="Times New Roman"/>
              </w:rPr>
            </w:pPr>
            <w:r>
              <w:rPr>
                <w:rFonts w:eastAsia="Times New Roman"/>
              </w:rPr>
            </w:r>
          </w:p>
        </w:tc>
        <w:tc>
          <w:tcPr>
            <w:tcBorders>
              <w:top w:val="single" w:color="dddddd" w:sz="6" w:space="0"/>
            </w:tcBorders>
            <w:tcW w:w="0" w:type="auto"/>
            <w:vAlign w:val="center"/>
          </w:tcPr>
          <w:p>
            <w:pPr>
              <w:pStyle w:val="720"/>
              <w:pBdr/>
              <w:spacing/>
              <w:ind/>
              <w:rPr/>
            </w:pPr>
            <w:r>
              <w:rPr>
                <w:rStyle w:val="721"/>
              </w:rPr>
              <w:t xml:space="preserve">UKUPNO POČETNO ULAGANJE (Godina 0)</w:t>
            </w:r>
            <w:r/>
          </w:p>
        </w:tc>
        <w:tc>
          <w:tcPr>
            <w:tcBorders>
              <w:top w:val="single" w:color="dddddd" w:sz="6" w:space="0"/>
            </w:tcBorders>
            <w:tcW w:w="0" w:type="auto"/>
            <w:vAlign w:val="center"/>
          </w:tcPr>
          <w:p>
            <w:pPr>
              <w:pBdr/>
              <w:spacing/>
              <w:ind/>
              <w:rPr>
                <w:rFonts w:eastAsia="Times New Roman"/>
              </w:rPr>
            </w:pPr>
            <w:r>
              <w:rPr>
                <w:rFonts w:eastAsia="Times New Roman"/>
              </w:rPr>
            </w:r>
          </w:p>
        </w:tc>
        <w:tc>
          <w:tcPr>
            <w:tcBorders>
              <w:top w:val="single" w:color="dddddd" w:sz="6" w:space="0"/>
            </w:tcBorders>
            <w:tcW w:w="0" w:type="auto"/>
            <w:vAlign w:val="center"/>
          </w:tcPr>
          <w:p>
            <w:pPr>
              <w:pStyle w:val="720"/>
              <w:pBdr/>
              <w:spacing/>
              <w:ind/>
              <w:rPr/>
            </w:pPr>
            <w:r>
              <w:rPr>
                <w:rStyle w:val="721"/>
              </w:rPr>
              <w:t xml:space="preserve">24.000</w:t>
            </w:r>
            <w:r/>
          </w:p>
        </w:tc>
      </w:tr>
    </w:tbl>
    <w:p>
      <w:pPr>
        <w:pBdr/>
        <w:spacing/>
        <w:ind/>
        <w:rPr>
          <w:rFonts w:eastAsia="Times New Roman"/>
          <w:vanish/>
          <w:sz w:val="2"/>
          <w:szCs w:val="2"/>
        </w:rPr>
      </w:pPr>
      <w:r>
        <w:rPr>
          <w:rFonts w:eastAsia="Times New Roman"/>
          <w:vanish/>
          <w:sz w:val="2"/>
          <w:szCs w:val="2"/>
        </w:rPr>
      </w:r>
    </w:p>
    <w:p>
      <w:pPr>
        <w:pStyle w:val="705"/>
        <w:pBdr/>
        <w:spacing/>
        <w:ind/>
        <w:rPr/>
      </w:pPr>
      <w:r>
        <w:rPr>
          <w:rStyle w:val="706"/>
        </w:rPr>
        <w:t xml:space="preserve">2. Operativni (tekući) troškovi (Godine 1–3)</w:t>
      </w:r>
      <w:r/>
    </w:p>
    <w:p>
      <w:pPr>
        <w:pStyle w:val="699"/>
        <w:pBdr/>
        <w:spacing/>
        <w:ind/>
        <w:rPr/>
      </w:pPr>
      <w:r>
        <w:rPr>
          <w:rStyle w:val="700"/>
        </w:rPr>
        <w:t xml:space="preserve">Operativni troškovi nastaju tokom redovnog korištenja sistema. Budući da se s vremenom povećava broj obavljenih inspekcija, količina arhiviranih fotografija i videozapisa visoke rezolucije te broj poziva prema AI servisu, predviđen je blagi rast operativnih troškova kroz posmatrane tri godine:</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tblGrid>
      <w:tr>
        <w:trPr/>
        <w:tc>
          <w:tcPr>
            <w:tcBorders>
              <w:bottom w:val="single" w:color="dddddd" w:sz="12" w:space="0"/>
            </w:tcBorders>
            <w:tcW w:w="0" w:type="auto"/>
            <w:vAlign w:val="center"/>
          </w:tcPr>
          <w:p>
            <w:pPr>
              <w:pStyle w:val="709"/>
              <w:pBdr/>
              <w:spacing/>
              <w:ind/>
              <w:rPr/>
            </w:pPr>
            <w:r>
              <w:rPr>
                <w:rStyle w:val="710"/>
              </w:rPr>
              <w:t xml:space="preserve">Kategorija operativnog troška</w:t>
            </w:r>
            <w:r/>
          </w:p>
        </w:tc>
        <w:tc>
          <w:tcPr>
            <w:tcBorders>
              <w:bottom w:val="single" w:color="dddddd" w:sz="12" w:space="0"/>
            </w:tcBorders>
            <w:tcW w:w="0" w:type="auto"/>
            <w:vAlign w:val="center"/>
          </w:tcPr>
          <w:p>
            <w:pPr>
              <w:pStyle w:val="711"/>
              <w:pBdr/>
              <w:spacing/>
              <w:ind/>
              <w:rPr/>
            </w:pPr>
            <w:r>
              <w:rPr>
                <w:rStyle w:val="712"/>
              </w:rPr>
              <w:t xml:space="preserve">Godina 1 (KM)</w:t>
            </w:r>
            <w:r/>
          </w:p>
        </w:tc>
        <w:tc>
          <w:tcPr>
            <w:tcBorders>
              <w:bottom w:val="single" w:color="dddddd" w:sz="12" w:space="0"/>
            </w:tcBorders>
            <w:tcW w:w="0" w:type="auto"/>
            <w:vAlign w:val="center"/>
          </w:tcPr>
          <w:p>
            <w:pPr>
              <w:pStyle w:val="711"/>
              <w:pBdr/>
              <w:spacing/>
              <w:ind/>
              <w:rPr/>
            </w:pPr>
            <w:r>
              <w:rPr>
                <w:rStyle w:val="712"/>
              </w:rPr>
              <w:t xml:space="preserve">Godina 2 (KM)</w:t>
            </w:r>
            <w:r/>
          </w:p>
        </w:tc>
        <w:tc>
          <w:tcPr>
            <w:tcBorders>
              <w:bottom w:val="single" w:color="dddddd" w:sz="12" w:space="0"/>
            </w:tcBorders>
            <w:tcW w:w="0" w:type="auto"/>
            <w:vAlign w:val="center"/>
          </w:tcPr>
          <w:p>
            <w:pPr>
              <w:pStyle w:val="711"/>
              <w:pBdr/>
              <w:spacing/>
              <w:ind/>
              <w:rPr/>
            </w:pPr>
            <w:r>
              <w:rPr>
                <w:rStyle w:val="712"/>
              </w:rPr>
              <w:t xml:space="preserve">Godina 3 (KM)</w:t>
            </w:r>
            <w:r/>
          </w:p>
        </w:tc>
        <w:tc>
          <w:tcPr>
            <w:tcBorders>
              <w:bottom w:val="single" w:color="dddddd" w:sz="12" w:space="0"/>
            </w:tcBorders>
            <w:tcW w:w="0" w:type="auto"/>
            <w:vAlign w:val="center"/>
          </w:tcPr>
          <w:p>
            <w:pPr>
              <w:pStyle w:val="711"/>
              <w:pBdr/>
              <w:spacing/>
              <w:ind/>
              <w:rPr/>
            </w:pPr>
            <w:r>
              <w:rPr>
                <w:rStyle w:val="712"/>
              </w:rPr>
              <w:t xml:space="preserve">Ukupno (KM)</w:t>
            </w:r>
            <w:r/>
          </w:p>
        </w:tc>
      </w:tr>
      <w:tr>
        <w:trPr/>
        <w:tc>
          <w:tcPr>
            <w:tcBorders>
              <w:top w:val="single" w:color="dddddd" w:sz="6" w:space="0"/>
            </w:tcBorders>
            <w:tcW w:w="0" w:type="auto"/>
            <w:vAlign w:val="center"/>
          </w:tcPr>
          <w:p>
            <w:pPr>
              <w:pStyle w:val="715"/>
              <w:pBdr/>
              <w:spacing/>
              <w:ind/>
              <w:rPr/>
            </w:pPr>
            <w:r>
              <w:rPr>
                <w:rStyle w:val="716"/>
              </w:rPr>
              <w:t xml:space="preserve">Zakup </w:t>
            </w:r>
            <w:r>
              <w:rPr>
                <w:rStyle w:val="719"/>
              </w:rPr>
              <w:t xml:space="preserve">cloud</w:t>
            </w:r>
            <w:r>
              <w:rPr>
                <w:rStyle w:val="716"/>
              </w:rPr>
              <w:t xml:space="preserve"> infrastrukture (aplikacijski server, baza podataka, domena, SSL)</w:t>
            </w:r>
            <w:r/>
          </w:p>
        </w:tc>
        <w:tc>
          <w:tcPr>
            <w:tcBorders>
              <w:top w:val="single" w:color="dddddd" w:sz="6" w:space="0"/>
            </w:tcBorders>
            <w:tcW w:w="0" w:type="auto"/>
            <w:vAlign w:val="center"/>
          </w:tcPr>
          <w:p>
            <w:pPr>
              <w:pStyle w:val="717"/>
              <w:pBdr/>
              <w:spacing/>
              <w:ind/>
              <w:rPr/>
            </w:pPr>
            <w:r>
              <w:rPr>
                <w:rStyle w:val="718"/>
              </w:rPr>
              <w:t xml:space="preserve">1.500</w:t>
            </w:r>
            <w:r/>
          </w:p>
        </w:tc>
        <w:tc>
          <w:tcPr>
            <w:tcBorders>
              <w:top w:val="single" w:color="dddddd" w:sz="6" w:space="0"/>
            </w:tcBorders>
            <w:tcW w:w="0" w:type="auto"/>
            <w:vAlign w:val="center"/>
          </w:tcPr>
          <w:p>
            <w:pPr>
              <w:pStyle w:val="717"/>
              <w:pBdr/>
              <w:spacing/>
              <w:ind/>
              <w:rPr/>
            </w:pPr>
            <w:r>
              <w:rPr>
                <w:rStyle w:val="718"/>
              </w:rPr>
              <w:t xml:space="preserve">1.600</w:t>
            </w:r>
            <w:r/>
          </w:p>
        </w:tc>
        <w:tc>
          <w:tcPr>
            <w:tcBorders>
              <w:top w:val="single" w:color="dddddd" w:sz="6" w:space="0"/>
            </w:tcBorders>
            <w:tcW w:w="0" w:type="auto"/>
            <w:vAlign w:val="center"/>
          </w:tcPr>
          <w:p>
            <w:pPr>
              <w:pStyle w:val="717"/>
              <w:pBdr/>
              <w:spacing/>
              <w:ind/>
              <w:rPr/>
            </w:pPr>
            <w:r>
              <w:rPr>
                <w:rStyle w:val="718"/>
              </w:rPr>
              <w:t xml:space="preserve">1.700</w:t>
            </w:r>
            <w:r/>
          </w:p>
        </w:tc>
        <w:tc>
          <w:tcPr>
            <w:tcBorders>
              <w:top w:val="single" w:color="dddddd" w:sz="6" w:space="0"/>
            </w:tcBorders>
            <w:tcW w:w="0" w:type="auto"/>
            <w:vAlign w:val="center"/>
          </w:tcPr>
          <w:p>
            <w:pPr>
              <w:pStyle w:val="717"/>
              <w:pBdr/>
              <w:spacing/>
              <w:ind/>
              <w:rPr/>
            </w:pPr>
            <w:r>
              <w:rPr>
                <w:rStyle w:val="718"/>
              </w:rPr>
              <w:t xml:space="preserve">4.800</w:t>
            </w:r>
            <w:r/>
          </w:p>
        </w:tc>
      </w:tr>
      <w:tr>
        <w:trPr/>
        <w:tc>
          <w:tcPr>
            <w:tcBorders>
              <w:top w:val="single" w:color="dddddd" w:sz="6" w:space="0"/>
            </w:tcBorders>
            <w:tcW w:w="0" w:type="auto"/>
            <w:vAlign w:val="center"/>
          </w:tcPr>
          <w:p>
            <w:pPr>
              <w:pStyle w:val="715"/>
              <w:pBdr/>
              <w:spacing/>
              <w:ind/>
              <w:rPr/>
            </w:pPr>
            <w:r>
              <w:rPr>
                <w:rStyle w:val="716"/>
              </w:rPr>
              <w:t xml:space="preserve">Pohrana multimedijalnih podataka i sigurnosne kopije (</w:t>
            </w:r>
            <w:r>
              <w:rPr>
                <w:rStyle w:val="719"/>
              </w:rPr>
              <w:t xml:space="preserve">Blob Storage / S3 + Backup</w:t>
            </w:r>
            <w:r>
              <w:rPr>
                <w:rStyle w:val="716"/>
              </w:rPr>
              <w:t xml:space="preserve">)</w:t>
            </w:r>
            <w:r/>
          </w:p>
        </w:tc>
        <w:tc>
          <w:tcPr>
            <w:tcBorders>
              <w:top w:val="single" w:color="dddddd" w:sz="6" w:space="0"/>
            </w:tcBorders>
            <w:tcW w:w="0" w:type="auto"/>
            <w:vAlign w:val="center"/>
          </w:tcPr>
          <w:p>
            <w:pPr>
              <w:pStyle w:val="717"/>
              <w:pBdr/>
              <w:spacing/>
              <w:ind/>
              <w:rPr/>
            </w:pPr>
            <w:r>
              <w:rPr>
                <w:rStyle w:val="718"/>
              </w:rPr>
              <w:t xml:space="preserve">900</w:t>
            </w:r>
            <w:r/>
          </w:p>
        </w:tc>
        <w:tc>
          <w:tcPr>
            <w:tcBorders>
              <w:top w:val="single" w:color="dddddd" w:sz="6" w:space="0"/>
            </w:tcBorders>
            <w:tcW w:w="0" w:type="auto"/>
            <w:vAlign w:val="center"/>
          </w:tcPr>
          <w:p>
            <w:pPr>
              <w:pStyle w:val="717"/>
              <w:pBdr/>
              <w:spacing/>
              <w:ind/>
              <w:rPr/>
            </w:pPr>
            <w:r>
              <w:rPr>
                <w:rStyle w:val="718"/>
              </w:rPr>
              <w:t xml:space="preserve">1.150</w:t>
            </w:r>
            <w:r/>
          </w:p>
        </w:tc>
        <w:tc>
          <w:tcPr>
            <w:tcBorders>
              <w:top w:val="single" w:color="dddddd" w:sz="6" w:space="0"/>
            </w:tcBorders>
            <w:tcW w:w="0" w:type="auto"/>
            <w:vAlign w:val="center"/>
          </w:tcPr>
          <w:p>
            <w:pPr>
              <w:pStyle w:val="717"/>
              <w:pBdr/>
              <w:spacing/>
              <w:ind/>
              <w:rPr/>
            </w:pPr>
            <w:r>
              <w:rPr>
                <w:rStyle w:val="718"/>
              </w:rPr>
              <w:t xml:space="preserve">1.400</w:t>
            </w:r>
            <w:r/>
          </w:p>
        </w:tc>
        <w:tc>
          <w:tcPr>
            <w:tcBorders>
              <w:top w:val="single" w:color="dddddd" w:sz="6" w:space="0"/>
            </w:tcBorders>
            <w:tcW w:w="0" w:type="auto"/>
            <w:vAlign w:val="center"/>
          </w:tcPr>
          <w:p>
            <w:pPr>
              <w:pStyle w:val="717"/>
              <w:pBdr/>
              <w:spacing/>
              <w:ind/>
              <w:rPr/>
            </w:pPr>
            <w:r>
              <w:rPr>
                <w:rStyle w:val="718"/>
              </w:rPr>
              <w:t xml:space="preserve">3.450</w:t>
            </w:r>
            <w:r/>
          </w:p>
        </w:tc>
      </w:tr>
      <w:tr>
        <w:trPr/>
        <w:tc>
          <w:tcPr>
            <w:tcBorders>
              <w:top w:val="single" w:color="dddddd" w:sz="6" w:space="0"/>
            </w:tcBorders>
            <w:tcW w:w="0" w:type="auto"/>
            <w:vAlign w:val="center"/>
          </w:tcPr>
          <w:p>
            <w:pPr>
              <w:pStyle w:val="715"/>
              <w:pBdr/>
              <w:spacing/>
              <w:ind/>
              <w:rPr/>
            </w:pPr>
            <w:r>
              <w:rPr>
                <w:rStyle w:val="716"/>
              </w:rPr>
              <w:t xml:space="preserve">Korištenje AI servisa za kategorizaciju fotografija (</w:t>
            </w:r>
            <w:r>
              <w:rPr>
                <w:rStyle w:val="719"/>
              </w:rPr>
              <w:t xml:space="preserve">pay-per-use</w:t>
            </w:r>
            <w:r>
              <w:rPr>
                <w:rStyle w:val="716"/>
              </w:rPr>
              <w:t xml:space="preserve"> model)</w:t>
            </w:r>
            <w:r/>
          </w:p>
        </w:tc>
        <w:tc>
          <w:tcPr>
            <w:tcBorders>
              <w:top w:val="single" w:color="dddddd" w:sz="6" w:space="0"/>
            </w:tcBorders>
            <w:tcW w:w="0" w:type="auto"/>
            <w:vAlign w:val="center"/>
          </w:tcPr>
          <w:p>
            <w:pPr>
              <w:pStyle w:val="717"/>
              <w:pBdr/>
              <w:spacing/>
              <w:ind/>
              <w:rPr/>
            </w:pPr>
            <w:r>
              <w:rPr>
                <w:rStyle w:val="718"/>
              </w:rPr>
              <w:t xml:space="preserve">600</w:t>
            </w:r>
            <w:r/>
          </w:p>
        </w:tc>
        <w:tc>
          <w:tcPr>
            <w:tcBorders>
              <w:top w:val="single" w:color="dddddd" w:sz="6" w:space="0"/>
            </w:tcBorders>
            <w:tcW w:w="0" w:type="auto"/>
            <w:vAlign w:val="center"/>
          </w:tcPr>
          <w:p>
            <w:pPr>
              <w:pStyle w:val="717"/>
              <w:pBdr/>
              <w:spacing/>
              <w:ind/>
              <w:rPr/>
            </w:pPr>
            <w:r>
              <w:rPr>
                <w:rStyle w:val="718"/>
              </w:rPr>
              <w:t xml:space="preserve">750</w:t>
            </w:r>
            <w:r/>
          </w:p>
        </w:tc>
        <w:tc>
          <w:tcPr>
            <w:tcBorders>
              <w:top w:val="single" w:color="dddddd" w:sz="6" w:space="0"/>
            </w:tcBorders>
            <w:tcW w:w="0" w:type="auto"/>
            <w:vAlign w:val="center"/>
          </w:tcPr>
          <w:p>
            <w:pPr>
              <w:pStyle w:val="717"/>
              <w:pBdr/>
              <w:spacing/>
              <w:ind/>
              <w:rPr/>
            </w:pPr>
            <w:r>
              <w:rPr>
                <w:rStyle w:val="718"/>
              </w:rPr>
              <w:t xml:space="preserve">900</w:t>
            </w:r>
            <w:r/>
          </w:p>
        </w:tc>
        <w:tc>
          <w:tcPr>
            <w:tcBorders>
              <w:top w:val="single" w:color="dddddd" w:sz="6" w:space="0"/>
            </w:tcBorders>
            <w:tcW w:w="0" w:type="auto"/>
            <w:vAlign w:val="center"/>
          </w:tcPr>
          <w:p>
            <w:pPr>
              <w:pStyle w:val="717"/>
              <w:pBdr/>
              <w:spacing/>
              <w:ind/>
              <w:rPr/>
            </w:pPr>
            <w:r>
              <w:rPr>
                <w:rStyle w:val="718"/>
              </w:rPr>
              <w:t xml:space="preserve">2.250</w:t>
            </w:r>
            <w:r/>
          </w:p>
        </w:tc>
      </w:tr>
      <w:tr>
        <w:trPr/>
        <w:tc>
          <w:tcPr>
            <w:tcBorders>
              <w:top w:val="single" w:color="dddddd" w:sz="6" w:space="0"/>
            </w:tcBorders>
            <w:tcW w:w="0" w:type="auto"/>
            <w:vAlign w:val="center"/>
          </w:tcPr>
          <w:p>
            <w:pPr>
              <w:pStyle w:val="715"/>
              <w:pBdr/>
              <w:spacing/>
              <w:ind/>
              <w:rPr/>
            </w:pPr>
            <w:r>
              <w:rPr>
                <w:rStyle w:val="716"/>
              </w:rPr>
              <w:t xml:space="preserve">Redovno održavanje sistema, nadogradnje i tehnička podrška</w:t>
            </w:r>
            <w:r/>
          </w:p>
        </w:tc>
        <w:tc>
          <w:tcPr>
            <w:tcBorders>
              <w:top w:val="single" w:color="dddddd" w:sz="6" w:space="0"/>
            </w:tcBorders>
            <w:tcW w:w="0" w:type="auto"/>
            <w:vAlign w:val="center"/>
          </w:tcPr>
          <w:p>
            <w:pPr>
              <w:pStyle w:val="717"/>
              <w:pBdr/>
              <w:spacing/>
              <w:ind/>
              <w:rPr/>
            </w:pPr>
            <w:r>
              <w:rPr>
                <w:rStyle w:val="718"/>
              </w:rPr>
              <w:t xml:space="preserve">1.000</w:t>
            </w:r>
            <w:r/>
          </w:p>
        </w:tc>
        <w:tc>
          <w:tcPr>
            <w:tcBorders>
              <w:top w:val="single" w:color="dddddd" w:sz="6" w:space="0"/>
            </w:tcBorders>
            <w:tcW w:w="0" w:type="auto"/>
            <w:vAlign w:val="center"/>
          </w:tcPr>
          <w:p>
            <w:pPr>
              <w:pStyle w:val="717"/>
              <w:pBdr/>
              <w:spacing/>
              <w:ind/>
              <w:rPr/>
            </w:pPr>
            <w:r>
              <w:rPr>
                <w:rStyle w:val="718"/>
              </w:rPr>
              <w:t xml:space="preserve">1.000</w:t>
            </w:r>
            <w:r/>
          </w:p>
        </w:tc>
        <w:tc>
          <w:tcPr>
            <w:tcBorders>
              <w:top w:val="single" w:color="dddddd" w:sz="6" w:space="0"/>
            </w:tcBorders>
            <w:tcW w:w="0" w:type="auto"/>
            <w:vAlign w:val="center"/>
          </w:tcPr>
          <w:p>
            <w:pPr>
              <w:pStyle w:val="717"/>
              <w:pBdr/>
              <w:spacing/>
              <w:ind/>
              <w:rPr/>
            </w:pPr>
            <w:r>
              <w:rPr>
                <w:rStyle w:val="718"/>
              </w:rPr>
              <w:t xml:space="preserve">1.000</w:t>
            </w:r>
            <w:r/>
          </w:p>
        </w:tc>
        <w:tc>
          <w:tcPr>
            <w:tcBorders>
              <w:top w:val="single" w:color="dddddd" w:sz="6" w:space="0"/>
            </w:tcBorders>
            <w:tcW w:w="0" w:type="auto"/>
            <w:vAlign w:val="center"/>
          </w:tcPr>
          <w:p>
            <w:pPr>
              <w:pStyle w:val="717"/>
              <w:pBdr/>
              <w:spacing/>
              <w:ind/>
              <w:rPr/>
            </w:pPr>
            <w:r>
              <w:rPr>
                <w:rStyle w:val="718"/>
              </w:rPr>
              <w:t xml:space="preserve">3.000</w:t>
            </w:r>
            <w:r/>
          </w:p>
        </w:tc>
      </w:tr>
      <w:tr>
        <w:trPr/>
        <w:tc>
          <w:tcPr>
            <w:tcBorders>
              <w:top w:val="single" w:color="dddddd" w:sz="6" w:space="0"/>
            </w:tcBorders>
            <w:tcW w:w="0" w:type="auto"/>
            <w:vAlign w:val="center"/>
          </w:tcPr>
          <w:p>
            <w:pPr>
              <w:pStyle w:val="720"/>
              <w:pBdr/>
              <w:spacing/>
              <w:ind/>
              <w:rPr/>
            </w:pPr>
            <w:r>
              <w:rPr>
                <w:rStyle w:val="721"/>
              </w:rPr>
              <w:t xml:space="preserve">UKUPNI OPERATIVNI TROŠKOVI PO GODINAMA</w:t>
            </w:r>
            <w:r/>
          </w:p>
        </w:tc>
        <w:tc>
          <w:tcPr>
            <w:tcBorders>
              <w:top w:val="single" w:color="dddddd" w:sz="6" w:space="0"/>
            </w:tcBorders>
            <w:tcW w:w="0" w:type="auto"/>
            <w:vAlign w:val="center"/>
          </w:tcPr>
          <w:p>
            <w:pPr>
              <w:pStyle w:val="720"/>
              <w:pBdr/>
              <w:spacing/>
              <w:ind/>
              <w:rPr/>
            </w:pPr>
            <w:r>
              <w:rPr>
                <w:rStyle w:val="721"/>
              </w:rPr>
              <w:t xml:space="preserve">4.000</w:t>
            </w:r>
            <w:r/>
          </w:p>
        </w:tc>
        <w:tc>
          <w:tcPr>
            <w:tcBorders>
              <w:top w:val="single" w:color="dddddd" w:sz="6" w:space="0"/>
            </w:tcBorders>
            <w:tcW w:w="0" w:type="auto"/>
            <w:vAlign w:val="center"/>
          </w:tcPr>
          <w:p>
            <w:pPr>
              <w:pStyle w:val="720"/>
              <w:pBdr/>
              <w:spacing/>
              <w:ind/>
              <w:rPr/>
            </w:pPr>
            <w:r>
              <w:rPr>
                <w:rStyle w:val="721"/>
              </w:rPr>
              <w:t xml:space="preserve">4.500</w:t>
            </w:r>
            <w:r/>
          </w:p>
        </w:tc>
        <w:tc>
          <w:tcPr>
            <w:tcBorders>
              <w:top w:val="single" w:color="dddddd" w:sz="6" w:space="0"/>
            </w:tcBorders>
            <w:tcW w:w="0" w:type="auto"/>
            <w:vAlign w:val="center"/>
          </w:tcPr>
          <w:p>
            <w:pPr>
              <w:pStyle w:val="720"/>
              <w:pBdr/>
              <w:spacing/>
              <w:ind/>
              <w:rPr/>
            </w:pPr>
            <w:r>
              <w:rPr>
                <w:rStyle w:val="721"/>
              </w:rPr>
              <w:t xml:space="preserve">5.000</w:t>
            </w:r>
            <w:r/>
          </w:p>
        </w:tc>
        <w:tc>
          <w:tcPr>
            <w:tcBorders>
              <w:top w:val="single" w:color="dddddd" w:sz="6" w:space="0"/>
            </w:tcBorders>
            <w:tcW w:w="0" w:type="auto"/>
            <w:vAlign w:val="center"/>
          </w:tcPr>
          <w:p>
            <w:pPr>
              <w:pStyle w:val="720"/>
              <w:pBdr/>
              <w:spacing/>
              <w:ind/>
              <w:rPr/>
            </w:pPr>
            <w:r>
              <w:rPr>
                <w:rStyle w:val="721"/>
              </w:rPr>
              <w:t xml:space="preserve">13.500</w:t>
            </w:r>
            <w:r/>
          </w:p>
        </w:tc>
      </w:tr>
    </w:tbl>
    <w:p>
      <w:pPr>
        <w:pBdr/>
        <w:spacing/>
        <w:ind/>
        <w:rPr>
          <w:rFonts w:eastAsia="Times New Roman"/>
          <w:vanish/>
          <w:sz w:val="2"/>
          <w:szCs w:val="2"/>
        </w:rPr>
      </w:pPr>
      <w:r>
        <w:rPr>
          <w:rFonts w:eastAsia="Times New Roman"/>
          <w:vanish/>
          <w:sz w:val="2"/>
          <w:szCs w:val="2"/>
        </w:rPr>
      </w:r>
    </w:p>
    <w:p>
      <w:pPr>
        <w:pStyle w:val="699"/>
        <w:pBdr/>
        <w:spacing/>
        <w:ind/>
        <w:rPr/>
      </w:pPr>
      <w:r>
        <w:rPr>
          <w:rStyle w:val="700"/>
        </w:rPr>
        <w:t xml:space="preserve">Ukupan trošak projekta tokom čitavog posmatranog perioda (početno ulaganje + tri godine održavanja) iznosi </w:t>
      </w:r>
      <w:r>
        <w:rPr>
          <w:rStyle w:val="701"/>
        </w:rPr>
        <w:t xml:space="preserve">37.500 KM</w:t>
      </w:r>
      <w:r>
        <w:rPr>
          <w:rStyle w:val="700"/>
        </w:rPr>
        <w:t xml:space="preserv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703"/>
        <w:pBdr/>
        <w:spacing/>
        <w:ind/>
        <w:rPr/>
      </w:pPr>
      <w:r>
        <w:rPr>
          <w:rStyle w:val="704"/>
        </w:rPr>
        <w:t xml:space="preserve">10.1.2. Procjena koristi projekta</w:t>
      </w:r>
      <w:r/>
    </w:p>
    <w:p>
      <w:pPr>
        <w:pStyle w:val="699"/>
        <w:pBdr/>
        <w:spacing/>
        <w:ind/>
        <w:rPr/>
      </w:pPr>
      <w:r>
        <w:rPr>
          <w:rStyle w:val="700"/>
        </w:rPr>
        <w:t xml:space="preserve">Koristi od uvođenja informacionog sistema DroneInspect direktno proizlaze iz rješavanja problema postojećeg načina rada i definisanih ciljeva poslovne vrijednosti (poglavlja 3, 6 i 8). Dijele se na </w:t>
      </w:r>
      <w:r>
        <w:rPr>
          <w:rStyle w:val="701"/>
        </w:rPr>
        <w:t xml:space="preserve">opipljive (finansijski mjerljive)</w:t>
      </w:r>
      <w:r>
        <w:rPr>
          <w:rStyle w:val="700"/>
        </w:rPr>
        <w:t xml:space="preserve"> i </w:t>
      </w:r>
      <w:r>
        <w:rPr>
          <w:rStyle w:val="701"/>
        </w:rPr>
        <w:t xml:space="preserve">neopipljive (kvalitativne)</w:t>
      </w:r>
      <w:r>
        <w:rPr>
          <w:rStyle w:val="700"/>
        </w:rPr>
        <w:t xml:space="preserve"> koristi.</w:t>
      </w:r>
      <w:r/>
    </w:p>
    <w:p>
      <w:pPr>
        <w:pStyle w:val="705"/>
        <w:pBdr/>
        <w:spacing/>
        <w:ind/>
        <w:rPr/>
      </w:pPr>
      <w:r>
        <w:rPr>
          <w:rStyle w:val="706"/>
        </w:rPr>
        <w:t xml:space="preserve">1. Opipljive (kvantitativne) koristi</w:t>
      </w:r>
      <w:r/>
    </w:p>
    <w:p>
      <w:pPr>
        <w:pStyle w:val="699"/>
        <w:pBdr/>
        <w:spacing/>
        <w:ind/>
        <w:rPr/>
      </w:pPr>
      <w:r>
        <w:rPr>
          <w:rStyle w:val="700"/>
        </w:rPr>
        <w:t xml:space="preserve">Opipljive koristi izražavaju se kroz direktne uštede radnog vremena, smanjenje operativnih troškova i povećanje kapaciteta za obavljanje dodatnih inspekcija:</w:t>
      </w:r>
      <w:r/>
    </w:p>
    <w:p>
      <w:pPr>
        <w:pStyle w:val="722"/>
        <w:numPr>
          <w:ilvl w:val="0"/>
          <w:numId w:val="2"/>
        </w:numPr>
        <w:pBdr/>
        <w:spacing/>
        <w:ind/>
        <w:rPr/>
      </w:pPr>
      <w:r>
        <w:rPr>
          <w:rStyle w:val="723"/>
        </w:rPr>
        <w:t xml:space="preserve">Smanjenje administrativnog rada za najmanje 25%:</w:t>
      </w:r>
      <w:r>
        <w:rPr>
          <w:rStyle w:val="724"/>
        </w:rPr>
        <w:t xml:space="preserve"> Prelaskom sa ručnog vođenja Excel tabela, telefonskog usklađivanja i pretraživanja e-mail poruka na centralizovanu evidenciju oslobađa se značajan broj radnih sati koordinatora inspekcija i administrativnog osoblja.</w:t>
      </w:r>
      <w:r/>
    </w:p>
    <w:p>
      <w:pPr>
        <w:pStyle w:val="722"/>
        <w:numPr>
          <w:ilvl w:val="0"/>
          <w:numId w:val="2"/>
        </w:numPr>
        <w:pBdr/>
        <w:spacing/>
        <w:ind/>
        <w:rPr/>
      </w:pPr>
      <w:r>
        <w:rPr>
          <w:rStyle w:val="723"/>
        </w:rPr>
        <w:t xml:space="preserve">Skraćenje vremena od završetka snimanja do isporuke izvještaja za 20%:</w:t>
      </w:r>
      <w:r>
        <w:rPr>
          <w:rStyle w:val="724"/>
        </w:rPr>
        <w:t xml:space="preserve"> Brz pristup snimcima na jednom mjestu (pronalaženje dokumentacije za manje od 2 minute u 90% slučajeva), preliminarna AI kategorizacija oštećenja i automatsko generisanje PDF izvještaja prema predlošku skraćuju vrijeme obrade po inspekciji. Time postojeći tim tehničkih inspektora i operatera može realizovati veći broj komercijalnih inspekcija godišnje bez zapošljavanja dodatnog kadra.</w:t>
      </w:r>
      <w:r/>
    </w:p>
    <w:p>
      <w:pPr>
        <w:pStyle w:val="722"/>
        <w:numPr>
          <w:ilvl w:val="0"/>
          <w:numId w:val="2"/>
        </w:numPr>
        <w:pBdr/>
        <w:spacing/>
        <w:ind/>
        <w:rPr/>
      </w:pPr>
      <w:r>
        <w:rPr>
          <w:rStyle w:val="723"/>
        </w:rPr>
        <w:t xml:space="preserve">Eliminacija troškova grešaka pri zakazivanju termina:</w:t>
      </w:r>
      <w:r>
        <w:rPr>
          <w:rStyle w:val="724"/>
        </w:rPr>
        <w:t xml:space="preserve"> Jedinstveni kalendar s automatskim upozorenjem na preklapanje termina sprečava dvostruku dodjelu istog operatera ili drona, čime se eliminišu troškovi neiskorištenih izlazaka na teren, kašnjenja i penala.</w:t>
      </w:r>
      <w:r/>
    </w:p>
    <w:p>
      <w:pPr>
        <w:pStyle w:val="722"/>
        <w:numPr>
          <w:ilvl w:val="0"/>
          <w:numId w:val="2"/>
        </w:numPr>
        <w:pBdr/>
        <w:spacing/>
        <w:ind/>
        <w:rPr/>
      </w:pPr>
      <w:r>
        <w:rPr>
          <w:rStyle w:val="723"/>
        </w:rPr>
        <w:t xml:space="preserve">Smanjenje troškova fizičkih medija i ručnog arhiviranja:</w:t>
      </w:r>
      <w:r>
        <w:rPr>
          <w:rStyle w:val="724"/>
        </w:rPr>
        <w:t xml:space="preserve"> Ukida se potreba za stalnom nabavkom eksternih diskova i USB memorija za prebacivanje velikih videozapisa između operatera i inspektora, kao i radni sati utrošeni na ručno pravljenje sigurnosnih kopija.</w:t>
      </w:r>
      <w:r/>
    </w:p>
    <w:p>
      <w:pPr>
        <w:pStyle w:val="699"/>
        <w:pBdr/>
        <w:spacing/>
        <w:ind/>
        <w:rPr>
          <w:rStyle w:val="700"/>
          <w:highlight w:val="none"/>
        </w:rPr>
      </w:pPr>
      <w:r>
        <w:rPr>
          <w:rStyle w:val="700"/>
        </w:rPr>
        <w:t xml:space="preserve">Kako se zaposleni uhodavaju u rad sa sistemom i kako raste obim poslovanja kompanije, procijenjene finansijske koristi rastu iz godine u godinu:</w:t>
      </w:r>
      <w:r/>
    </w:p>
    <w:p w14:paraId="4212AC46">
      <w:pPr>
        <w:pStyle w:val="699"/>
        <w:pBdr/>
        <w:spacing/>
        <w:ind/>
        <w:rPr/>
      </w:pPr>
      <w:r>
        <w:rPr>
          <w:rStyle w:val="700"/>
          <w:highlight w:val="none"/>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tblGrid>
      <w:tr>
        <w:trPr/>
        <w:tc>
          <w:tcPr>
            <w:tcBorders>
              <w:bottom w:val="single" w:color="dddddd" w:sz="12" w:space="0"/>
            </w:tcBorders>
            <w:tcW w:w="0" w:type="auto"/>
            <w:vAlign w:val="center"/>
          </w:tcPr>
          <w:p>
            <w:pPr>
              <w:pStyle w:val="709"/>
              <w:pBdr/>
              <w:spacing/>
              <w:ind/>
              <w:rPr/>
            </w:pPr>
            <w:r>
              <w:rPr>
                <w:rStyle w:val="710"/>
              </w:rPr>
              <w:t xml:space="preserve">Izvor mjerljive koristi</w:t>
            </w:r>
            <w:r/>
          </w:p>
        </w:tc>
        <w:tc>
          <w:tcPr>
            <w:tcBorders>
              <w:bottom w:val="single" w:color="dddddd" w:sz="12" w:space="0"/>
            </w:tcBorders>
            <w:tcW w:w="0" w:type="auto"/>
            <w:vAlign w:val="center"/>
          </w:tcPr>
          <w:p>
            <w:pPr>
              <w:pStyle w:val="711"/>
              <w:pBdr/>
              <w:spacing/>
              <w:ind/>
              <w:rPr/>
            </w:pPr>
            <w:r>
              <w:rPr>
                <w:rStyle w:val="712"/>
              </w:rPr>
              <w:t xml:space="preserve">Godina 1 (KM)</w:t>
            </w:r>
            <w:r/>
          </w:p>
        </w:tc>
        <w:tc>
          <w:tcPr>
            <w:tcBorders>
              <w:bottom w:val="single" w:color="dddddd" w:sz="12" w:space="0"/>
            </w:tcBorders>
            <w:tcW w:w="0" w:type="auto"/>
            <w:vAlign w:val="center"/>
          </w:tcPr>
          <w:p>
            <w:pPr>
              <w:pStyle w:val="711"/>
              <w:pBdr/>
              <w:spacing/>
              <w:ind/>
              <w:rPr/>
            </w:pPr>
            <w:r>
              <w:rPr>
                <w:rStyle w:val="712"/>
              </w:rPr>
              <w:t xml:space="preserve">Godina 2 (KM)</w:t>
            </w:r>
            <w:r/>
          </w:p>
        </w:tc>
        <w:tc>
          <w:tcPr>
            <w:tcBorders>
              <w:bottom w:val="single" w:color="dddddd" w:sz="12" w:space="0"/>
            </w:tcBorders>
            <w:tcW w:w="0" w:type="auto"/>
            <w:vAlign w:val="center"/>
          </w:tcPr>
          <w:p>
            <w:pPr>
              <w:pStyle w:val="711"/>
              <w:pBdr/>
              <w:spacing/>
              <w:ind/>
              <w:rPr/>
            </w:pPr>
            <w:r>
              <w:rPr>
                <w:rStyle w:val="712"/>
              </w:rPr>
              <w:t xml:space="preserve">Godina 3 (KM)</w:t>
            </w:r>
            <w:r/>
          </w:p>
        </w:tc>
        <w:tc>
          <w:tcPr>
            <w:tcBorders>
              <w:bottom w:val="single" w:color="dddddd" w:sz="12" w:space="0"/>
            </w:tcBorders>
            <w:tcW w:w="0" w:type="auto"/>
            <w:vAlign w:val="center"/>
          </w:tcPr>
          <w:p>
            <w:pPr>
              <w:pStyle w:val="711"/>
              <w:pBdr/>
              <w:spacing/>
              <w:ind/>
              <w:rPr/>
            </w:pPr>
            <w:r>
              <w:rPr>
                <w:rStyle w:val="712"/>
              </w:rPr>
              <w:t xml:space="preserve">Ukupno (KM)</w:t>
            </w:r>
            <w:r/>
          </w:p>
        </w:tc>
      </w:tr>
      <w:tr>
        <w:trPr/>
        <w:tc>
          <w:tcPr>
            <w:tcBorders>
              <w:top w:val="single" w:color="dddddd" w:sz="6" w:space="0"/>
            </w:tcBorders>
            <w:tcW w:w="0" w:type="auto"/>
            <w:vAlign w:val="center"/>
          </w:tcPr>
          <w:p>
            <w:pPr>
              <w:pStyle w:val="715"/>
              <w:pBdr/>
              <w:spacing/>
              <w:ind/>
              <w:rPr/>
            </w:pPr>
            <w:r>
              <w:rPr>
                <w:rStyle w:val="716"/>
              </w:rPr>
              <w:t xml:space="preserve">Ušteda vremena na administraciji, koordinaciji i pretraživanju dokumentacije (min. 25%)</w:t>
            </w:r>
            <w:r/>
          </w:p>
        </w:tc>
        <w:tc>
          <w:tcPr>
            <w:tcBorders>
              <w:top w:val="single" w:color="dddddd" w:sz="6" w:space="0"/>
            </w:tcBorders>
            <w:tcW w:w="0" w:type="auto"/>
            <w:vAlign w:val="center"/>
          </w:tcPr>
          <w:p>
            <w:pPr>
              <w:pStyle w:val="717"/>
              <w:pBdr/>
              <w:spacing/>
              <w:ind/>
              <w:rPr/>
            </w:pPr>
            <w:r>
              <w:rPr>
                <w:rStyle w:val="718"/>
              </w:rPr>
              <w:t xml:space="preserve">5.000</w:t>
            </w:r>
            <w:r/>
          </w:p>
        </w:tc>
        <w:tc>
          <w:tcPr>
            <w:tcBorders>
              <w:top w:val="single" w:color="dddddd" w:sz="6" w:space="0"/>
            </w:tcBorders>
            <w:tcW w:w="0" w:type="auto"/>
            <w:vAlign w:val="center"/>
          </w:tcPr>
          <w:p>
            <w:pPr>
              <w:pStyle w:val="717"/>
              <w:pBdr/>
              <w:spacing/>
              <w:ind/>
              <w:rPr/>
            </w:pPr>
            <w:r>
              <w:rPr>
                <w:rStyle w:val="718"/>
              </w:rPr>
              <w:t xml:space="preserve">5.800</w:t>
            </w:r>
            <w:r/>
          </w:p>
        </w:tc>
        <w:tc>
          <w:tcPr>
            <w:tcBorders>
              <w:top w:val="single" w:color="dddddd" w:sz="6" w:space="0"/>
            </w:tcBorders>
            <w:tcW w:w="0" w:type="auto"/>
            <w:vAlign w:val="center"/>
          </w:tcPr>
          <w:p>
            <w:pPr>
              <w:pStyle w:val="717"/>
              <w:pBdr/>
              <w:spacing/>
              <w:ind/>
              <w:rPr/>
            </w:pPr>
            <w:r>
              <w:rPr>
                <w:rStyle w:val="718"/>
              </w:rPr>
              <w:t xml:space="preserve">6.500</w:t>
            </w:r>
            <w:r/>
          </w:p>
        </w:tc>
        <w:tc>
          <w:tcPr>
            <w:tcBorders>
              <w:top w:val="single" w:color="dddddd" w:sz="6" w:space="0"/>
            </w:tcBorders>
            <w:tcW w:w="0" w:type="auto"/>
            <w:vAlign w:val="center"/>
          </w:tcPr>
          <w:p>
            <w:pPr>
              <w:pStyle w:val="717"/>
              <w:pBdr/>
              <w:spacing/>
              <w:ind/>
              <w:rPr/>
            </w:pPr>
            <w:r>
              <w:rPr>
                <w:rStyle w:val="718"/>
              </w:rPr>
              <w:t xml:space="preserve">17.300</w:t>
            </w:r>
            <w:r/>
          </w:p>
        </w:tc>
      </w:tr>
      <w:tr>
        <w:trPr/>
        <w:tc>
          <w:tcPr>
            <w:tcBorders>
              <w:top w:val="single" w:color="dddddd" w:sz="6" w:space="0"/>
            </w:tcBorders>
            <w:tcW w:w="0" w:type="auto"/>
            <w:vAlign w:val="center"/>
          </w:tcPr>
          <w:p>
            <w:pPr>
              <w:pStyle w:val="715"/>
              <w:pBdr/>
              <w:spacing/>
              <w:ind/>
              <w:rPr/>
            </w:pPr>
            <w:r>
              <w:rPr>
                <w:rStyle w:val="716"/>
              </w:rPr>
              <w:t xml:space="preserve">Povećanje broja realizovanih inspekcija usljed 20% brže obrade nalaza i izrade izvještaja</w:t>
            </w:r>
            <w:r/>
          </w:p>
        </w:tc>
        <w:tc>
          <w:tcPr>
            <w:tcBorders>
              <w:top w:val="single" w:color="dddddd" w:sz="6" w:space="0"/>
            </w:tcBorders>
            <w:tcW w:w="0" w:type="auto"/>
            <w:vAlign w:val="center"/>
          </w:tcPr>
          <w:p>
            <w:pPr>
              <w:pStyle w:val="717"/>
              <w:pBdr/>
              <w:spacing/>
              <w:ind/>
              <w:rPr/>
            </w:pPr>
            <w:r>
              <w:rPr>
                <w:rStyle w:val="718"/>
              </w:rPr>
              <w:t xml:space="preserve">6.000</w:t>
            </w:r>
            <w:r/>
          </w:p>
        </w:tc>
        <w:tc>
          <w:tcPr>
            <w:tcBorders>
              <w:top w:val="single" w:color="dddddd" w:sz="6" w:space="0"/>
            </w:tcBorders>
            <w:tcW w:w="0" w:type="auto"/>
            <w:vAlign w:val="center"/>
          </w:tcPr>
          <w:p>
            <w:pPr>
              <w:pStyle w:val="717"/>
              <w:pBdr/>
              <w:spacing/>
              <w:ind/>
              <w:rPr/>
            </w:pPr>
            <w:r>
              <w:rPr>
                <w:rStyle w:val="718"/>
              </w:rPr>
              <w:t xml:space="preserve">7.500</w:t>
            </w:r>
            <w:r/>
          </w:p>
        </w:tc>
        <w:tc>
          <w:tcPr>
            <w:tcBorders>
              <w:top w:val="single" w:color="dddddd" w:sz="6" w:space="0"/>
            </w:tcBorders>
            <w:tcW w:w="0" w:type="auto"/>
            <w:vAlign w:val="center"/>
          </w:tcPr>
          <w:p>
            <w:pPr>
              <w:pStyle w:val="717"/>
              <w:pBdr/>
              <w:spacing/>
              <w:ind/>
              <w:rPr/>
            </w:pPr>
            <w:r>
              <w:rPr>
                <w:rStyle w:val="718"/>
              </w:rPr>
              <w:t xml:space="preserve">9.500</w:t>
            </w:r>
            <w:r/>
          </w:p>
        </w:tc>
        <w:tc>
          <w:tcPr>
            <w:tcBorders>
              <w:top w:val="single" w:color="dddddd" w:sz="6" w:space="0"/>
            </w:tcBorders>
            <w:tcW w:w="0" w:type="auto"/>
            <w:vAlign w:val="center"/>
          </w:tcPr>
          <w:p>
            <w:pPr>
              <w:pStyle w:val="717"/>
              <w:pBdr/>
              <w:spacing/>
              <w:ind/>
              <w:rPr/>
            </w:pPr>
            <w:r>
              <w:rPr>
                <w:rStyle w:val="718"/>
              </w:rPr>
              <w:t xml:space="preserve">23.000</w:t>
            </w:r>
            <w:r/>
          </w:p>
        </w:tc>
      </w:tr>
      <w:tr>
        <w:trPr/>
        <w:tc>
          <w:tcPr>
            <w:tcBorders>
              <w:top w:val="single" w:color="dddddd" w:sz="6" w:space="0"/>
            </w:tcBorders>
            <w:tcW w:w="0" w:type="auto"/>
            <w:vAlign w:val="center"/>
          </w:tcPr>
          <w:p>
            <w:pPr>
              <w:pStyle w:val="715"/>
              <w:pBdr/>
              <w:spacing/>
              <w:ind/>
              <w:rPr/>
            </w:pPr>
            <w:r>
              <w:rPr>
                <w:rStyle w:val="716"/>
              </w:rPr>
              <w:t xml:space="preserve">Smanjenje grešaka u rasporedu resursa (operateri/dronovi) i troškova eksternih medija</w:t>
            </w:r>
            <w:r/>
          </w:p>
        </w:tc>
        <w:tc>
          <w:tcPr>
            <w:tcBorders>
              <w:top w:val="single" w:color="dddddd" w:sz="6" w:space="0"/>
            </w:tcBorders>
            <w:tcW w:w="0" w:type="auto"/>
            <w:vAlign w:val="center"/>
          </w:tcPr>
          <w:p>
            <w:pPr>
              <w:pStyle w:val="717"/>
              <w:pBdr/>
              <w:spacing/>
              <w:ind/>
              <w:rPr/>
            </w:pPr>
            <w:r>
              <w:rPr>
                <w:rStyle w:val="718"/>
              </w:rPr>
              <w:t xml:space="preserve">3.000</w:t>
            </w:r>
            <w:r/>
          </w:p>
        </w:tc>
        <w:tc>
          <w:tcPr>
            <w:tcBorders>
              <w:top w:val="single" w:color="dddddd" w:sz="6" w:space="0"/>
            </w:tcBorders>
            <w:tcW w:w="0" w:type="auto"/>
            <w:vAlign w:val="center"/>
          </w:tcPr>
          <w:p>
            <w:pPr>
              <w:pStyle w:val="717"/>
              <w:pBdr/>
              <w:spacing/>
              <w:ind/>
              <w:rPr/>
            </w:pPr>
            <w:r>
              <w:rPr>
                <w:rStyle w:val="718"/>
              </w:rPr>
              <w:t xml:space="preserve">3.200</w:t>
            </w:r>
            <w:r/>
          </w:p>
        </w:tc>
        <w:tc>
          <w:tcPr>
            <w:tcBorders>
              <w:top w:val="single" w:color="dddddd" w:sz="6" w:space="0"/>
            </w:tcBorders>
            <w:tcW w:w="0" w:type="auto"/>
            <w:vAlign w:val="center"/>
          </w:tcPr>
          <w:p>
            <w:pPr>
              <w:pStyle w:val="717"/>
              <w:pBdr/>
              <w:spacing/>
              <w:ind/>
              <w:rPr/>
            </w:pPr>
            <w:r>
              <w:rPr>
                <w:rStyle w:val="718"/>
              </w:rPr>
              <w:t xml:space="preserve">3.500</w:t>
            </w:r>
            <w:r/>
          </w:p>
        </w:tc>
        <w:tc>
          <w:tcPr>
            <w:tcBorders>
              <w:top w:val="single" w:color="dddddd" w:sz="6" w:space="0"/>
            </w:tcBorders>
            <w:tcW w:w="0" w:type="auto"/>
            <w:vAlign w:val="center"/>
          </w:tcPr>
          <w:p>
            <w:pPr>
              <w:pStyle w:val="717"/>
              <w:pBdr/>
              <w:spacing/>
              <w:ind/>
              <w:rPr/>
            </w:pPr>
            <w:r>
              <w:rPr>
                <w:rStyle w:val="718"/>
              </w:rPr>
              <w:t xml:space="preserve">9.700</w:t>
            </w:r>
            <w:r/>
          </w:p>
        </w:tc>
      </w:tr>
      <w:tr>
        <w:trPr/>
        <w:tc>
          <w:tcPr>
            <w:tcBorders>
              <w:top w:val="single" w:color="dddddd" w:sz="6" w:space="0"/>
            </w:tcBorders>
            <w:tcW w:w="0" w:type="auto"/>
            <w:vAlign w:val="center"/>
          </w:tcPr>
          <w:p>
            <w:pPr>
              <w:pStyle w:val="720"/>
              <w:pBdr/>
              <w:spacing/>
              <w:ind/>
              <w:rPr/>
            </w:pPr>
            <w:r>
              <w:rPr>
                <w:rStyle w:val="721"/>
              </w:rPr>
              <w:t xml:space="preserve">UKUPNE OPIPLJIVE KORISTI PO GODINAMA</w:t>
            </w:r>
            <w:r/>
          </w:p>
        </w:tc>
        <w:tc>
          <w:tcPr>
            <w:tcBorders>
              <w:top w:val="single" w:color="dddddd" w:sz="6" w:space="0"/>
            </w:tcBorders>
            <w:tcW w:w="0" w:type="auto"/>
            <w:vAlign w:val="center"/>
          </w:tcPr>
          <w:p>
            <w:pPr>
              <w:pStyle w:val="720"/>
              <w:pBdr/>
              <w:spacing/>
              <w:ind/>
              <w:rPr/>
            </w:pPr>
            <w:r>
              <w:rPr>
                <w:rStyle w:val="721"/>
              </w:rPr>
              <w:t xml:space="preserve">14.000</w:t>
            </w:r>
            <w:r/>
          </w:p>
        </w:tc>
        <w:tc>
          <w:tcPr>
            <w:tcBorders>
              <w:top w:val="single" w:color="dddddd" w:sz="6" w:space="0"/>
            </w:tcBorders>
            <w:tcW w:w="0" w:type="auto"/>
            <w:vAlign w:val="center"/>
          </w:tcPr>
          <w:p>
            <w:pPr>
              <w:pStyle w:val="720"/>
              <w:pBdr/>
              <w:spacing/>
              <w:ind/>
              <w:rPr/>
            </w:pPr>
            <w:r>
              <w:rPr>
                <w:rStyle w:val="721"/>
              </w:rPr>
              <w:t xml:space="preserve">16.500</w:t>
            </w:r>
            <w:r/>
          </w:p>
        </w:tc>
        <w:tc>
          <w:tcPr>
            <w:tcBorders>
              <w:top w:val="single" w:color="dddddd" w:sz="6" w:space="0"/>
            </w:tcBorders>
            <w:tcW w:w="0" w:type="auto"/>
            <w:vAlign w:val="center"/>
          </w:tcPr>
          <w:p>
            <w:pPr>
              <w:pStyle w:val="720"/>
              <w:pBdr/>
              <w:spacing/>
              <w:ind/>
              <w:rPr/>
            </w:pPr>
            <w:r>
              <w:rPr>
                <w:rStyle w:val="721"/>
              </w:rPr>
              <w:t xml:space="preserve">19.500</w:t>
            </w:r>
            <w:r/>
          </w:p>
        </w:tc>
        <w:tc>
          <w:tcPr>
            <w:tcBorders>
              <w:top w:val="single" w:color="dddddd" w:sz="6" w:space="0"/>
            </w:tcBorders>
            <w:tcW w:w="0" w:type="auto"/>
            <w:vAlign w:val="center"/>
          </w:tcPr>
          <w:p>
            <w:pPr>
              <w:pStyle w:val="720"/>
              <w:pBdr/>
              <w:spacing/>
              <w:ind/>
              <w:rPr/>
            </w:pPr>
            <w:r>
              <w:rPr>
                <w:rStyle w:val="721"/>
              </w:rPr>
              <w:t xml:space="preserve">50.000</w:t>
            </w:r>
            <w:r/>
          </w:p>
        </w:tc>
      </w:tr>
    </w:tbl>
    <w:p>
      <w:pPr>
        <w:pBdr/>
        <w:spacing/>
        <w:ind/>
        <w:rPr>
          <w:rFonts w:eastAsia="Times New Roman"/>
          <w:vanish/>
          <w:sz w:val="2"/>
          <w:szCs w:val="2"/>
        </w:rPr>
      </w:pPr>
      <w:r>
        <w:rPr>
          <w:rFonts w:eastAsia="Times New Roman"/>
          <w:vanish/>
          <w:sz w:val="2"/>
          <w:szCs w:val="2"/>
        </w:rPr>
      </w:r>
    </w:p>
    <w:p>
      <w:pPr>
        <w:pStyle w:val="705"/>
        <w:pBdr/>
        <w:spacing/>
        <w:ind/>
        <w:rPr/>
      </w:pPr>
      <w:r>
        <w:rPr>
          <w:rStyle w:val="706"/>
        </w:rPr>
        <w:t xml:space="preserve">2. Neopipljive (kvalitativne) koristi</w:t>
      </w:r>
      <w:r/>
    </w:p>
    <w:p>
      <w:pPr>
        <w:pStyle w:val="699"/>
        <w:pBdr/>
        <w:spacing/>
        <w:ind/>
        <w:rPr/>
      </w:pPr>
      <w:r>
        <w:rPr>
          <w:rStyle w:val="700"/>
        </w:rPr>
        <w:t xml:space="preserve">Pored direktnih finansijskih efekata, sistem donosi i značajne kvalitativne koristi koje dugoročno jačaju tržišnu poziciju kompanije:</w:t>
      </w:r>
      <w:r/>
    </w:p>
    <w:p>
      <w:pPr>
        <w:pStyle w:val="725"/>
        <w:numPr>
          <w:ilvl w:val="0"/>
          <w:numId w:val="1"/>
        </w:numPr>
        <w:pBdr/>
        <w:spacing/>
        <w:ind/>
        <w:rPr/>
      </w:pPr>
      <w:r>
        <w:rPr>
          <w:rStyle w:val="726"/>
        </w:rPr>
        <w:t xml:space="preserve">Veće zadovoljstvo i povjerenje klijenata:</w:t>
      </w:r>
      <w:r>
        <w:rPr>
          <w:rStyle w:val="727"/>
        </w:rPr>
        <w:t xml:space="preserve"> Klijenti imaju transparentan uvid u status svog zahtjeva u realnom vremenu, pravovremene obavijesti o terminima i brzu dostupnost standardizovanih PDF izvještaja.</w:t>
      </w:r>
      <w:r/>
    </w:p>
    <w:p>
      <w:pPr>
        <w:pStyle w:val="725"/>
        <w:numPr>
          <w:ilvl w:val="0"/>
          <w:numId w:val="1"/>
        </w:numPr>
        <w:pBdr/>
        <w:spacing/>
        <w:ind/>
        <w:rPr/>
      </w:pPr>
      <w:r>
        <w:rPr>
          <w:rStyle w:val="726"/>
        </w:rPr>
        <w:t xml:space="preserve">Smanjenje rizika od gubitka podataka i veća sigurnost:</w:t>
      </w:r>
      <w:r>
        <w:rPr>
          <w:rStyle w:val="727"/>
        </w:rPr>
        <w:t xml:space="preserve"> Centralizovana </w:t>
      </w:r>
      <w:r>
        <w:rPr>
          <w:rStyle w:val="728"/>
        </w:rPr>
        <w:t xml:space="preserve">cloud</w:t>
      </w:r>
      <w:r>
        <w:rPr>
          <w:rStyle w:val="727"/>
        </w:rPr>
        <w:t xml:space="preserve"> pohrana uz redovne sigurnosne kopije, kontrolu pristupa po ulogama i evidenciju historije aktivnosti (</w:t>
      </w:r>
      <w:r>
        <w:rPr>
          <w:rStyle w:val="728"/>
        </w:rPr>
        <w:t xml:space="preserve">audit log</w:t>
      </w:r>
      <w:r>
        <w:rPr>
          <w:rStyle w:val="727"/>
        </w:rPr>
        <w:t xml:space="preserve">) sprečava gubitak snimaka i neovlašten pristup dokumentaciji klijenata.</w:t>
      </w:r>
      <w:r/>
    </w:p>
    <w:p>
      <w:pPr>
        <w:pStyle w:val="725"/>
        <w:numPr>
          <w:ilvl w:val="0"/>
          <w:numId w:val="1"/>
        </w:numPr>
        <w:pBdr/>
        <w:spacing/>
        <w:ind/>
        <w:rPr/>
      </w:pPr>
      <w:r>
        <w:rPr>
          <w:rStyle w:val="726"/>
        </w:rPr>
        <w:t xml:space="preserve">Kvalitetnija interna komunikacija i manji pritisak na zaposlene:</w:t>
      </w:r>
      <w:r>
        <w:rPr>
          <w:rStyle w:val="727"/>
        </w:rPr>
        <w:t xml:space="preserve"> Jasno definisani statusi inspekcije smanjuju potrebu za stalnim telefonskim provjerama između koordinatora, operatera drona i tehničkog inspektora.</w:t>
      </w:r>
      <w:r/>
    </w:p>
    <w:p>
      <w:pPr>
        <w:pStyle w:val="725"/>
        <w:numPr>
          <w:ilvl w:val="0"/>
          <w:numId w:val="1"/>
        </w:numPr>
        <w:pBdr/>
        <w:spacing/>
        <w:ind/>
        <w:rPr/>
      </w:pPr>
      <w:r>
        <w:rPr>
          <w:rStyle w:val="726"/>
        </w:rPr>
        <w:t xml:space="preserve">Konkurentska prednost i modernizacija poslovanja:</w:t>
      </w:r>
      <w:r>
        <w:rPr>
          <w:rStyle w:val="727"/>
        </w:rPr>
        <w:t xml:space="preserve"> Primjena savremenog informacionog sistema i AI podrške pri analizi građevinskih oštećenja pozicionira kompaniju kao tehnološkog lidera u oblasti inspekcija dronovima.</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703"/>
        <w:pBdr/>
        <w:spacing/>
        <w:ind/>
        <w:rPr/>
      </w:pPr>
      <w:r>
        <w:rPr>
          <w:rStyle w:val="704"/>
        </w:rPr>
        <w:t xml:space="preserve">10.1.3. Izračun pokazatelja ekonomske isplativosti</w:t>
      </w:r>
      <w:r/>
    </w:p>
    <w:p>
      <w:pPr>
        <w:pStyle w:val="699"/>
        <w:pBdr/>
        <w:spacing/>
        <w:ind/>
        <w:rPr/>
      </w:pPr>
      <w:r>
        <w:rPr>
          <w:rStyle w:val="700"/>
        </w:rPr>
        <w:t xml:space="preserve">Za kvantitativnu procjenu ekonomske izvedivosti projekta koriste se standardne metrike: </w:t>
      </w:r>
      <w:r>
        <w:rPr>
          <w:rStyle w:val="701"/>
        </w:rPr>
        <w:t xml:space="preserve">Povrat ulaganja (ROI)</w:t>
      </w:r>
      <w:r>
        <w:rPr>
          <w:rStyle w:val="700"/>
        </w:rPr>
        <w:t xml:space="preserve">, </w:t>
      </w:r>
      <w:r>
        <w:rPr>
          <w:rStyle w:val="701"/>
        </w:rPr>
        <w:t xml:space="preserve">Period povrata ulaganja (Payback Period – PB)</w:t>
      </w:r>
      <w:r>
        <w:rPr>
          <w:rStyle w:val="700"/>
        </w:rPr>
        <w:t xml:space="preserve">, </w:t>
      </w:r>
      <w:r>
        <w:rPr>
          <w:rStyle w:val="701"/>
        </w:rPr>
        <w:t xml:space="preserve">Sadašnja vrijednost (PV) i Neto sadašnja vrijednost (NPV)</w:t>
      </w:r>
      <w:r>
        <w:rPr>
          <w:rStyle w:val="700"/>
        </w:rPr>
        <w:t xml:space="preserve"> te </w:t>
      </w:r>
      <w:r>
        <w:rPr>
          <w:rStyle w:val="701"/>
        </w:rPr>
        <w:t xml:space="preserve">Tačka pokrića (Break-Even Point – BEP)</w:t>
      </w:r>
      <w:r>
        <w:rPr>
          <w:rStyle w:val="700"/>
        </w:rPr>
        <w:t xml:space="preserve">.</w:t>
      </w:r>
      <w:r/>
    </w:p>
    <w:p>
      <w:pPr>
        <w:pStyle w:val="705"/>
        <w:pBdr/>
        <w:spacing/>
        <w:ind/>
        <w:rPr/>
      </w:pPr>
      <w:r>
        <w:rPr>
          <w:rStyle w:val="706"/>
        </w:rPr>
        <w:t xml:space="preserve">1. Pregled novčanih tokova kroz 3 godine (bez diskontovanja)</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gridCol w:w="1134"/>
      </w:tblGrid>
      <w:tr>
        <w:trPr/>
        <w:tc>
          <w:tcPr>
            <w:tcBorders>
              <w:bottom w:val="single" w:color="dddddd" w:sz="12" w:space="0"/>
            </w:tcBorders>
            <w:tcW w:w="0" w:type="auto"/>
            <w:vAlign w:val="center"/>
          </w:tcPr>
          <w:p>
            <w:pPr>
              <w:pStyle w:val="709"/>
              <w:pBdr/>
              <w:spacing/>
              <w:ind/>
              <w:rPr/>
            </w:pPr>
            <w:r>
              <w:rPr>
                <w:rStyle w:val="710"/>
              </w:rPr>
              <w:t xml:space="preserve">Pokazatelj</w:t>
            </w:r>
            <w:r/>
          </w:p>
        </w:tc>
        <w:tc>
          <w:tcPr>
            <w:tcBorders>
              <w:bottom w:val="single" w:color="dddddd" w:sz="12" w:space="0"/>
            </w:tcBorders>
            <w:tcW w:w="0" w:type="auto"/>
            <w:vAlign w:val="center"/>
          </w:tcPr>
          <w:p>
            <w:pPr>
              <w:pStyle w:val="711"/>
              <w:pBdr/>
              <w:spacing/>
              <w:ind/>
              <w:rPr/>
            </w:pPr>
            <w:r>
              <w:rPr>
                <w:rStyle w:val="712"/>
              </w:rPr>
              <w:t xml:space="preserve">Godina 0</w:t>
            </w:r>
            <w:r/>
          </w:p>
        </w:tc>
        <w:tc>
          <w:tcPr>
            <w:tcBorders>
              <w:bottom w:val="single" w:color="dddddd" w:sz="12" w:space="0"/>
            </w:tcBorders>
            <w:tcW w:w="0" w:type="auto"/>
            <w:vAlign w:val="center"/>
          </w:tcPr>
          <w:p>
            <w:pPr>
              <w:pStyle w:val="711"/>
              <w:pBdr/>
              <w:spacing/>
              <w:ind/>
              <w:rPr/>
            </w:pPr>
            <w:r>
              <w:rPr>
                <w:rStyle w:val="712"/>
              </w:rPr>
              <w:t xml:space="preserve">Godina 1</w:t>
            </w:r>
            <w:r/>
          </w:p>
        </w:tc>
        <w:tc>
          <w:tcPr>
            <w:tcBorders>
              <w:bottom w:val="single" w:color="dddddd" w:sz="12" w:space="0"/>
            </w:tcBorders>
            <w:tcW w:w="0" w:type="auto"/>
            <w:vAlign w:val="center"/>
          </w:tcPr>
          <w:p>
            <w:pPr>
              <w:pStyle w:val="711"/>
              <w:pBdr/>
              <w:spacing/>
              <w:ind/>
              <w:rPr/>
            </w:pPr>
            <w:r>
              <w:rPr>
                <w:rStyle w:val="712"/>
              </w:rPr>
              <w:t xml:space="preserve">Godina 2</w:t>
            </w:r>
            <w:r/>
          </w:p>
        </w:tc>
        <w:tc>
          <w:tcPr>
            <w:tcBorders>
              <w:bottom w:val="single" w:color="dddddd" w:sz="12" w:space="0"/>
            </w:tcBorders>
            <w:tcW w:w="0" w:type="auto"/>
            <w:vAlign w:val="center"/>
          </w:tcPr>
          <w:p>
            <w:pPr>
              <w:pStyle w:val="711"/>
              <w:pBdr/>
              <w:spacing/>
              <w:ind/>
              <w:rPr/>
            </w:pPr>
            <w:r>
              <w:rPr>
                <w:rStyle w:val="712"/>
              </w:rPr>
              <w:t xml:space="preserve">Godina 3</w:t>
            </w:r>
            <w:r/>
          </w:p>
        </w:tc>
        <w:tc>
          <w:tcPr>
            <w:tcBorders>
              <w:bottom w:val="single" w:color="dddddd" w:sz="12" w:space="0"/>
            </w:tcBorders>
            <w:tcW w:w="0" w:type="auto"/>
            <w:vAlign w:val="center"/>
          </w:tcPr>
          <w:p>
            <w:pPr>
              <w:pStyle w:val="711"/>
              <w:pBdr/>
              <w:spacing/>
              <w:ind/>
              <w:rPr/>
            </w:pPr>
            <w:r>
              <w:rPr>
                <w:rStyle w:val="712"/>
              </w:rPr>
              <w:t xml:space="preserve">Ukupno</w:t>
            </w:r>
            <w:r/>
          </w:p>
        </w:tc>
      </w:tr>
      <w:tr>
        <w:trPr/>
        <w:tc>
          <w:tcPr>
            <w:tcBorders>
              <w:top w:val="single" w:color="dddddd" w:sz="6" w:space="0"/>
            </w:tcBorders>
            <w:tcW w:w="0" w:type="auto"/>
            <w:vAlign w:val="center"/>
          </w:tcPr>
          <w:p>
            <w:pPr>
              <w:pStyle w:val="720"/>
              <w:pBdr/>
              <w:spacing/>
              <w:ind/>
              <w:rPr/>
            </w:pPr>
            <w:r>
              <w:rPr>
                <w:rStyle w:val="721"/>
              </w:rPr>
              <w:t xml:space="preserve">Ukupna korist (KM)</w:t>
            </w:r>
            <w:r/>
          </w:p>
        </w:tc>
        <w:tc>
          <w:tcPr>
            <w:tcBorders>
              <w:top w:val="single" w:color="dddddd" w:sz="6" w:space="0"/>
            </w:tcBorders>
            <w:tcW w:w="0" w:type="auto"/>
            <w:vAlign w:val="center"/>
          </w:tcPr>
          <w:p>
            <w:pPr>
              <w:pStyle w:val="717"/>
              <w:pBdr/>
              <w:spacing/>
              <w:ind/>
              <w:rPr/>
            </w:pPr>
            <w:r>
              <w:rPr>
                <w:rStyle w:val="718"/>
              </w:rPr>
              <w:t xml:space="preserve">0</w:t>
            </w:r>
            <w:r/>
          </w:p>
        </w:tc>
        <w:tc>
          <w:tcPr>
            <w:tcBorders>
              <w:top w:val="single" w:color="dddddd" w:sz="6" w:space="0"/>
            </w:tcBorders>
            <w:tcW w:w="0" w:type="auto"/>
            <w:vAlign w:val="center"/>
          </w:tcPr>
          <w:p>
            <w:pPr>
              <w:pStyle w:val="717"/>
              <w:pBdr/>
              <w:spacing/>
              <w:ind/>
              <w:rPr/>
            </w:pPr>
            <w:r>
              <w:rPr>
                <w:rStyle w:val="718"/>
              </w:rPr>
              <w:t xml:space="preserve">14.000</w:t>
            </w:r>
            <w:r/>
          </w:p>
        </w:tc>
        <w:tc>
          <w:tcPr>
            <w:tcBorders>
              <w:top w:val="single" w:color="dddddd" w:sz="6" w:space="0"/>
            </w:tcBorders>
            <w:tcW w:w="0" w:type="auto"/>
            <w:vAlign w:val="center"/>
          </w:tcPr>
          <w:p>
            <w:pPr>
              <w:pStyle w:val="717"/>
              <w:pBdr/>
              <w:spacing/>
              <w:ind/>
              <w:rPr/>
            </w:pPr>
            <w:r>
              <w:rPr>
                <w:rStyle w:val="718"/>
              </w:rPr>
              <w:t xml:space="preserve">16.500</w:t>
            </w:r>
            <w:r/>
          </w:p>
        </w:tc>
        <w:tc>
          <w:tcPr>
            <w:tcBorders>
              <w:top w:val="single" w:color="dddddd" w:sz="6" w:space="0"/>
            </w:tcBorders>
            <w:tcW w:w="0" w:type="auto"/>
            <w:vAlign w:val="center"/>
          </w:tcPr>
          <w:p>
            <w:pPr>
              <w:pStyle w:val="717"/>
              <w:pBdr/>
              <w:spacing/>
              <w:ind/>
              <w:rPr/>
            </w:pPr>
            <w:r>
              <w:rPr>
                <w:rStyle w:val="718"/>
              </w:rPr>
              <w:t xml:space="preserve">19.500</w:t>
            </w:r>
            <w:r/>
          </w:p>
        </w:tc>
        <w:tc>
          <w:tcPr>
            <w:tcBorders>
              <w:top w:val="single" w:color="dddddd" w:sz="6" w:space="0"/>
            </w:tcBorders>
            <w:tcW w:w="0" w:type="auto"/>
            <w:vAlign w:val="center"/>
          </w:tcPr>
          <w:p>
            <w:pPr>
              <w:pStyle w:val="720"/>
              <w:pBdr/>
              <w:spacing/>
              <w:ind/>
              <w:rPr/>
            </w:pPr>
            <w:r>
              <w:rPr>
                <w:rStyle w:val="721"/>
              </w:rPr>
              <w:t xml:space="preserve">50.000</w:t>
            </w:r>
            <w:r/>
          </w:p>
        </w:tc>
      </w:tr>
      <w:tr>
        <w:trPr/>
        <w:tc>
          <w:tcPr>
            <w:tcBorders>
              <w:top w:val="single" w:color="dddddd" w:sz="6" w:space="0"/>
            </w:tcBorders>
            <w:tcW w:w="0" w:type="auto"/>
            <w:vAlign w:val="center"/>
          </w:tcPr>
          <w:p>
            <w:pPr>
              <w:pStyle w:val="720"/>
              <w:pBdr/>
              <w:spacing/>
              <w:ind/>
              <w:rPr/>
            </w:pPr>
            <w:r>
              <w:rPr>
                <w:rStyle w:val="721"/>
              </w:rPr>
              <w:t xml:space="preserve">Ukupan trošak (KM)</w:t>
            </w:r>
            <w:r/>
          </w:p>
        </w:tc>
        <w:tc>
          <w:tcPr>
            <w:tcBorders>
              <w:top w:val="single" w:color="dddddd" w:sz="6" w:space="0"/>
            </w:tcBorders>
            <w:tcW w:w="0" w:type="auto"/>
            <w:vAlign w:val="center"/>
          </w:tcPr>
          <w:p>
            <w:pPr>
              <w:pStyle w:val="717"/>
              <w:pBdr/>
              <w:spacing/>
              <w:ind/>
              <w:rPr/>
            </w:pPr>
            <w:r>
              <w:rPr>
                <w:rStyle w:val="718"/>
              </w:rPr>
              <w:t xml:space="preserve">24.000</w:t>
            </w:r>
            <w:r/>
          </w:p>
        </w:tc>
        <w:tc>
          <w:tcPr>
            <w:tcBorders>
              <w:top w:val="single" w:color="dddddd" w:sz="6" w:space="0"/>
            </w:tcBorders>
            <w:tcW w:w="0" w:type="auto"/>
            <w:vAlign w:val="center"/>
          </w:tcPr>
          <w:p>
            <w:pPr>
              <w:pStyle w:val="717"/>
              <w:pBdr/>
              <w:spacing/>
              <w:ind/>
              <w:rPr/>
            </w:pPr>
            <w:r>
              <w:rPr>
                <w:rStyle w:val="718"/>
              </w:rPr>
              <w:t xml:space="preserve">4.000</w:t>
            </w:r>
            <w:r/>
          </w:p>
        </w:tc>
        <w:tc>
          <w:tcPr>
            <w:tcBorders>
              <w:top w:val="single" w:color="dddddd" w:sz="6" w:space="0"/>
            </w:tcBorders>
            <w:tcW w:w="0" w:type="auto"/>
            <w:vAlign w:val="center"/>
          </w:tcPr>
          <w:p>
            <w:pPr>
              <w:pStyle w:val="717"/>
              <w:pBdr/>
              <w:spacing/>
              <w:ind/>
              <w:rPr/>
            </w:pPr>
            <w:r>
              <w:rPr>
                <w:rStyle w:val="718"/>
              </w:rPr>
              <w:t xml:space="preserve">4.500</w:t>
            </w:r>
            <w:r/>
          </w:p>
        </w:tc>
        <w:tc>
          <w:tcPr>
            <w:tcBorders>
              <w:top w:val="single" w:color="dddddd" w:sz="6" w:space="0"/>
            </w:tcBorders>
            <w:tcW w:w="0" w:type="auto"/>
            <w:vAlign w:val="center"/>
          </w:tcPr>
          <w:p>
            <w:pPr>
              <w:pStyle w:val="717"/>
              <w:pBdr/>
              <w:spacing/>
              <w:ind/>
              <w:rPr/>
            </w:pPr>
            <w:r>
              <w:rPr>
                <w:rStyle w:val="718"/>
              </w:rPr>
              <w:t xml:space="preserve">5.000</w:t>
            </w:r>
            <w:r/>
          </w:p>
        </w:tc>
        <w:tc>
          <w:tcPr>
            <w:tcBorders>
              <w:top w:val="single" w:color="dddddd" w:sz="6" w:space="0"/>
            </w:tcBorders>
            <w:tcW w:w="0" w:type="auto"/>
            <w:vAlign w:val="center"/>
          </w:tcPr>
          <w:p>
            <w:pPr>
              <w:pStyle w:val="720"/>
              <w:pBdr/>
              <w:spacing/>
              <w:ind/>
              <w:rPr/>
            </w:pPr>
            <w:r>
              <w:rPr>
                <w:rStyle w:val="721"/>
              </w:rPr>
              <w:t xml:space="preserve">37.500</w:t>
            </w:r>
            <w:r/>
          </w:p>
        </w:tc>
      </w:tr>
      <w:tr>
        <w:trPr/>
        <w:tc>
          <w:tcPr>
            <w:tcBorders>
              <w:top w:val="single" w:color="dddddd" w:sz="6" w:space="0"/>
            </w:tcBorders>
            <w:tcW w:w="0" w:type="auto"/>
            <w:vAlign w:val="center"/>
          </w:tcPr>
          <w:p>
            <w:pPr>
              <w:pStyle w:val="720"/>
              <w:pBdr/>
              <w:spacing/>
              <w:ind/>
              <w:rPr/>
            </w:pPr>
            <w:r>
              <w:rPr>
                <w:rStyle w:val="721"/>
              </w:rPr>
              <w:t xml:space="preserve">Neto korist</w:t>
            </w:r>
            <w:r>
              <w:rPr>
                <w:rStyle w:val="719"/>
              </w:rPr>
              <w:t xml:space="preserve">(Ukupna korist − Ukupan trošak)</w:t>
            </w:r>
            <w:r/>
          </w:p>
        </w:tc>
        <w:tc>
          <w:tcPr>
            <w:tcBorders>
              <w:top w:val="single" w:color="dddddd" w:sz="6" w:space="0"/>
            </w:tcBorders>
            <w:tcW w:w="0" w:type="auto"/>
            <w:vAlign w:val="center"/>
          </w:tcPr>
          <w:p>
            <w:pPr>
              <w:pStyle w:val="717"/>
              <w:pBdr/>
              <w:spacing/>
              <w:ind/>
              <w:rPr/>
            </w:pPr>
            <w:r>
              <w:rPr>
                <w:rStyle w:val="718"/>
              </w:rPr>
              <w:t xml:space="preserve">-24.000</w:t>
            </w:r>
            <w:r/>
          </w:p>
        </w:tc>
        <w:tc>
          <w:tcPr>
            <w:tcBorders>
              <w:top w:val="single" w:color="dddddd" w:sz="6" w:space="0"/>
            </w:tcBorders>
            <w:tcW w:w="0" w:type="auto"/>
            <w:vAlign w:val="center"/>
          </w:tcPr>
          <w:p>
            <w:pPr>
              <w:pStyle w:val="717"/>
              <w:pBdr/>
              <w:spacing/>
              <w:ind/>
              <w:rPr/>
            </w:pPr>
            <w:r>
              <w:rPr>
                <w:rStyle w:val="718"/>
              </w:rPr>
              <w:t xml:space="preserve">10.000</w:t>
            </w:r>
            <w:r/>
          </w:p>
        </w:tc>
        <w:tc>
          <w:tcPr>
            <w:tcBorders>
              <w:top w:val="single" w:color="dddddd" w:sz="6" w:space="0"/>
            </w:tcBorders>
            <w:tcW w:w="0" w:type="auto"/>
            <w:vAlign w:val="center"/>
          </w:tcPr>
          <w:p>
            <w:pPr>
              <w:pStyle w:val="717"/>
              <w:pBdr/>
              <w:spacing/>
              <w:ind/>
              <w:rPr/>
            </w:pPr>
            <w:r>
              <w:rPr>
                <w:rStyle w:val="718"/>
              </w:rPr>
              <w:t xml:space="preserve">12.000</w:t>
            </w:r>
            <w:r/>
          </w:p>
        </w:tc>
        <w:tc>
          <w:tcPr>
            <w:tcBorders>
              <w:top w:val="single" w:color="dddddd" w:sz="6" w:space="0"/>
            </w:tcBorders>
            <w:tcW w:w="0" w:type="auto"/>
            <w:vAlign w:val="center"/>
          </w:tcPr>
          <w:p>
            <w:pPr>
              <w:pStyle w:val="717"/>
              <w:pBdr/>
              <w:spacing/>
              <w:ind/>
              <w:rPr/>
            </w:pPr>
            <w:r>
              <w:rPr>
                <w:rStyle w:val="718"/>
              </w:rPr>
              <w:t xml:space="preserve">14.500</w:t>
            </w:r>
            <w:r/>
          </w:p>
        </w:tc>
        <w:tc>
          <w:tcPr>
            <w:tcBorders>
              <w:top w:val="single" w:color="dddddd" w:sz="6" w:space="0"/>
            </w:tcBorders>
            <w:tcW w:w="0" w:type="auto"/>
            <w:vAlign w:val="center"/>
          </w:tcPr>
          <w:p>
            <w:pPr>
              <w:pStyle w:val="720"/>
              <w:pBdr/>
              <w:spacing/>
              <w:ind/>
              <w:rPr/>
            </w:pPr>
            <w:r>
              <w:rPr>
                <w:rStyle w:val="721"/>
              </w:rPr>
              <w:t xml:space="preserve">12.500</w:t>
            </w:r>
            <w:r/>
          </w:p>
        </w:tc>
      </w:tr>
      <w:tr>
        <w:trPr/>
        <w:tc>
          <w:tcPr>
            <w:tcBorders>
              <w:top w:val="single" w:color="dddddd" w:sz="6" w:space="0"/>
            </w:tcBorders>
            <w:tcW w:w="0" w:type="auto"/>
            <w:vAlign w:val="center"/>
          </w:tcPr>
          <w:p>
            <w:pPr>
              <w:pStyle w:val="720"/>
              <w:pBdr/>
              <w:spacing/>
              <w:ind/>
              <w:rPr/>
            </w:pPr>
            <w:r>
              <w:rPr>
                <w:rStyle w:val="721"/>
              </w:rPr>
              <w:t xml:space="preserve">Kumulativni tok novca (KM)</w:t>
            </w:r>
            <w:r/>
          </w:p>
        </w:tc>
        <w:tc>
          <w:tcPr>
            <w:tcBorders>
              <w:top w:val="single" w:color="dddddd" w:sz="6" w:space="0"/>
            </w:tcBorders>
            <w:tcW w:w="0" w:type="auto"/>
            <w:vAlign w:val="center"/>
          </w:tcPr>
          <w:p>
            <w:pPr>
              <w:pStyle w:val="717"/>
              <w:pBdr/>
              <w:spacing/>
              <w:ind/>
              <w:rPr/>
            </w:pPr>
            <w:r>
              <w:rPr>
                <w:rStyle w:val="718"/>
              </w:rPr>
              <w:t xml:space="preserve">-24.000</w:t>
            </w:r>
            <w:r/>
          </w:p>
        </w:tc>
        <w:tc>
          <w:tcPr>
            <w:tcBorders>
              <w:top w:val="single" w:color="dddddd" w:sz="6" w:space="0"/>
            </w:tcBorders>
            <w:tcW w:w="0" w:type="auto"/>
            <w:vAlign w:val="center"/>
          </w:tcPr>
          <w:p>
            <w:pPr>
              <w:pStyle w:val="717"/>
              <w:pBdr/>
              <w:spacing/>
              <w:ind/>
              <w:rPr/>
            </w:pPr>
            <w:r>
              <w:rPr>
                <w:rStyle w:val="718"/>
              </w:rPr>
              <w:t xml:space="preserve">-14.000</w:t>
            </w:r>
            <w:r/>
          </w:p>
        </w:tc>
        <w:tc>
          <w:tcPr>
            <w:tcBorders>
              <w:top w:val="single" w:color="dddddd" w:sz="6" w:space="0"/>
            </w:tcBorders>
            <w:tcW w:w="0" w:type="auto"/>
            <w:vAlign w:val="center"/>
          </w:tcPr>
          <w:p>
            <w:pPr>
              <w:pStyle w:val="717"/>
              <w:pBdr/>
              <w:spacing/>
              <w:ind/>
              <w:rPr/>
            </w:pPr>
            <w:r>
              <w:rPr>
                <w:rStyle w:val="718"/>
              </w:rPr>
              <w:t xml:space="preserve">-2.000</w:t>
            </w:r>
            <w:r/>
          </w:p>
        </w:tc>
        <w:tc>
          <w:tcPr>
            <w:tcBorders>
              <w:top w:val="single" w:color="dddddd" w:sz="6" w:space="0"/>
            </w:tcBorders>
            <w:tcW w:w="0" w:type="auto"/>
            <w:vAlign w:val="center"/>
          </w:tcPr>
          <w:p>
            <w:pPr>
              <w:pStyle w:val="717"/>
              <w:pBdr/>
              <w:spacing/>
              <w:ind/>
              <w:rPr/>
            </w:pPr>
            <w:r>
              <w:rPr>
                <w:rStyle w:val="718"/>
              </w:rPr>
              <w:t xml:space="preserve">12.500</w:t>
            </w:r>
            <w:r/>
          </w:p>
        </w:tc>
        <w:tc>
          <w:tcPr>
            <w:tcBorders>
              <w:top w:val="single" w:color="dddddd" w:sz="6" w:space="0"/>
            </w:tcBorders>
            <w:tcW w:w="0" w:type="auto"/>
            <w:vAlign w:val="center"/>
          </w:tcPr>
          <w:p>
            <w:pPr>
              <w:pBdr/>
              <w:spacing/>
              <w:ind/>
              <w:rPr>
                <w:rFonts w:eastAsia="Times New Roman"/>
              </w:rPr>
            </w:pPr>
            <w:r>
              <w:rPr>
                <w:rFonts w:eastAsia="Times New Roman"/>
              </w:rPr>
            </w:r>
          </w:p>
        </w:tc>
      </w:tr>
    </w:tbl>
    <w:p>
      <w:pPr>
        <w:pBdr/>
        <w:spacing/>
        <w:ind/>
        <w:rPr>
          <w:rFonts w:eastAsia="Times New Roman"/>
          <w:vanish/>
          <w:sz w:val="2"/>
          <w:szCs w:val="2"/>
        </w:rPr>
      </w:pPr>
      <w:r>
        <w:rPr>
          <w:rFonts w:eastAsia="Times New Roman"/>
          <w:vanish/>
          <w:sz w:val="2"/>
          <w:szCs w:val="2"/>
        </w:rPr>
      </w:r>
    </w:p>
    <w:p>
      <w:pPr>
        <w:pStyle w:val="705"/>
        <w:pBdr/>
        <w:spacing/>
        <w:ind/>
        <w:rPr/>
      </w:pPr>
      <w:r>
        <w:rPr>
          <w:rStyle w:val="706"/>
        </w:rPr>
        <w:t xml:space="preserve">2. Povrat ulaganja (ROI – Return on Investment)</w:t>
      </w:r>
      <w:r/>
    </w:p>
    <w:p>
      <w:pPr>
        <w:pStyle w:val="699"/>
        <w:pBdr/>
        <w:spacing/>
        <w:ind/>
        <w:rPr>
          <w:rStyle w:val="700"/>
          <w:highlight w:val="none"/>
        </w:rPr>
      </w:pPr>
      <w:r>
        <w:rPr>
          <w:rStyle w:val="700"/>
        </w:rPr>
        <w:t xml:space="preserve">Povrat ulaganja pokazuje kolika je neto korist projekta u odnosu na ukupne troškove:</w:t>
      </w:r>
      <w:r/>
    </w:p>
    <w:p w14:paraId="605B7952">
      <w:pPr>
        <w:pStyle w:val="699"/>
        <w:pBdr/>
        <w:spacing/>
        <w:ind/>
        <w:rPr/>
      </w:pPr>
      <w:r/>
    </w:p>
    <w:p w14:paraId="03000A91">
      <w:pPr>
        <w:pStyle w:val="699"/>
        <w:pBdr/>
        <w:spacing/>
        <w:ind/>
        <w:rPr/>
      </w:pPr>
      <w:r>
        <w:rPr>
          <w:rStyle w:val="700"/>
          <w:highlight w:val="none"/>
        </w:rPr>
      </w:r>
    </w:p>
    <w:p>
      <w:pPr>
        <w:pStyle w:val="699"/>
        <w:pBdr/>
        <w:spacing/>
        <w:ind/>
        <w:rPr/>
      </w:pPr>
      <m:oMathPara>
        <m:oMath>
          <m:r>
            <m:rPr>
              <m:nor/>
            </m:rPr>
            <w:rPr>
              <w:rStyle w:val="700"/>
            </w:rPr>
            <m:t xml:space="preserve">Neto korist</m:t>
          </m:r>
          <m:r>
            <m:rPr>
              <m:sty m:val="p"/>
            </m:rPr>
            <w:rPr>
              <w:rStyle w:val="700"/>
            </w:rPr>
            <m:t xml:space="preserve">=</m:t>
          </m:r>
          <m:r>
            <m:rPr>
              <m:nor/>
            </m:rPr>
            <w:rPr>
              <w:rStyle w:val="700"/>
            </w:rPr>
            <m:t xml:space="preserve">Ukupna korist</m:t>
          </m:r>
          <m:r>
            <m:rPr>
              <m:sty m:val="p"/>
            </m:rPr>
            <w:rPr>
              <w:rStyle w:val="700"/>
            </w:rPr>
            <m:t xml:space="preserve">-</m:t>
          </m:r>
          <m:r>
            <m:rPr>
              <m:nor/>
            </m:rPr>
            <w:rPr>
              <w:rStyle w:val="700"/>
            </w:rPr>
            <m:t xml:space="preserve">Ukupan trošak</m:t>
          </m:r>
          <m:r>
            <m:rPr>
              <m:sty m:val="p"/>
            </m:rPr>
            <w:rPr>
              <w:rStyle w:val="700"/>
            </w:rPr>
            <m:t xml:space="preserve">=</m:t>
          </m:r>
          <m:r>
            <m:rPr>
              <m:nor/>
            </m:rPr>
            <w:rPr>
              <w:rStyle w:val="700"/>
            </w:rPr>
            <m:t xml:space="preserve">50.000</m:t>
          </m:r>
          <m:r>
            <m:rPr>
              <m:sty m:val="p"/>
            </m:rPr>
            <w:rPr>
              <w:rStyle w:val="700"/>
            </w:rPr>
            <m:t xml:space="preserve">-</m:t>
          </m:r>
          <m:r>
            <m:rPr>
              <m:nor/>
            </m:rPr>
            <w:rPr>
              <w:rStyle w:val="700"/>
            </w:rPr>
            <m:t xml:space="preserve">37.500</m:t>
          </m:r>
          <m:r>
            <m:rPr>
              <m:sty m:val="p"/>
            </m:rPr>
            <w:rPr>
              <w:rStyle w:val="700"/>
            </w:rPr>
            <m:t xml:space="preserve">=</m:t>
          </m:r>
          <m:r>
            <m:rPr>
              <m:nor/>
            </m:rPr>
            <w:rPr>
              <w:rStyle w:val="700"/>
            </w:rPr>
            <m:t xml:space="preserve">12.500</m:t>
          </m:r>
          <m:r>
            <m:rPr>
              <m:nor/>
            </m:rPr>
            <w:rPr>
              <w:rStyle w:val="700"/>
            </w:rPr>
            <m:t xml:space="preserve"> KM</m:t>
          </m:r>
        </m:oMath>
      </m:oMathPara>
    </w:p>
    <w:p>
      <w:pPr>
        <w:pStyle w:val="699"/>
        <w:pBdr/>
        <w:spacing/>
        <w:ind/>
        <w:rPr/>
      </w:pPr>
      <m:oMathPara>
        <m:oMath>
          <m:r>
            <m:rPr>
              <m:nor/>
            </m:rPr>
            <w:rPr>
              <w:rStyle w:val="700"/>
            </w:rPr>
            <m:t xml:space="preserve">ROI</m:t>
          </m:r>
          <m:r>
            <m:rPr>
              <m:sty m:val="p"/>
            </m:rPr>
            <w:rPr>
              <w:rStyle w:val="700"/>
            </w:rPr>
            <m:t xml:space="preserve">=</m:t>
          </m:r>
          <m:f>
            <m:num>
              <m:r>
                <m:rPr>
                  <m:nor/>
                </m:rPr>
                <w:rPr>
                  <w:rStyle w:val="700"/>
                </w:rPr>
                <m:t xml:space="preserve">Ukupna korist</m:t>
              </m:r>
              <m:r>
                <m:rPr>
                  <m:sty m:val="p"/>
                </m:rPr>
                <w:rPr>
                  <w:rStyle w:val="700"/>
                </w:rPr>
                <m:t xml:space="preserve">-</m:t>
              </m:r>
              <m:r>
                <m:rPr>
                  <m:nor/>
                </m:rPr>
                <w:rPr>
                  <w:rStyle w:val="700"/>
                </w:rPr>
                <m:t xml:space="preserve">Ukupan trošak</m:t>
              </m:r>
            </m:num>
            <m:den>
              <m:r>
                <m:rPr>
                  <m:nor/>
                </m:rPr>
                <w:rPr>
                  <w:rStyle w:val="700"/>
                </w:rPr>
                <m:t xml:space="preserve">Ukupan trošak</m:t>
              </m:r>
            </m:den>
          </m:f>
          <m:r>
            <m:rPr>
              <m:sty m:val="p"/>
            </m:rPr>
            <w:rPr>
              <w:rStyle w:val="700"/>
            </w:rPr>
            <m:t xml:space="preserve">×</m:t>
          </m:r>
          <m:r>
            <m:rPr>
              <m:nor/>
            </m:rPr>
            <w:rPr>
              <w:rStyle w:val="700"/>
            </w:rPr>
            <m:t xml:space="preserve">100</m:t>
          </m:r>
          <m:r>
            <m:rPr>
              <m:sty m:val="p"/>
            </m:rPr>
            <w:rPr>
              <w:rStyle w:val="700"/>
            </w:rPr>
            <m:t xml:space="preserve">%=</m:t>
          </m:r>
          <m:f>
            <m:num>
              <m:r>
                <m:rPr>
                  <m:nor/>
                </m:rPr>
                <w:rPr>
                  <w:rStyle w:val="700"/>
                </w:rPr>
                <m:t xml:space="preserve">12.500</m:t>
              </m:r>
            </m:num>
            <m:den>
              <m:r>
                <m:rPr>
                  <m:nor/>
                </m:rPr>
                <w:rPr>
                  <w:rStyle w:val="700"/>
                </w:rPr>
                <m:t xml:space="preserve">37.500</m:t>
              </m:r>
            </m:den>
          </m:f>
          <m:r>
            <m:rPr>
              <m:sty m:val="p"/>
            </m:rPr>
            <w:rPr>
              <w:rStyle w:val="700"/>
            </w:rPr>
            <m:t xml:space="preserve">×</m:t>
          </m:r>
          <m:r>
            <m:rPr>
              <m:nor/>
            </m:rPr>
            <w:rPr>
              <w:rStyle w:val="700"/>
            </w:rPr>
            <m:t xml:space="preserve">100</m:t>
          </m:r>
          <m:r>
            <m:rPr>
              <m:sty m:val="p"/>
            </m:rPr>
            <w:rPr>
              <w:rStyle w:val="700"/>
            </w:rPr>
            <m:t xml:space="preserve">%=</m:t>
          </m:r>
          <m:r>
            <m:rPr>
              <m:nor/>
            </m:rPr>
            <w:rPr>
              <w:rStyle w:val="700"/>
            </w:rPr>
            <m:t xml:space="preserve">33,33</m:t>
          </m:r>
          <m:r>
            <m:rPr>
              <m:sty m:val="p"/>
            </m:rPr>
            <w:rPr>
              <w:rStyle w:val="700"/>
            </w:rPr>
            <m:t xml:space="preserve">%</m:t>
          </m:r>
        </m:oMath>
      </m:oMathPara>
    </w:p>
    <w:p>
      <w:pPr>
        <w:pStyle w:val="729"/>
        <w:pBdr/>
        <w:spacing/>
        <w:ind/>
        <w:rPr/>
      </w:pPr>
      <w:r>
        <w:rPr>
          <w:rStyle w:val="701"/>
        </w:rPr>
        <w:t xml:space="preserve">Tumačenje:</w:t>
      </w:r>
      <w:r>
        <w:rPr>
          <w:rStyle w:val="700"/>
        </w:rPr>
        <w:t xml:space="preserve"> Ostvareni ROI od </w:t>
      </w:r>
      <w:r>
        <w:rPr>
          <w:rStyle w:val="701"/>
        </w:rPr>
        <w:t xml:space="preserve">33,33%</w:t>
      </w:r>
      <w:r>
        <w:rPr>
          <w:rStyle w:val="700"/>
        </w:rPr>
        <w:t xml:space="preserve"> pokazuje da ukupne koristi projekta značajno premašuju ukupna ulaganja. Budući da osnovni ROI ne uzima u obzir vremensku vrijednost novca niti dinamiku pristizanja priliva, u nastavku se računaju period povrata i neto sadašnja vrijednost (NPV).</w:t>
      </w:r>
      <w:r/>
    </w:p>
    <w:p>
      <w:pPr>
        <w:pStyle w:val="705"/>
        <w:pBdr/>
        <w:spacing/>
        <w:ind/>
        <w:rPr/>
      </w:pPr>
      <w:r>
        <w:rPr>
          <w:rStyle w:val="706"/>
        </w:rPr>
        <w:t xml:space="preserve">3. Period povrata ulaganja (Payback Period – PB)</w:t>
      </w:r>
      <w:r/>
    </w:p>
    <w:p>
      <w:pPr>
        <w:pStyle w:val="699"/>
        <w:pBdr/>
        <w:spacing/>
        <w:ind/>
        <w:rPr/>
      </w:pPr>
      <w:r>
        <w:rPr>
          <w:rStyle w:val="700"/>
        </w:rPr>
        <w:t xml:space="preserve">Budući da projekat ostvaruje neravnomjerne neto novčane prilive po godinama, period povrata računa se na osnovu kumulativnog toka novca:</w:t>
      </w:r>
      <w:r/>
    </w:p>
    <w:p>
      <w:pPr>
        <w:pStyle w:val="731"/>
        <w:numPr>
          <w:ilvl w:val="0"/>
          <w:numId w:val="1"/>
        </w:numPr>
        <w:pBdr/>
        <w:spacing/>
        <w:ind/>
        <w:rPr/>
      </w:pPr>
      <w:r>
        <w:rPr>
          <w:rStyle w:val="727"/>
        </w:rPr>
        <w:t xml:space="preserve">Kumulativni tok novca je negativan u Godini 1 (-14.000 KM) i Godini 2 (-2.000 KM), dok u Godini 3 postaje pozitivan (+12.500 KM) uz neto godišnju korist od 14.500 KM.</w:t>
      </w:r>
      <w:r/>
    </w:p>
    <w:p>
      <w:pPr>
        <w:pStyle w:val="699"/>
        <w:pBdr/>
        <w:spacing/>
        <w:ind/>
        <w:rPr/>
      </w:pPr>
      <m:oMathPara>
        <m:oMath>
          <m:r>
            <m:rPr>
              <m:nor/>
            </m:rPr>
            <w:rPr>
              <w:rStyle w:val="700"/>
            </w:rPr>
            <m:t xml:space="preserve">PB</m:t>
          </m:r>
          <m:r>
            <m:rPr>
              <m:sty m:val="p"/>
            </m:rPr>
            <w:rPr>
              <w:rStyle w:val="700"/>
            </w:rPr>
            <m:t xml:space="preserve">=</m:t>
          </m:r>
          <m:r>
            <m:rPr>
              <m:nor/>
            </m:rPr>
            <w:rPr>
              <w:rStyle w:val="700"/>
            </w:rPr>
            <m:t xml:space="preserve">br. god. sa neg. tokom novca</m:t>
          </m:r>
          <m:r>
            <m:rPr>
              <m:sty m:val="p"/>
            </m:rPr>
            <w:rPr>
              <w:rStyle w:val="700"/>
            </w:rPr>
            <m:t xml:space="preserve">+</m:t>
          </m:r>
          <m:f>
            <m:num>
              <m:r>
                <m:rPr>
                  <m:nor/>
                </m:rPr>
                <w:rPr>
                  <w:rStyle w:val="700"/>
                </w:rPr>
                <m:t xml:space="preserve">neto korist za poz. god.</m:t>
              </m:r>
              <m:r>
                <m:rPr>
                  <m:sty m:val="p"/>
                </m:rPr>
                <w:rPr>
                  <w:rStyle w:val="700"/>
                </w:rPr>
                <m:t xml:space="preserve">-</m:t>
              </m:r>
              <m:r>
                <m:rPr>
                  <m:nor/>
                </m:rPr>
                <w:rPr>
                  <w:rStyle w:val="700"/>
                </w:rPr>
                <m:t xml:space="preserve">kumul. tok novca za poz. god.</m:t>
              </m:r>
            </m:num>
            <m:den>
              <m:r>
                <m:rPr>
                  <m:nor/>
                </m:rPr>
                <w:rPr>
                  <w:rStyle w:val="700"/>
                </w:rPr>
                <m:t xml:space="preserve">neto korist za poz. god.</m:t>
              </m:r>
            </m:den>
          </m:f>
        </m:oMath>
      </m:oMathPara>
    </w:p>
    <w:p>
      <w:pPr>
        <w:pStyle w:val="699"/>
        <w:pBdr/>
        <w:spacing/>
        <w:ind/>
        <w:rPr/>
      </w:pPr>
      <m:oMathPara>
        <m:oMath>
          <m:r>
            <m:rPr>
              <m:nor/>
            </m:rPr>
            <w:rPr>
              <w:rStyle w:val="700"/>
            </w:rPr>
            <m:t xml:space="preserve">PB</m:t>
          </m:r>
          <m:r>
            <m:rPr>
              <m:sty m:val="p"/>
            </m:rPr>
            <w:rPr>
              <w:rStyle w:val="700"/>
            </w:rPr>
            <m:t xml:space="preserve">=</m:t>
          </m:r>
          <m:r>
            <m:rPr>
              <m:nor/>
            </m:rPr>
            <w:rPr>
              <w:rStyle w:val="700"/>
            </w:rPr>
            <m:t xml:space="preserve">2</m:t>
          </m:r>
          <m:r>
            <m:rPr>
              <m:sty m:val="p"/>
            </m:rPr>
            <w:rPr>
              <w:rStyle w:val="700"/>
            </w:rPr>
            <m:t xml:space="preserve">+</m:t>
          </m:r>
          <m:f>
            <m:num>
              <m:r>
                <m:rPr>
                  <m:nor/>
                </m:rPr>
                <w:rPr>
                  <w:rStyle w:val="700"/>
                </w:rPr>
                <m:t xml:space="preserve">14.500</m:t>
              </m:r>
              <m:r>
                <m:rPr>
                  <m:sty m:val="p"/>
                </m:rPr>
                <w:rPr>
                  <w:rStyle w:val="700"/>
                </w:rPr>
                <m:t xml:space="preserve">-</m:t>
              </m:r>
              <m:r>
                <m:rPr>
                  <m:nor/>
                </m:rPr>
                <w:rPr>
                  <w:rStyle w:val="700"/>
                </w:rPr>
                <m:t xml:space="preserve">12.500</m:t>
              </m:r>
            </m:num>
            <m:den>
              <m:r>
                <m:rPr>
                  <m:nor/>
                </m:rPr>
                <w:rPr>
                  <w:rStyle w:val="700"/>
                </w:rPr>
                <m:t xml:space="preserve">14.500</m:t>
              </m:r>
            </m:den>
          </m:f>
          <m:r>
            <m:rPr>
              <m:sty m:val="p"/>
            </m:rPr>
            <w:rPr>
              <w:rStyle w:val="700"/>
            </w:rPr>
            <m:t xml:space="preserve">=</m:t>
          </m:r>
          <m:r>
            <m:rPr>
              <m:nor/>
            </m:rPr>
            <w:rPr>
              <w:rStyle w:val="700"/>
            </w:rPr>
            <m:t xml:space="preserve">2</m:t>
          </m:r>
          <m:r>
            <m:rPr>
              <m:sty m:val="p"/>
            </m:rPr>
            <w:rPr>
              <w:rStyle w:val="700"/>
            </w:rPr>
            <m:t xml:space="preserve">+</m:t>
          </m:r>
          <m:f>
            <m:num>
              <m:r>
                <m:rPr>
                  <m:nor/>
                </m:rPr>
                <w:rPr>
                  <w:rStyle w:val="700"/>
                </w:rPr>
                <m:t xml:space="preserve">2.000</m:t>
              </m:r>
            </m:num>
            <m:den>
              <m:r>
                <m:rPr>
                  <m:nor/>
                </m:rPr>
                <w:rPr>
                  <w:rStyle w:val="700"/>
                </w:rPr>
                <m:t xml:space="preserve">14.500</m:t>
              </m:r>
            </m:den>
          </m:f>
          <m:r>
            <m:rPr>
              <m:sty m:val="p"/>
            </m:rPr>
            <w:rPr>
              <w:rStyle w:val="700"/>
            </w:rPr>
            <m:t xml:space="preserve">=</m:t>
          </m:r>
          <m:r>
            <m:rPr>
              <m:nor/>
            </m:rPr>
            <w:rPr>
              <w:rStyle w:val="700"/>
            </w:rPr>
            <m:t xml:space="preserve">2</m:t>
          </m:r>
          <m:r>
            <m:rPr>
              <m:sty m:val="p"/>
            </m:rPr>
            <w:rPr>
              <w:rStyle w:val="700"/>
            </w:rPr>
            <m:t xml:space="preserve">+</m:t>
          </m:r>
          <m:r>
            <m:rPr>
              <m:nor/>
            </m:rPr>
            <w:rPr>
              <w:rStyle w:val="700"/>
            </w:rPr>
            <m:t xml:space="preserve">0,1379</m:t>
          </m:r>
          <m:r>
            <m:rPr>
              <m:sty m:val="p"/>
            </m:rPr>
            <w:rPr>
              <w:rStyle w:val="700"/>
            </w:rPr>
            <m:t xml:space="preserve">≈</m:t>
          </m:r>
          <m:r>
            <m:rPr>
              <m:nor/>
            </m:rPr>
            <w:rPr>
              <w:rStyle w:val="700"/>
              <w:b/>
              <w:bCs/>
            </w:rPr>
            <m:t xml:space="preserve">2,14</m:t>
          </m:r>
          <m:r>
            <m:rPr>
              <m:nor/>
            </m:rPr>
            <w:rPr>
              <w:rStyle w:val="700"/>
              <w:b/>
              <w:bCs/>
            </w:rPr>
            <m:t xml:space="preserve"> godina</m:t>
          </m:r>
        </m:oMath>
      </m:oMathPara>
    </w:p>
    <w:p>
      <w:pPr>
        <w:pStyle w:val="729"/>
        <w:pBdr/>
        <w:spacing/>
        <w:ind/>
        <w:rPr/>
      </w:pPr>
      <w:r>
        <w:rPr>
          <w:rStyle w:val="701"/>
        </w:rPr>
        <w:t xml:space="preserve">Tumačenje:</w:t>
      </w:r>
      <w:r>
        <w:rPr>
          <w:rStyle w:val="700"/>
        </w:rPr>
        <w:t xml:space="preserve"> Početno ulaganje u razvoj sistema DroneInspect u potpunosti se vraća za </w:t>
      </w:r>
      <w:r>
        <w:rPr>
          <w:rStyle w:val="701"/>
        </w:rPr>
        <w:t xml:space="preserve">2,14 godina</w:t>
      </w:r>
      <w:r>
        <w:rPr>
          <w:rStyle w:val="700"/>
        </w:rPr>
        <w:t xml:space="preserve"> (približno </w:t>
      </w:r>
      <w:r>
        <w:rPr>
          <w:rStyle w:val="701"/>
        </w:rPr>
        <w:t xml:space="preserve">2 godine i 1,7 mjeseci</w:t>
      </w:r>
      <w:r>
        <w:rPr>
          <w:rStyle w:val="700"/>
        </w:rPr>
        <w:t xml:space="preserve">). S obzirom na to da se povrat ostvaruje znatno prije isteka trogodišnjeg planskog perioda, projekat nosi nizak finansijski rizik.</w:t>
      </w:r>
      <w:r/>
    </w:p>
    <w:p>
      <w:pPr>
        <w:pStyle w:val="705"/>
        <w:pBdr/>
        <w:spacing/>
        <w:ind/>
        <w:rPr/>
      </w:pPr>
      <w:r>
        <w:rPr>
          <w:rStyle w:val="706"/>
        </w:rPr>
        <w:t xml:space="preserve">4. Sadašnja vrijednost (PV) i Neto sadašnja vrijednost (NPV)</w:t>
      </w:r>
      <w:r/>
    </w:p>
    <w:p>
      <w:pPr>
        <w:pStyle w:val="699"/>
        <w:pBdr/>
        <w:spacing/>
        <w:ind/>
        <w:rPr/>
      </w:pPr>
      <w:r>
        <w:rPr>
          <w:rStyle w:val="700"/>
        </w:rPr>
        <w:t xml:space="preserve">Kako bi se u obzir uzela vremenska vrijednost novca, svi budući prilivi i odlivi novca diskontuju se na sadašnju vrijednost uz diskontnu stopu od </w:t>
      </w:r>
      <w:r>
        <w:rPr>
          <w:rStyle w:val="701"/>
        </w:rPr>
        <w:t xml:space="preserve">DR = 10% (0,10)</w:t>
      </w:r>
      <w:r>
        <w:rPr>
          <w:rStyle w:val="700"/>
        </w:rPr>
        <w:t xml:space="preserve"> prema formuli:</w:t>
      </w:r>
      <w:r/>
    </w:p>
    <w:p>
      <w:pPr>
        <w:pStyle w:val="699"/>
        <w:pBdr/>
        <w:spacing/>
        <w:ind/>
        <w:rPr/>
      </w:pPr>
      <m:oMathPara>
        <m:oMath>
          <m:r>
            <m:rPr>
              <m:nor/>
            </m:rPr>
            <w:rPr>
              <w:rStyle w:val="700"/>
            </w:rPr>
            <m:t xml:space="preserve">PV</m:t>
          </m:r>
          <m:r>
            <m:rPr>
              <m:sty m:val="p"/>
            </m:rPr>
            <w:rPr>
              <w:rStyle w:val="700"/>
            </w:rPr>
            <m:t xml:space="preserve">=</m:t>
          </m:r>
          <m:f>
            <m:num>
              <m:r>
                <m:rPr>
                  <m:nor/>
                </m:rPr>
                <w:rPr>
                  <w:rStyle w:val="700"/>
                </w:rPr>
                <m:t xml:space="preserve">Iznos toka novca</m:t>
              </m:r>
            </m:num>
            <m:den>
              <m:sSup>
                <m:e>
                  <m:r>
                    <m:rPr>
                      <m:sty m:val="p"/>
                    </m:rPr>
                    <w:rPr>
                      <w:rStyle w:val="700"/>
                    </w:rPr>
                    <m:t xml:space="preserve">(</m:t>
                  </m:r>
                  <m:r>
                    <m:rPr>
                      <m:nor/>
                    </m:rPr>
                    <w:rPr>
                      <w:rStyle w:val="700"/>
                    </w:rPr>
                    <m:t xml:space="preserve">1</m:t>
                  </m:r>
                  <m:r>
                    <m:rPr>
                      <m:sty m:val="p"/>
                    </m:rPr>
                    <w:rPr>
                      <w:rStyle w:val="700"/>
                    </w:rPr>
                    <m:t xml:space="preserve">+</m:t>
                  </m:r>
                  <m:r>
                    <m:rPr>
                      <m:nor/>
                    </m:rPr>
                    <w:rPr>
                      <w:rStyle w:val="700"/>
                    </w:rPr>
                    <m:t xml:space="preserve">DR</m:t>
                  </m:r>
                  <m:r>
                    <m:rPr>
                      <m:sty m:val="p"/>
                    </m:rPr>
                    <w:rPr>
                      <w:rStyle w:val="700"/>
                    </w:rPr>
                    <m:t xml:space="preserve">)</m:t>
                  </m:r>
                </m:e>
                <m:sup>
                  <m:r>
                    <m:rPr>
                      <m:sty m:val="p"/>
                    </m:rPr>
                    <w:rPr>
                      <w:rStyle w:val="700"/>
                    </w:rPr>
                    <m:t xml:space="preserve">n</m:t>
                  </m:r>
                </m:sup>
              </m:sSup>
            </m:den>
          </m:f>
        </m:oMath>
      </m:oMathPara>
    </w:p>
    <w:p>
      <w:pPr>
        <w:pStyle w:val="699"/>
        <w:pBdr/>
        <w:spacing/>
        <w:ind/>
        <w:rPr/>
      </w:pPr>
      <w:r>
        <w:rPr>
          <w:rStyle w:val="700"/>
        </w:rPr>
        <w:t xml:space="preserve">gdje je n godina u kojoj nastaje novčani tok.</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gridCol w:w="1134"/>
      </w:tblGrid>
      <w:tr>
        <w:trPr/>
        <w:tc>
          <w:tcPr>
            <w:tcBorders>
              <w:bottom w:val="single" w:color="dddddd" w:sz="12" w:space="0"/>
            </w:tcBorders>
            <w:tcW w:w="0" w:type="auto"/>
            <w:vAlign w:val="center"/>
          </w:tcPr>
          <w:p>
            <w:pPr>
              <w:pStyle w:val="709"/>
              <w:pBdr/>
              <w:spacing/>
              <w:ind/>
              <w:rPr/>
            </w:pPr>
            <w:r>
              <w:rPr>
                <w:rStyle w:val="710"/>
              </w:rPr>
              <w:t xml:space="preserve">Pokazatelj (DR = 10%)</w:t>
            </w:r>
            <w:r/>
          </w:p>
        </w:tc>
        <w:tc>
          <w:tcPr>
            <w:tcBorders>
              <w:bottom w:val="single" w:color="dddddd" w:sz="12" w:space="0"/>
            </w:tcBorders>
            <w:tcW w:w="0" w:type="auto"/>
            <w:vAlign w:val="center"/>
          </w:tcPr>
          <w:p>
            <w:pPr>
              <w:pStyle w:val="711"/>
              <w:pBdr/>
              <w:spacing/>
              <w:ind/>
              <w:rPr/>
            </w:pPr>
            <w:r>
              <w:rPr>
                <w:rStyle w:val="712"/>
              </w:rPr>
              <w:t xml:space="preserve">Godina 0 (n=0)</w:t>
            </w:r>
            <w:r/>
          </w:p>
        </w:tc>
        <w:tc>
          <w:tcPr>
            <w:tcBorders>
              <w:bottom w:val="single" w:color="dddddd" w:sz="12" w:space="0"/>
            </w:tcBorders>
            <w:tcW w:w="0" w:type="auto"/>
            <w:vAlign w:val="center"/>
          </w:tcPr>
          <w:p>
            <w:pPr>
              <w:pStyle w:val="711"/>
              <w:pBdr/>
              <w:spacing/>
              <w:ind/>
              <w:rPr/>
            </w:pPr>
            <w:r>
              <w:rPr>
                <w:rStyle w:val="712"/>
              </w:rPr>
              <w:t xml:space="preserve">Godina 1 (n=1)</w:t>
            </w:r>
            <w:r/>
          </w:p>
        </w:tc>
        <w:tc>
          <w:tcPr>
            <w:tcBorders>
              <w:bottom w:val="single" w:color="dddddd" w:sz="12" w:space="0"/>
            </w:tcBorders>
            <w:tcW w:w="0" w:type="auto"/>
            <w:vAlign w:val="center"/>
          </w:tcPr>
          <w:p>
            <w:pPr>
              <w:pStyle w:val="711"/>
              <w:pBdr/>
              <w:spacing/>
              <w:ind/>
              <w:rPr/>
            </w:pPr>
            <w:r>
              <w:rPr>
                <w:rStyle w:val="712"/>
              </w:rPr>
              <w:t xml:space="preserve">Godina 2 (n=2)</w:t>
            </w:r>
            <w:r/>
          </w:p>
        </w:tc>
        <w:tc>
          <w:tcPr>
            <w:tcBorders>
              <w:bottom w:val="single" w:color="dddddd" w:sz="12" w:space="0"/>
            </w:tcBorders>
            <w:tcW w:w="0" w:type="auto"/>
            <w:vAlign w:val="center"/>
          </w:tcPr>
          <w:p>
            <w:pPr>
              <w:pStyle w:val="711"/>
              <w:pBdr/>
              <w:spacing/>
              <w:ind/>
              <w:rPr/>
            </w:pPr>
            <w:r>
              <w:rPr>
                <w:rStyle w:val="712"/>
              </w:rPr>
              <w:t xml:space="preserve">Godina 3 (n=3)</w:t>
            </w:r>
            <w:r/>
          </w:p>
        </w:tc>
        <w:tc>
          <w:tcPr>
            <w:tcBorders>
              <w:bottom w:val="single" w:color="dddddd" w:sz="12" w:space="0"/>
            </w:tcBorders>
            <w:tcW w:w="0" w:type="auto"/>
            <w:vAlign w:val="center"/>
          </w:tcPr>
          <w:p>
            <w:pPr>
              <w:pStyle w:val="711"/>
              <w:pBdr/>
              <w:spacing/>
              <w:ind/>
              <w:rPr/>
            </w:pPr>
            <w:r>
              <w:rPr>
                <w:rStyle w:val="712"/>
              </w:rPr>
              <w:t xml:space="preserve">Ukupno (KM)</w:t>
            </w:r>
            <w:r/>
          </w:p>
        </w:tc>
      </w:tr>
      <w:tr>
        <w:trPr/>
        <w:tc>
          <w:tcPr>
            <w:tcBorders>
              <w:top w:val="single" w:color="dddddd" w:sz="6" w:space="0"/>
            </w:tcBorders>
            <w:tcW w:w="0" w:type="auto"/>
            <w:vAlign w:val="center"/>
          </w:tcPr>
          <w:p>
            <w:pPr>
              <w:pStyle w:val="715"/>
              <w:pBdr/>
              <w:spacing/>
              <w:ind/>
              <w:rPr/>
            </w:pPr>
            <w:r>
              <w:rPr>
                <w:rStyle w:val="716"/>
              </w:rPr>
              <w:t xml:space="preserve">Ukupna korist</w:t>
            </w:r>
            <w:r/>
          </w:p>
        </w:tc>
        <w:tc>
          <w:tcPr>
            <w:tcBorders>
              <w:top w:val="single" w:color="dddddd" w:sz="6" w:space="0"/>
            </w:tcBorders>
            <w:tcW w:w="0" w:type="auto"/>
            <w:vAlign w:val="center"/>
          </w:tcPr>
          <w:p>
            <w:pPr>
              <w:pStyle w:val="717"/>
              <w:pBdr/>
              <w:spacing/>
              <w:ind/>
              <w:rPr/>
            </w:pPr>
            <w:r>
              <w:rPr>
                <w:rStyle w:val="718"/>
              </w:rPr>
              <w:t xml:space="preserve">0</w:t>
            </w:r>
            <w:r/>
          </w:p>
        </w:tc>
        <w:tc>
          <w:tcPr>
            <w:tcBorders>
              <w:top w:val="single" w:color="dddddd" w:sz="6" w:space="0"/>
            </w:tcBorders>
            <w:tcW w:w="0" w:type="auto"/>
            <w:vAlign w:val="center"/>
          </w:tcPr>
          <w:p>
            <w:pPr>
              <w:pStyle w:val="717"/>
              <w:pBdr/>
              <w:spacing/>
              <w:ind/>
              <w:rPr/>
            </w:pPr>
            <w:r>
              <w:rPr>
                <w:rStyle w:val="718"/>
              </w:rPr>
              <w:t xml:space="preserve">14.000,00</w:t>
            </w:r>
            <w:r/>
          </w:p>
        </w:tc>
        <w:tc>
          <w:tcPr>
            <w:tcBorders>
              <w:top w:val="single" w:color="dddddd" w:sz="6" w:space="0"/>
            </w:tcBorders>
            <w:tcW w:w="0" w:type="auto"/>
            <w:vAlign w:val="center"/>
          </w:tcPr>
          <w:p>
            <w:pPr>
              <w:pStyle w:val="717"/>
              <w:pBdr/>
              <w:spacing/>
              <w:ind/>
              <w:rPr/>
            </w:pPr>
            <w:r>
              <w:rPr>
                <w:rStyle w:val="718"/>
              </w:rPr>
              <w:t xml:space="preserve">16.500,00</w:t>
            </w:r>
            <w:r/>
          </w:p>
        </w:tc>
        <w:tc>
          <w:tcPr>
            <w:tcBorders>
              <w:top w:val="single" w:color="dddddd" w:sz="6" w:space="0"/>
            </w:tcBorders>
            <w:tcW w:w="0" w:type="auto"/>
            <w:vAlign w:val="center"/>
          </w:tcPr>
          <w:p>
            <w:pPr>
              <w:pStyle w:val="717"/>
              <w:pBdr/>
              <w:spacing/>
              <w:ind/>
              <w:rPr/>
            </w:pPr>
            <w:r>
              <w:rPr>
                <w:rStyle w:val="718"/>
              </w:rPr>
              <w:t xml:space="preserve">19.500,00</w:t>
            </w:r>
            <w:r/>
          </w:p>
        </w:tc>
        <w:tc>
          <w:tcPr>
            <w:tcBorders>
              <w:top w:val="single" w:color="dddddd" w:sz="6" w:space="0"/>
            </w:tcBorders>
            <w:tcW w:w="0" w:type="auto"/>
            <w:vAlign w:val="center"/>
          </w:tcPr>
          <w:p>
            <w:pPr>
              <w:pStyle w:val="717"/>
              <w:pBdr/>
              <w:spacing/>
              <w:ind/>
              <w:rPr/>
            </w:pPr>
            <w:r>
              <w:rPr>
                <w:rStyle w:val="718"/>
              </w:rPr>
              <w:t xml:space="preserve">50.000,00</w:t>
            </w:r>
            <w:r/>
          </w:p>
        </w:tc>
      </w:tr>
      <w:tr>
        <w:trPr/>
        <w:tc>
          <w:tcPr>
            <w:tcBorders>
              <w:top w:val="single" w:color="dddddd" w:sz="6" w:space="0"/>
            </w:tcBorders>
            <w:tcW w:w="0" w:type="auto"/>
            <w:vAlign w:val="center"/>
          </w:tcPr>
          <w:p>
            <w:pPr>
              <w:pStyle w:val="720"/>
              <w:pBdr/>
              <w:spacing/>
              <w:ind/>
              <w:rPr/>
            </w:pPr>
            <w:r>
              <w:rPr>
                <w:rStyle w:val="721"/>
              </w:rPr>
              <w:t xml:space="preserve">PV ukupne koristi</w:t>
            </w:r>
            <w:r/>
          </w:p>
        </w:tc>
        <w:tc>
          <w:tcPr>
            <w:tcBorders>
              <w:top w:val="single" w:color="dddddd" w:sz="6" w:space="0"/>
            </w:tcBorders>
            <w:tcW w:w="0" w:type="auto"/>
            <w:vAlign w:val="center"/>
          </w:tcPr>
          <w:p>
            <w:pPr>
              <w:pStyle w:val="720"/>
              <w:pBdr/>
              <w:spacing/>
              <w:ind/>
              <w:rPr/>
            </w:pPr>
            <w:r>
              <w:rPr>
                <w:rStyle w:val="721"/>
              </w:rPr>
              <w:t xml:space="preserve">0,00</w:t>
            </w:r>
            <w:r/>
          </w:p>
        </w:tc>
        <w:tc>
          <w:tcPr>
            <w:tcBorders>
              <w:top w:val="single" w:color="dddddd" w:sz="6" w:space="0"/>
            </w:tcBorders>
            <w:tcW w:w="0" w:type="auto"/>
            <w:vAlign w:val="center"/>
          </w:tcPr>
          <w:p>
            <w:pPr>
              <w:pStyle w:val="720"/>
              <w:pBdr/>
              <w:spacing/>
              <w:ind/>
              <w:rPr/>
            </w:pPr>
            <w:r>
              <w:rPr>
                <w:rStyle w:val="721"/>
              </w:rPr>
              <w:t xml:space="preserve">12.727,27</w:t>
            </w:r>
            <w:r/>
          </w:p>
        </w:tc>
        <w:tc>
          <w:tcPr>
            <w:tcBorders>
              <w:top w:val="single" w:color="dddddd" w:sz="6" w:space="0"/>
            </w:tcBorders>
            <w:tcW w:w="0" w:type="auto"/>
            <w:vAlign w:val="center"/>
          </w:tcPr>
          <w:p>
            <w:pPr>
              <w:pStyle w:val="720"/>
              <w:pBdr/>
              <w:spacing/>
              <w:ind/>
              <w:rPr/>
            </w:pPr>
            <w:r>
              <w:rPr>
                <w:rStyle w:val="721"/>
              </w:rPr>
              <w:t xml:space="preserve">13.636,36</w:t>
            </w:r>
            <w:r/>
          </w:p>
        </w:tc>
        <w:tc>
          <w:tcPr>
            <w:tcBorders>
              <w:top w:val="single" w:color="dddddd" w:sz="6" w:space="0"/>
            </w:tcBorders>
            <w:tcW w:w="0" w:type="auto"/>
            <w:vAlign w:val="center"/>
          </w:tcPr>
          <w:p>
            <w:pPr>
              <w:pStyle w:val="720"/>
              <w:pBdr/>
              <w:spacing/>
              <w:ind/>
              <w:rPr/>
            </w:pPr>
            <w:r>
              <w:rPr>
                <w:rStyle w:val="721"/>
              </w:rPr>
              <w:t xml:space="preserve">14.650,64</w:t>
            </w:r>
            <w:r/>
          </w:p>
        </w:tc>
        <w:tc>
          <w:tcPr>
            <w:tcBorders>
              <w:top w:val="single" w:color="dddddd" w:sz="6" w:space="0"/>
            </w:tcBorders>
            <w:tcW w:w="0" w:type="auto"/>
            <w:vAlign w:val="center"/>
          </w:tcPr>
          <w:p>
            <w:pPr>
              <w:pStyle w:val="720"/>
              <w:pBdr/>
              <w:spacing/>
              <w:ind/>
              <w:rPr/>
            </w:pPr>
            <w:r>
              <w:rPr>
                <w:rStyle w:val="721"/>
              </w:rPr>
              <w:t xml:space="preserve">41.014,27</w:t>
            </w:r>
            <w:r/>
          </w:p>
        </w:tc>
      </w:tr>
      <w:tr>
        <w:trPr/>
        <w:tc>
          <w:tcPr>
            <w:tcBorders>
              <w:top w:val="single" w:color="dddddd" w:sz="6" w:space="0"/>
            </w:tcBorders>
            <w:tcW w:w="0" w:type="auto"/>
            <w:vAlign w:val="center"/>
          </w:tcPr>
          <w:p>
            <w:pPr>
              <w:pStyle w:val="715"/>
              <w:pBdr/>
              <w:spacing/>
              <w:ind/>
              <w:rPr/>
            </w:pPr>
            <w:r>
              <w:rPr>
                <w:rStyle w:val="716"/>
              </w:rPr>
              <w:t xml:space="preserve">Ukupan trošak</w:t>
            </w:r>
            <w:r/>
          </w:p>
        </w:tc>
        <w:tc>
          <w:tcPr>
            <w:tcBorders>
              <w:top w:val="single" w:color="dddddd" w:sz="6" w:space="0"/>
            </w:tcBorders>
            <w:tcW w:w="0" w:type="auto"/>
            <w:vAlign w:val="center"/>
          </w:tcPr>
          <w:p>
            <w:pPr>
              <w:pStyle w:val="717"/>
              <w:pBdr/>
              <w:spacing/>
              <w:ind/>
              <w:rPr/>
            </w:pPr>
            <w:r>
              <w:rPr>
                <w:rStyle w:val="718"/>
              </w:rPr>
              <w:t xml:space="preserve">24.000,00</w:t>
            </w:r>
            <w:r/>
          </w:p>
        </w:tc>
        <w:tc>
          <w:tcPr>
            <w:tcBorders>
              <w:top w:val="single" w:color="dddddd" w:sz="6" w:space="0"/>
            </w:tcBorders>
            <w:tcW w:w="0" w:type="auto"/>
            <w:vAlign w:val="center"/>
          </w:tcPr>
          <w:p>
            <w:pPr>
              <w:pStyle w:val="717"/>
              <w:pBdr/>
              <w:spacing/>
              <w:ind/>
              <w:rPr/>
            </w:pPr>
            <w:r>
              <w:rPr>
                <w:rStyle w:val="718"/>
              </w:rPr>
              <w:t xml:space="preserve">4.000,00</w:t>
            </w:r>
            <w:r/>
          </w:p>
        </w:tc>
        <w:tc>
          <w:tcPr>
            <w:tcBorders>
              <w:top w:val="single" w:color="dddddd" w:sz="6" w:space="0"/>
            </w:tcBorders>
            <w:tcW w:w="0" w:type="auto"/>
            <w:vAlign w:val="center"/>
          </w:tcPr>
          <w:p>
            <w:pPr>
              <w:pStyle w:val="717"/>
              <w:pBdr/>
              <w:spacing/>
              <w:ind/>
              <w:rPr/>
            </w:pPr>
            <w:r>
              <w:rPr>
                <w:rStyle w:val="718"/>
              </w:rPr>
              <w:t xml:space="preserve">4.500,00</w:t>
            </w:r>
            <w:r/>
          </w:p>
        </w:tc>
        <w:tc>
          <w:tcPr>
            <w:tcBorders>
              <w:top w:val="single" w:color="dddddd" w:sz="6" w:space="0"/>
            </w:tcBorders>
            <w:tcW w:w="0" w:type="auto"/>
            <w:vAlign w:val="center"/>
          </w:tcPr>
          <w:p>
            <w:pPr>
              <w:pStyle w:val="717"/>
              <w:pBdr/>
              <w:spacing/>
              <w:ind/>
              <w:rPr/>
            </w:pPr>
            <w:r>
              <w:rPr>
                <w:rStyle w:val="718"/>
              </w:rPr>
              <w:t xml:space="preserve">5.000,00</w:t>
            </w:r>
            <w:r/>
          </w:p>
        </w:tc>
        <w:tc>
          <w:tcPr>
            <w:tcBorders>
              <w:top w:val="single" w:color="dddddd" w:sz="6" w:space="0"/>
            </w:tcBorders>
            <w:tcW w:w="0" w:type="auto"/>
            <w:vAlign w:val="center"/>
          </w:tcPr>
          <w:p>
            <w:pPr>
              <w:pStyle w:val="717"/>
              <w:pBdr/>
              <w:spacing/>
              <w:ind/>
              <w:rPr/>
            </w:pPr>
            <w:r>
              <w:rPr>
                <w:rStyle w:val="718"/>
              </w:rPr>
              <w:t xml:space="preserve">37.500,00</w:t>
            </w:r>
            <w:r/>
          </w:p>
        </w:tc>
      </w:tr>
      <w:tr>
        <w:trPr/>
        <w:tc>
          <w:tcPr>
            <w:tcBorders>
              <w:top w:val="single" w:color="dddddd" w:sz="6" w:space="0"/>
            </w:tcBorders>
            <w:tcW w:w="0" w:type="auto"/>
            <w:vAlign w:val="center"/>
          </w:tcPr>
          <w:p>
            <w:pPr>
              <w:pStyle w:val="720"/>
              <w:pBdr/>
              <w:spacing/>
              <w:ind/>
              <w:rPr/>
            </w:pPr>
            <w:r>
              <w:rPr>
                <w:rStyle w:val="721"/>
              </w:rPr>
              <w:t xml:space="preserve">PV ukupnog troška</w:t>
            </w:r>
            <w:r/>
          </w:p>
        </w:tc>
        <w:tc>
          <w:tcPr>
            <w:tcBorders>
              <w:top w:val="single" w:color="dddddd" w:sz="6" w:space="0"/>
            </w:tcBorders>
            <w:tcW w:w="0" w:type="auto"/>
            <w:vAlign w:val="center"/>
          </w:tcPr>
          <w:p>
            <w:pPr>
              <w:pStyle w:val="720"/>
              <w:pBdr/>
              <w:spacing/>
              <w:ind/>
              <w:rPr/>
            </w:pPr>
            <w:r>
              <w:rPr>
                <w:rStyle w:val="721"/>
              </w:rPr>
              <w:t xml:space="preserve">24.000,00</w:t>
            </w:r>
            <w:r/>
          </w:p>
        </w:tc>
        <w:tc>
          <w:tcPr>
            <w:tcBorders>
              <w:top w:val="single" w:color="dddddd" w:sz="6" w:space="0"/>
            </w:tcBorders>
            <w:tcW w:w="0" w:type="auto"/>
            <w:vAlign w:val="center"/>
          </w:tcPr>
          <w:p>
            <w:pPr>
              <w:pStyle w:val="720"/>
              <w:pBdr/>
              <w:spacing/>
              <w:ind/>
              <w:rPr/>
            </w:pPr>
            <w:r>
              <w:rPr>
                <w:rStyle w:val="721"/>
              </w:rPr>
              <w:t xml:space="preserve">3.636,36</w:t>
            </w:r>
            <w:r/>
          </w:p>
        </w:tc>
        <w:tc>
          <w:tcPr>
            <w:tcBorders>
              <w:top w:val="single" w:color="dddddd" w:sz="6" w:space="0"/>
            </w:tcBorders>
            <w:tcW w:w="0" w:type="auto"/>
            <w:vAlign w:val="center"/>
          </w:tcPr>
          <w:p>
            <w:pPr>
              <w:pStyle w:val="720"/>
              <w:pBdr/>
              <w:spacing/>
              <w:ind/>
              <w:rPr/>
            </w:pPr>
            <w:r>
              <w:rPr>
                <w:rStyle w:val="721"/>
              </w:rPr>
              <w:t xml:space="preserve">3.719,01</w:t>
            </w:r>
            <w:r/>
          </w:p>
        </w:tc>
        <w:tc>
          <w:tcPr>
            <w:tcBorders>
              <w:top w:val="single" w:color="dddddd" w:sz="6" w:space="0"/>
            </w:tcBorders>
            <w:tcW w:w="0" w:type="auto"/>
            <w:vAlign w:val="center"/>
          </w:tcPr>
          <w:p>
            <w:pPr>
              <w:pStyle w:val="720"/>
              <w:pBdr/>
              <w:spacing/>
              <w:ind/>
              <w:rPr/>
            </w:pPr>
            <w:r>
              <w:rPr>
                <w:rStyle w:val="721"/>
              </w:rPr>
              <w:t xml:space="preserve">3.756,57</w:t>
            </w:r>
            <w:r/>
          </w:p>
        </w:tc>
        <w:tc>
          <w:tcPr>
            <w:tcBorders>
              <w:top w:val="single" w:color="dddddd" w:sz="6" w:space="0"/>
            </w:tcBorders>
            <w:tcW w:w="0" w:type="auto"/>
            <w:vAlign w:val="center"/>
          </w:tcPr>
          <w:p>
            <w:pPr>
              <w:pStyle w:val="720"/>
              <w:pBdr/>
              <w:spacing/>
              <w:ind/>
              <w:rPr/>
            </w:pPr>
            <w:r>
              <w:rPr>
                <w:rStyle w:val="721"/>
              </w:rPr>
              <w:t xml:space="preserve">35.111,94</w:t>
            </w:r>
            <w:r/>
          </w:p>
        </w:tc>
      </w:tr>
      <w:tr>
        <w:trPr/>
        <w:tc>
          <w:tcPr>
            <w:tcBorders>
              <w:top w:val="single" w:color="dddddd" w:sz="6" w:space="0"/>
            </w:tcBorders>
            <w:tcW w:w="0" w:type="auto"/>
            <w:vAlign w:val="center"/>
          </w:tcPr>
          <w:p>
            <w:pPr>
              <w:pStyle w:val="720"/>
              <w:pBdr/>
              <w:spacing/>
              <w:ind/>
              <w:rPr/>
            </w:pPr>
            <w:r>
              <w:rPr>
                <w:rStyle w:val="721"/>
              </w:rPr>
              <w:t xml:space="preserve">Diskontovani neto tok (PV neto koristi)</w:t>
            </w:r>
            <w:r/>
          </w:p>
        </w:tc>
        <w:tc>
          <w:tcPr>
            <w:tcBorders>
              <w:top w:val="single" w:color="dddddd" w:sz="6" w:space="0"/>
            </w:tcBorders>
            <w:tcW w:w="0" w:type="auto"/>
            <w:vAlign w:val="center"/>
          </w:tcPr>
          <w:p>
            <w:pPr>
              <w:pStyle w:val="720"/>
              <w:pBdr/>
              <w:spacing/>
              <w:ind/>
              <w:rPr/>
            </w:pPr>
            <w:r>
              <w:rPr>
                <w:rStyle w:val="721"/>
              </w:rPr>
              <w:t xml:space="preserve">-24.000,00</w:t>
            </w:r>
            <w:r/>
          </w:p>
        </w:tc>
        <w:tc>
          <w:tcPr>
            <w:tcBorders>
              <w:top w:val="single" w:color="dddddd" w:sz="6" w:space="0"/>
            </w:tcBorders>
            <w:tcW w:w="0" w:type="auto"/>
            <w:vAlign w:val="center"/>
          </w:tcPr>
          <w:p>
            <w:pPr>
              <w:pStyle w:val="720"/>
              <w:pBdr/>
              <w:spacing/>
              <w:ind/>
              <w:rPr/>
            </w:pPr>
            <w:r>
              <w:rPr>
                <w:rStyle w:val="721"/>
              </w:rPr>
              <w:t xml:space="preserve">9.090,91</w:t>
            </w:r>
            <w:r/>
          </w:p>
        </w:tc>
        <w:tc>
          <w:tcPr>
            <w:tcBorders>
              <w:top w:val="single" w:color="dddddd" w:sz="6" w:space="0"/>
            </w:tcBorders>
            <w:tcW w:w="0" w:type="auto"/>
            <w:vAlign w:val="center"/>
          </w:tcPr>
          <w:p>
            <w:pPr>
              <w:pStyle w:val="720"/>
              <w:pBdr/>
              <w:spacing/>
              <w:ind/>
              <w:rPr/>
            </w:pPr>
            <w:r>
              <w:rPr>
                <w:rStyle w:val="721"/>
              </w:rPr>
              <w:t xml:space="preserve">9.917,36</w:t>
            </w:r>
            <w:r/>
          </w:p>
        </w:tc>
        <w:tc>
          <w:tcPr>
            <w:tcBorders>
              <w:top w:val="single" w:color="dddddd" w:sz="6" w:space="0"/>
            </w:tcBorders>
            <w:tcW w:w="0" w:type="auto"/>
            <w:vAlign w:val="center"/>
          </w:tcPr>
          <w:p>
            <w:pPr>
              <w:pStyle w:val="720"/>
              <w:pBdr/>
              <w:spacing/>
              <w:ind/>
              <w:rPr/>
            </w:pPr>
            <w:r>
              <w:rPr>
                <w:rStyle w:val="721"/>
              </w:rPr>
              <w:t xml:space="preserve">10.894,06</w:t>
            </w:r>
            <w:r/>
          </w:p>
        </w:tc>
        <w:tc>
          <w:tcPr>
            <w:tcBorders>
              <w:top w:val="single" w:color="dddddd" w:sz="6" w:space="0"/>
            </w:tcBorders>
            <w:tcW w:w="0" w:type="auto"/>
            <w:vAlign w:val="center"/>
          </w:tcPr>
          <w:p>
            <w:pPr>
              <w:pStyle w:val="720"/>
              <w:pBdr/>
              <w:spacing/>
              <w:ind/>
              <w:rPr/>
            </w:pPr>
            <w:r>
              <w:rPr>
                <w:rStyle w:val="721"/>
              </w:rPr>
              <w:t xml:space="preserve">+5.902,33</w:t>
            </w:r>
            <w:r/>
          </w:p>
        </w:tc>
      </w:tr>
    </w:tbl>
    <w:p>
      <w:pPr>
        <w:pBdr/>
        <w:spacing/>
        <w:ind/>
        <w:rPr>
          <w:rFonts w:eastAsia="Times New Roman"/>
          <w:vanish/>
          <w:sz w:val="2"/>
          <w:szCs w:val="2"/>
        </w:rPr>
      </w:pPr>
      <w:r>
        <w:rPr>
          <w:rFonts w:eastAsia="Times New Roman"/>
          <w:vanish/>
          <w:sz w:val="2"/>
          <w:szCs w:val="2"/>
        </w:rPr>
      </w:r>
    </w:p>
    <w:p>
      <w:pPr>
        <w:pStyle w:val="699"/>
        <w:pBdr/>
        <w:spacing/>
        <w:ind/>
        <w:rPr/>
      </w:pPr>
      <m:oMathPara>
        <m:oMath>
          <m:r>
            <m:rPr>
              <m:nor/>
            </m:rPr>
            <w:rPr>
              <w:rStyle w:val="700"/>
            </w:rPr>
            <m:t xml:space="preserve">NPV</m:t>
          </m:r>
          <m:r>
            <m:rPr>
              <m:sty m:val="p"/>
            </m:rPr>
            <w:rPr>
              <w:rStyle w:val="700"/>
            </w:rPr>
            <m:t xml:space="preserve">=</m:t>
          </m:r>
          <m:r>
            <m:rPr>
              <m:sty m:val="p"/>
            </m:rPr>
            <w:rPr>
              <w:rStyle w:val="700"/>
            </w:rPr>
            <m:t xml:space="preserve">∑</m:t>
          </m:r>
          <m:r>
            <m:rPr>
              <m:nor/>
            </m:rPr>
            <w:rPr>
              <w:rStyle w:val="700"/>
            </w:rPr>
            <m:t xml:space="preserve">PV ukupne koristi</m:t>
          </m:r>
          <m:r>
            <m:rPr>
              <m:sty m:val="p"/>
            </m:rPr>
            <w:rPr>
              <w:rStyle w:val="700"/>
            </w:rPr>
            <m:t xml:space="preserve">-</m:t>
          </m:r>
          <m:r>
            <m:rPr>
              <m:sty m:val="p"/>
            </m:rPr>
            <w:rPr>
              <w:rStyle w:val="700"/>
            </w:rPr>
            <m:t xml:space="preserve">∑</m:t>
          </m:r>
          <m:r>
            <m:rPr>
              <m:nor/>
            </m:rPr>
            <w:rPr>
              <w:rStyle w:val="700"/>
            </w:rPr>
            <m:t xml:space="preserve">PV ukupnog troška</m:t>
          </m:r>
          <m:r>
            <m:rPr>
              <m:sty m:val="p"/>
            </m:rPr>
            <w:rPr>
              <w:rStyle w:val="700"/>
            </w:rPr>
            <m:t xml:space="preserve">=</m:t>
          </m:r>
          <m:r>
            <m:rPr>
              <m:nor/>
            </m:rPr>
            <w:rPr>
              <w:rStyle w:val="700"/>
            </w:rPr>
            <m:t xml:space="preserve">41.014,27</m:t>
          </m:r>
          <m:r>
            <m:rPr>
              <m:sty m:val="p"/>
            </m:rPr>
            <w:rPr>
              <w:rStyle w:val="700"/>
            </w:rPr>
            <m:t xml:space="preserve">-</m:t>
          </m:r>
          <m:r>
            <m:rPr>
              <m:nor/>
            </m:rPr>
            <w:rPr>
              <w:rStyle w:val="700"/>
            </w:rPr>
            <m:t xml:space="preserve">35.111,94</m:t>
          </m:r>
          <m:r>
            <m:rPr>
              <m:sty m:val="p"/>
            </m:rPr>
            <w:rPr>
              <w:rStyle w:val="700"/>
            </w:rPr>
            <m:t xml:space="preserve">=</m:t>
          </m:r>
          <m:r>
            <m:rPr>
              <m:sty m:val="b"/>
            </m:rPr>
            <w:rPr>
              <w:rStyle w:val="700"/>
              <w:b/>
              <w:bCs/>
            </w:rPr>
            <m:t xml:space="preserve">+</m:t>
          </m:r>
          <m:r>
            <m:rPr>
              <m:nor/>
            </m:rPr>
            <w:rPr>
              <w:rStyle w:val="700"/>
              <w:b/>
              <w:bCs/>
            </w:rPr>
            <m:t xml:space="preserve">5.902,33</m:t>
          </m:r>
          <m:r>
            <m:rPr>
              <m:nor/>
            </m:rPr>
            <w:rPr>
              <w:rStyle w:val="700"/>
              <w:b/>
              <w:bCs/>
            </w:rPr>
            <m:t xml:space="preserve"> KM</m:t>
          </m:r>
        </m:oMath>
      </m:oMathPara>
    </w:p>
    <w:p>
      <w:pPr>
        <w:pStyle w:val="729"/>
        <w:pBdr/>
        <w:spacing/>
        <w:ind/>
        <w:rPr/>
      </w:pPr>
      <w:r>
        <w:rPr>
          <w:rStyle w:val="701"/>
        </w:rPr>
        <w:t xml:space="preserve">Tumačenje:</w:t>
      </w:r>
      <w:r>
        <w:rPr>
          <w:rStyle w:val="700"/>
        </w:rPr>
        <w:t xml:space="preserve"> Kako je neto sadašnja vrijednost pozitivna (NPV = +5.902,33 KM &gt; 0), diskontovane koristi projekta premašuju diskontovane troškove uz zahtijevanu stopu povrata od 10%. Prema kriteriju neto sadašnje vrijednosti, </w:t>
      </w:r>
      <w:r>
        <w:rPr>
          <w:rStyle w:val="701"/>
        </w:rPr>
        <w:t xml:space="preserve">projekat DroneInspect je ekonomski isplativ</w:t>
      </w:r>
      <w:r>
        <w:rPr>
          <w:rStyle w:val="700"/>
        </w:rPr>
        <w:t xml:space="preserve">.</w:t>
      </w:r>
      <w:r/>
    </w:p>
    <w:p>
      <w:pPr>
        <w:pStyle w:val="705"/>
        <w:pBdr/>
        <w:spacing/>
        <w:ind/>
        <w:rPr/>
      </w:pPr>
      <w:r>
        <w:rPr>
          <w:rStyle w:val="706"/>
        </w:rPr>
        <w:t xml:space="preserve">5. Tačka pokrića (Break-Even Point – BEP) po broju inspekcija</w:t>
      </w:r>
      <w:r/>
    </w:p>
    <w:p>
      <w:pPr>
        <w:pStyle w:val="699"/>
        <w:pBdr/>
        <w:spacing/>
        <w:ind/>
        <w:rPr/>
      </w:pPr>
      <w:r>
        <w:rPr>
          <w:rStyle w:val="700"/>
        </w:rPr>
        <w:t xml:space="preserve">Posmatrano kroz obim pruženih usluga, tačka pokrića (BEP) pokazuje koliko tehničkih inspekcija kompanija treba realizovati kako bi pokrila početnu investiciju u sistem (24.000 KM):</w:t>
      </w:r>
      <w:r/>
    </w:p>
    <w:p>
      <w:pPr>
        <w:pStyle w:val="731"/>
        <w:numPr>
          <w:ilvl w:val="0"/>
          <w:numId w:val="1"/>
        </w:numPr>
        <w:pBdr/>
        <w:spacing/>
        <w:ind/>
        <w:rPr/>
      </w:pPr>
      <w:r>
        <w:rPr>
          <w:rStyle w:val="727"/>
        </w:rPr>
        <w:t xml:space="preserve">Prosječna cijena jedne tehničke inspekcije objekta dronom: </w:t>
      </w:r>
      <w:r>
        <w:rPr>
          <w:rStyle w:val="726"/>
        </w:rPr>
        <w:t xml:space="preserve">400 KM</w:t>
      </w:r>
      <w:r/>
    </w:p>
    <w:p>
      <w:pPr>
        <w:pStyle w:val="731"/>
        <w:numPr>
          <w:ilvl w:val="0"/>
          <w:numId w:val="1"/>
        </w:numPr>
        <w:pBdr/>
        <w:spacing/>
        <w:ind/>
        <w:rPr/>
      </w:pPr>
      <w:r>
        <w:rPr>
          <w:rStyle w:val="727"/>
        </w:rPr>
        <w:t xml:space="preserve">Prosječni varijabilni trošak po inspekciji (izlazak operatera na teren, rad drona, </w:t>
      </w:r>
      <w:r>
        <w:rPr>
          <w:rStyle w:val="728"/>
        </w:rPr>
        <w:t xml:space="preserve">cloud</w:t>
      </w:r>
      <w:r>
        <w:rPr>
          <w:rStyle w:val="727"/>
        </w:rPr>
        <w:t xml:space="preserve"> pohrana snimaka i AI obrada za datu inspekciju): </w:t>
      </w:r>
      <w:r>
        <w:rPr>
          <w:rStyle w:val="726"/>
        </w:rPr>
        <w:t xml:space="preserve">150 KM</w:t>
      </w:r>
      <w:r/>
    </w:p>
    <w:p>
      <w:pPr>
        <w:pStyle w:val="699"/>
        <w:pBdr/>
        <w:spacing/>
        <w:ind/>
        <w:rPr/>
      </w:pPr>
      <m:oMathPara>
        <m:oMath>
          <m:r>
            <m:rPr>
              <m:nor/>
            </m:rPr>
            <w:rPr>
              <w:rStyle w:val="700"/>
            </w:rPr>
            <m:t xml:space="preserve">BEP (po jedinici usluge)</m:t>
          </m:r>
          <m:r>
            <m:rPr>
              <m:sty m:val="p"/>
            </m:rPr>
            <w:rPr>
              <w:rStyle w:val="700"/>
            </w:rPr>
            <m:t xml:space="preserve">=</m:t>
          </m:r>
          <m:f>
            <m:num>
              <m:r>
                <m:rPr>
                  <m:nor/>
                </m:rPr>
                <w:rPr>
                  <w:rStyle w:val="700"/>
                </w:rPr>
                <m:t xml:space="preserve">Fiksni troškovi ulaganja</m:t>
              </m:r>
            </m:num>
            <m:den>
              <m:r>
                <m:rPr>
                  <m:nor/>
                </m:rPr>
                <w:rPr>
                  <w:rStyle w:val="700"/>
                </w:rPr>
                <m:t xml:space="preserve">Cijena po inspekciji</m:t>
              </m:r>
              <m:r>
                <m:rPr>
                  <m:sty m:val="p"/>
                </m:rPr>
                <w:rPr>
                  <w:rStyle w:val="700"/>
                </w:rPr>
                <m:t xml:space="preserve">-</m:t>
              </m:r>
              <m:r>
                <m:rPr>
                  <m:nor/>
                </m:rPr>
                <w:rPr>
                  <w:rStyle w:val="700"/>
                </w:rPr>
                <m:t xml:space="preserve">Varijabilni troškovi</m:t>
              </m:r>
            </m:den>
          </m:f>
          <m:r>
            <m:rPr>
              <m:sty m:val="p"/>
            </m:rPr>
            <w:rPr>
              <w:rStyle w:val="700"/>
            </w:rPr>
            <m:t xml:space="preserve">=</m:t>
          </m:r>
          <m:f>
            <m:num>
              <m:r>
                <m:rPr>
                  <m:nor/>
                </m:rPr>
                <w:rPr>
                  <w:rStyle w:val="700"/>
                </w:rPr>
                <m:t xml:space="preserve">24.000</m:t>
              </m:r>
            </m:num>
            <m:den>
              <m:r>
                <m:rPr>
                  <m:nor/>
                </m:rPr>
                <w:rPr>
                  <w:rStyle w:val="700"/>
                </w:rPr>
                <m:t xml:space="preserve">400</m:t>
              </m:r>
              <m:r>
                <m:rPr>
                  <m:sty m:val="p"/>
                </m:rPr>
                <w:rPr>
                  <w:rStyle w:val="700"/>
                </w:rPr>
                <m:t xml:space="preserve">-</m:t>
              </m:r>
              <m:r>
                <m:rPr>
                  <m:nor/>
                </m:rPr>
                <w:rPr>
                  <w:rStyle w:val="700"/>
                </w:rPr>
                <m:t xml:space="preserve">150</m:t>
              </m:r>
            </m:den>
          </m:f>
          <m:r>
            <m:rPr>
              <m:sty m:val="p"/>
            </m:rPr>
            <w:rPr>
              <w:rStyle w:val="700"/>
            </w:rPr>
            <m:t xml:space="preserve">=</m:t>
          </m:r>
          <m:f>
            <m:num>
              <m:r>
                <m:rPr>
                  <m:nor/>
                </m:rPr>
                <w:rPr>
                  <w:rStyle w:val="700"/>
                </w:rPr>
                <m:t xml:space="preserve">24.000</m:t>
              </m:r>
            </m:num>
            <m:den>
              <m:r>
                <m:rPr>
                  <m:nor/>
                </m:rPr>
                <w:rPr>
                  <w:rStyle w:val="700"/>
                </w:rPr>
                <m:t xml:space="preserve">250</m:t>
              </m:r>
            </m:den>
          </m:f>
          <m:r>
            <m:rPr>
              <m:sty m:val="p"/>
            </m:rPr>
            <w:rPr>
              <w:rStyle w:val="700"/>
            </w:rPr>
            <m:t xml:space="preserve">=</m:t>
          </m:r>
          <m:r>
            <m:rPr>
              <m:nor/>
            </m:rPr>
            <w:rPr>
              <w:rStyle w:val="700"/>
              <w:b/>
              <w:bCs/>
            </w:rPr>
            <m:t xml:space="preserve">96</m:t>
          </m:r>
          <m:r>
            <m:rPr>
              <m:nor/>
            </m:rPr>
            <w:rPr>
              <w:rStyle w:val="700"/>
              <w:b/>
              <w:bCs/>
            </w:rPr>
            <m:t xml:space="preserve"> inspekcija</m:t>
          </m:r>
        </m:oMath>
      </m:oMathPara>
    </w:p>
    <w:p>
      <w:pPr>
        <w:pStyle w:val="699"/>
        <w:pBdr/>
        <w:spacing/>
        <w:ind/>
        <w:rPr/>
      </w:pPr>
      <m:oMathPara>
        <m:oMath>
          <m:r>
            <m:rPr>
              <m:nor/>
            </m:rPr>
            <w:rPr>
              <w:rStyle w:val="700"/>
            </w:rPr>
            <m:t xml:space="preserve">BEP (u KM)</m:t>
          </m:r>
          <m:r>
            <m:rPr>
              <m:sty m:val="p"/>
            </m:rPr>
            <w:rPr>
              <w:rStyle w:val="700"/>
            </w:rPr>
            <m:t xml:space="preserve">=</m:t>
          </m:r>
          <m:r>
            <m:rPr>
              <m:nor/>
            </m:rPr>
            <w:rPr>
              <w:rStyle w:val="700"/>
            </w:rPr>
            <m:t xml:space="preserve">96</m:t>
          </m:r>
          <m:r>
            <m:rPr>
              <m:sty m:val="p"/>
            </m:rPr>
            <w:rPr>
              <w:rStyle w:val="700"/>
            </w:rPr>
            <m:t xml:space="preserve">×</m:t>
          </m:r>
          <m:r>
            <m:rPr>
              <m:nor/>
            </m:rPr>
            <w:rPr>
              <w:rStyle w:val="700"/>
            </w:rPr>
            <m:t xml:space="preserve">400</m:t>
          </m:r>
          <m:r>
            <m:rPr>
              <m:nor/>
            </m:rPr>
            <w:rPr>
              <w:rStyle w:val="700"/>
            </w:rPr>
            <m:t xml:space="preserve"> KM</m:t>
          </m:r>
          <m:r>
            <m:rPr>
              <m:sty m:val="p"/>
            </m:rPr>
            <w:rPr>
              <w:rStyle w:val="700"/>
            </w:rPr>
            <m:t xml:space="preserve">=</m:t>
          </m:r>
          <m:r>
            <m:rPr>
              <m:nor/>
            </m:rPr>
            <w:rPr>
              <w:rStyle w:val="700"/>
              <w:b/>
              <w:bCs/>
            </w:rPr>
            <m:t xml:space="preserve">38.400</m:t>
          </m:r>
          <m:r>
            <m:rPr>
              <m:nor/>
            </m:rPr>
            <w:rPr>
              <w:rStyle w:val="700"/>
              <w:b/>
              <w:bCs/>
            </w:rPr>
            <m:t xml:space="preserve"> KM</m:t>
          </m:r>
        </m:oMath>
      </m:oMathPara>
    </w:p>
    <w:p>
      <w:pPr>
        <w:pStyle w:val="699"/>
        <w:pBdr/>
        <w:spacing/>
        <w:ind/>
        <w:rPr/>
      </w:pPr>
      <w:r>
        <w:rPr>
          <w:rStyle w:val="700"/>
        </w:rPr>
        <w:t xml:space="preserve">Kompanija dostiže tačku pokrića početne investicije nakon realizovanih </w:t>
      </w:r>
      <w:r>
        <w:rPr>
          <w:rStyle w:val="701"/>
        </w:rPr>
        <w:t xml:space="preserve">96 inspekcija</w:t>
      </w:r>
      <w:r>
        <w:rPr>
          <w:rStyle w:val="700"/>
        </w:rPr>
        <w:t xml:space="preserve"> (odnosno pri ostvarenom prihodu od </w:t>
      </w:r>
      <w:r>
        <w:rPr>
          <w:rStyle w:val="701"/>
        </w:rPr>
        <w:t xml:space="preserve">38.400 KM</w:t>
      </w:r>
      <w:r>
        <w:rPr>
          <w:rStyle w:val="700"/>
        </w:rPr>
        <w:t xml:space="preserve">).</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703"/>
        <w:pBdr/>
        <w:spacing/>
        <w:ind/>
        <w:rPr/>
      </w:pPr>
      <w:r>
        <w:rPr>
          <w:rStyle w:val="704"/>
        </w:rPr>
        <w:t xml:space="preserve">10.1.4. Ekonomski rizici i ograničenja</w:t>
      </w:r>
      <w:r/>
    </w:p>
    <w:p>
      <w:pPr>
        <w:pStyle w:val="699"/>
        <w:pBdr/>
        <w:spacing/>
        <w:ind/>
        <w:rPr/>
      </w:pPr>
      <w:r>
        <w:rPr>
          <w:rStyle w:val="700"/>
        </w:rPr>
        <w:t xml:space="preserve">Prilikom realizacije i eksploatacije sistema potrebno je pratiti sljedeće ekonomske rizike:</w:t>
      </w:r>
      <w:r/>
    </w:p>
    <w:p>
      <w:pPr>
        <w:pStyle w:val="725"/>
        <w:numPr>
          <w:ilvl w:val="0"/>
          <w:numId w:val="1"/>
        </w:numPr>
        <w:pBdr/>
        <w:spacing/>
        <w:ind/>
        <w:rPr/>
      </w:pPr>
      <w:r>
        <w:rPr>
          <w:rStyle w:val="726"/>
        </w:rPr>
        <w:t xml:space="preserve">Rast troškova </w:t>
      </w:r>
      <w:r>
        <w:rPr>
          <w:rStyle w:val="732"/>
        </w:rPr>
        <w:t xml:space="preserve">cloud</w:t>
      </w:r>
      <w:r>
        <w:rPr>
          <w:rStyle w:val="726"/>
        </w:rPr>
        <w:t xml:space="preserve"> pohrane multimedijalnih podataka:</w:t>
      </w:r>
      <w:r>
        <w:rPr>
          <w:rStyle w:val="727"/>
        </w:rPr>
        <w:t xml:space="preserve"> Kontinuirano učitavanje fotografija i videozapisa visoke rezolucije može povećati mjesečne račune za </w:t>
      </w:r>
      <w:r>
        <w:rPr>
          <w:rStyle w:val="728"/>
        </w:rPr>
        <w:t xml:space="preserve">cloud storage</w:t>
      </w:r>
      <w:r>
        <w:rPr>
          <w:rStyle w:val="727"/>
        </w:rPr>
        <w:t xml:space="preserve"> (Azure Blob Storage / Amazon S3). Rizik se kontroliše definisanjem pravila arhiviranja (prebacivanje starijih snimaka u hladnu pohranu – </w:t>
      </w:r>
      <w:r>
        <w:rPr>
          <w:rStyle w:val="728"/>
        </w:rPr>
        <w:t xml:space="preserve">Cool/Archive tier</w:t>
      </w:r>
      <w:r>
        <w:rPr>
          <w:rStyle w:val="727"/>
        </w:rPr>
        <w:t xml:space="preserve">) i ograničavanjem maksimalne veličine datoteka.</w:t>
      </w:r>
      <w:r/>
    </w:p>
    <w:p>
      <w:pPr>
        <w:pStyle w:val="725"/>
        <w:numPr>
          <w:ilvl w:val="0"/>
          <w:numId w:val="1"/>
        </w:numPr>
        <w:pBdr/>
        <w:spacing/>
        <w:ind/>
        <w:rPr/>
      </w:pPr>
      <w:r>
        <w:rPr>
          <w:rStyle w:val="726"/>
        </w:rPr>
        <w:t xml:space="preserve">Troškovi korištenja vanjskog AI servisa:</w:t>
      </w:r>
      <w:r>
        <w:rPr>
          <w:rStyle w:val="727"/>
        </w:rPr>
        <w:t xml:space="preserve"> Budući da se AI servisi naplaćuju po broju analiziranih slika, nekontrolisano pokretanje analize može povećati operativne troškove. Rizik se ublažava time što AI analizu pokreće isključivo tehnički inspektor za odabrane fotografije, uz postavljanje mjesečnih budžetskih limita (</w:t>
      </w:r>
      <w:r>
        <w:rPr>
          <w:rStyle w:val="728"/>
        </w:rPr>
        <w:t xml:space="preserve">quota</w:t>
      </w:r>
      <w:r>
        <w:rPr>
          <w:rStyle w:val="727"/>
        </w:rPr>
        <w:t xml:space="preserve">).</w:t>
      </w:r>
      <w:r/>
    </w:p>
    <w:p>
      <w:pPr>
        <w:pStyle w:val="725"/>
        <w:numPr>
          <w:ilvl w:val="0"/>
          <w:numId w:val="1"/>
        </w:numPr>
        <w:pBdr/>
        <w:spacing/>
        <w:ind/>
        <w:rPr/>
      </w:pPr>
      <w:r>
        <w:rPr>
          <w:rStyle w:val="726"/>
        </w:rPr>
        <w:t xml:space="preserve">Odstupanje troškova razvoja usljed naknadnih zahtjeva:</w:t>
      </w:r>
      <w:r>
        <w:rPr>
          <w:rStyle w:val="727"/>
        </w:rPr>
        <w:t xml:space="preserve"> Proširivanje obima funkcionalnosti tokom razvoja moglo bi povećati početne troškove. Rizik se sprečava strogim poštivanjem definisanih granica sistema (poglavlje 7.3).</w:t>
      </w: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697"/>
        <w:pBdr/>
        <w:spacing/>
        <w:ind/>
        <w:rPr/>
      </w:pPr>
      <w:r>
        <w:rPr>
          <w:rStyle w:val="698"/>
        </w:rPr>
        <w:t xml:space="preserve">10.2. Analiza vremenske izvedivosti</w:t>
      </w:r>
      <w:r/>
    </w:p>
    <w:p>
      <w:pPr>
        <w:pStyle w:val="703"/>
        <w:pBdr/>
        <w:spacing/>
        <w:ind/>
        <w:rPr/>
      </w:pPr>
      <w:r>
        <w:rPr>
          <w:rStyle w:val="704"/>
        </w:rPr>
        <w:t xml:space="preserve">10.2.1. Procjena vremenske izvedivosti projekta</w:t>
      </w:r>
      <w:r/>
    </w:p>
    <w:p>
      <w:pPr>
        <w:pStyle w:val="699"/>
        <w:pBdr/>
        <w:spacing/>
        <w:ind/>
        <w:rPr/>
      </w:pPr>
      <w:r>
        <w:rPr>
          <w:rStyle w:val="700"/>
        </w:rPr>
        <w:t xml:space="preserve">Analiza vremenske izvedivosti ima za cilj procijeniti da li je predloženi informacioni sistem </w:t>
      </w:r>
      <w:r>
        <w:rPr>
          <w:rStyle w:val="701"/>
        </w:rPr>
        <w:t xml:space="preserve">DroneInspect</w:t>
      </w:r>
      <w:r>
        <w:rPr>
          <w:rStyle w:val="700"/>
        </w:rPr>
        <w:t xml:space="preserve"> moguće uspješno razviti, testirati i uvesti u upotrebu u predviđenom vremenskom roku.</w:t>
      </w:r>
      <w:r/>
    </w:p>
    <w:p>
      <w:pPr>
        <w:pStyle w:val="699"/>
        <w:pBdr/>
        <w:spacing/>
        <w:ind/>
        <w:rPr/>
      </w:pPr>
      <w:r>
        <w:rPr>
          <w:rStyle w:val="700"/>
        </w:rPr>
        <w:t xml:space="preserve">Za realizaciju projekta predviđen je vremenski okvir od </w:t>
      </w:r>
      <w:r>
        <w:rPr>
          <w:rStyle w:val="701"/>
        </w:rPr>
        <w:t xml:space="preserve">14 sedmica (jedan semestar / približno 3,5 mjeseca)</w:t>
      </w:r>
      <w:r>
        <w:rPr>
          <w:rStyle w:val="700"/>
        </w:rPr>
        <w:t xml:space="preserve">, uz angažman projektnog tima od </w:t>
      </w:r>
      <w:r>
        <w:rPr>
          <w:rStyle w:val="701"/>
        </w:rPr>
        <w:t xml:space="preserve">11 članova</w:t>
      </w:r>
      <w:r>
        <w:rPr>
          <w:rStyle w:val="700"/>
        </w:rPr>
        <w:t xml:space="preserve"> (poglavlje 0). Na osnovu obima definisanih funkcionalnosti, jasnih granica sistema i odabranih tehnologija, zaključuje se da je projekat </w:t>
      </w:r>
      <w:r>
        <w:rPr>
          <w:rStyle w:val="701"/>
        </w:rPr>
        <w:t xml:space="preserve">vremenski izvediv</w:t>
      </w:r>
      <w:r>
        <w:rPr>
          <w:rStyle w:val="700"/>
        </w:rPr>
        <w:t xml:space="preserve"> i da se sve ključne faze mogu završiti unutar planiranih rokova.</w:t>
      </w:r>
      <w:r/>
    </w:p>
    <w:p>
      <w:pPr>
        <w:pStyle w:val="703"/>
        <w:pBdr/>
        <w:spacing/>
        <w:ind/>
        <w:rPr/>
      </w:pPr>
      <w:r>
        <w:rPr>
          <w:rStyle w:val="704"/>
        </w:rPr>
        <w:t xml:space="preserve">10.2.2. Plan realizacije projekta po fazama (vremenski raspored)</w:t>
      </w:r>
      <w:r/>
    </w:p>
    <w:p>
      <w:pPr>
        <w:pStyle w:val="699"/>
        <w:pBdr/>
        <w:spacing/>
        <w:ind/>
        <w:rPr/>
      </w:pPr>
      <w:r>
        <w:rPr>
          <w:rStyle w:val="700"/>
        </w:rPr>
        <w:t xml:space="preserve">Realizacija projekta podijeljena je u pet logičkih faza koje omogućavaju postepen razvoj, redovnu provjeru sa stakeholderima i pravovremeno uočavanje potencijalnih zastoja:</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gridCol w:w="1134"/>
      </w:tblGrid>
      <w:tr>
        <w:trPr/>
        <w:tc>
          <w:tcPr>
            <w:tcBorders>
              <w:bottom w:val="single" w:color="dddddd" w:sz="12" w:space="0"/>
            </w:tcBorders>
            <w:tcW w:w="0" w:type="auto"/>
            <w:vAlign w:val="center"/>
          </w:tcPr>
          <w:p>
            <w:pPr>
              <w:pStyle w:val="707"/>
              <w:pBdr/>
              <w:spacing/>
              <w:ind/>
              <w:rPr/>
            </w:pPr>
            <w:r>
              <w:rPr>
                <w:rStyle w:val="708"/>
              </w:rPr>
              <w:t xml:space="preserve">Faza</w:t>
            </w:r>
            <w:r/>
          </w:p>
        </w:tc>
        <w:tc>
          <w:tcPr>
            <w:tcBorders>
              <w:bottom w:val="single" w:color="dddddd" w:sz="12" w:space="0"/>
            </w:tcBorders>
            <w:tcW w:w="0" w:type="auto"/>
            <w:vAlign w:val="center"/>
          </w:tcPr>
          <w:p>
            <w:pPr>
              <w:pStyle w:val="709"/>
              <w:pBdr/>
              <w:spacing/>
              <w:ind/>
              <w:rPr/>
            </w:pPr>
            <w:r>
              <w:rPr>
                <w:rStyle w:val="710"/>
              </w:rPr>
              <w:t xml:space="preserve">Naziv faze</w:t>
            </w:r>
            <w:r/>
          </w:p>
        </w:tc>
        <w:tc>
          <w:tcPr>
            <w:tcBorders>
              <w:bottom w:val="single" w:color="dddddd" w:sz="12" w:space="0"/>
            </w:tcBorders>
            <w:tcW w:w="0" w:type="auto"/>
            <w:vAlign w:val="center"/>
          </w:tcPr>
          <w:p>
            <w:pPr>
              <w:pStyle w:val="709"/>
              <w:pBdr/>
              <w:spacing/>
              <w:ind/>
              <w:rPr/>
            </w:pPr>
            <w:r>
              <w:rPr>
                <w:rStyle w:val="710"/>
              </w:rPr>
              <w:t xml:space="preserve">Ključne aktivnosti i isporuke</w:t>
            </w:r>
            <w:r/>
          </w:p>
        </w:tc>
        <w:tc>
          <w:tcPr>
            <w:tcBorders>
              <w:bottom w:val="single" w:color="dddddd" w:sz="12" w:space="0"/>
            </w:tcBorders>
            <w:tcW w:w="0" w:type="auto"/>
            <w:vAlign w:val="center"/>
          </w:tcPr>
          <w:p>
            <w:pPr>
              <w:pStyle w:val="707"/>
              <w:pBdr/>
              <w:spacing/>
              <w:ind/>
              <w:rPr/>
            </w:pPr>
            <w:r>
              <w:rPr>
                <w:rStyle w:val="708"/>
              </w:rPr>
              <w:t xml:space="preserve">Trajanje</w:t>
            </w:r>
            <w:r/>
          </w:p>
        </w:tc>
        <w:tc>
          <w:tcPr>
            <w:tcBorders>
              <w:bottom w:val="single" w:color="dddddd" w:sz="12" w:space="0"/>
            </w:tcBorders>
            <w:tcW w:w="0" w:type="auto"/>
            <w:vAlign w:val="center"/>
          </w:tcPr>
          <w:p>
            <w:pPr>
              <w:pStyle w:val="707"/>
              <w:pBdr/>
              <w:spacing/>
              <w:ind/>
              <w:rPr/>
            </w:pPr>
            <w:r>
              <w:rPr>
                <w:rStyle w:val="708"/>
              </w:rPr>
              <w:t xml:space="preserve">Vremenski okvir</w:t>
            </w:r>
            <w:r/>
          </w:p>
        </w:tc>
      </w:tr>
      <w:tr>
        <w:trPr/>
        <w:tc>
          <w:tcPr>
            <w:tcBorders>
              <w:top w:val="single" w:color="dddddd" w:sz="6" w:space="0"/>
            </w:tcBorders>
            <w:tcW w:w="0" w:type="auto"/>
            <w:vAlign w:val="center"/>
          </w:tcPr>
          <w:p>
            <w:pPr>
              <w:pStyle w:val="720"/>
              <w:pBdr/>
              <w:spacing/>
              <w:ind/>
              <w:rPr/>
            </w:pPr>
            <w:r>
              <w:rPr>
                <w:rStyle w:val="721"/>
              </w:rPr>
              <w:t xml:space="preserve">1.</w:t>
            </w:r>
            <w:r/>
          </w:p>
        </w:tc>
        <w:tc>
          <w:tcPr>
            <w:tcBorders>
              <w:top w:val="single" w:color="dddddd" w:sz="6" w:space="0"/>
            </w:tcBorders>
            <w:tcW w:w="0" w:type="auto"/>
            <w:vAlign w:val="center"/>
          </w:tcPr>
          <w:p>
            <w:pPr>
              <w:pStyle w:val="720"/>
              <w:pBdr/>
              <w:spacing/>
              <w:ind/>
              <w:rPr/>
            </w:pPr>
            <w:r>
              <w:rPr>
                <w:rStyle w:val="721"/>
              </w:rPr>
              <w:t xml:space="preserve">Inicijacija i analiza poslovanja</w:t>
            </w:r>
            <w:r/>
          </w:p>
        </w:tc>
        <w:tc>
          <w:tcPr>
            <w:tcBorders>
              <w:top w:val="single" w:color="dddddd" w:sz="6" w:space="0"/>
            </w:tcBorders>
            <w:tcW w:w="0" w:type="auto"/>
            <w:vAlign w:val="center"/>
          </w:tcPr>
          <w:p>
            <w:pPr>
              <w:pStyle w:val="715"/>
              <w:pBdr/>
              <w:spacing/>
              <w:ind/>
              <w:rPr/>
            </w:pPr>
            <w:r>
              <w:rPr>
                <w:rStyle w:val="716"/>
              </w:rPr>
              <w:t xml:space="preserve">Upoznavanje s organizacijom, analiza postojećeg procesa i problema, identifikacija i analiza stakeholdera, definisanje ciljeva, granica sistema i studije izvedivosti</w:t>
            </w:r>
            <w:r/>
          </w:p>
        </w:tc>
        <w:tc>
          <w:tcPr>
            <w:tcBorders>
              <w:top w:val="single" w:color="dddddd" w:sz="6" w:space="0"/>
            </w:tcBorders>
            <w:tcW w:w="0" w:type="auto"/>
            <w:vAlign w:val="center"/>
          </w:tcPr>
          <w:p>
            <w:pPr>
              <w:pStyle w:val="713"/>
              <w:pBdr/>
              <w:spacing/>
              <w:ind/>
              <w:rPr/>
            </w:pPr>
            <w:r>
              <w:rPr>
                <w:rStyle w:val="714"/>
              </w:rPr>
              <w:t xml:space="preserve">3 sedmice</w:t>
            </w:r>
            <w:r/>
          </w:p>
        </w:tc>
        <w:tc>
          <w:tcPr>
            <w:tcBorders>
              <w:top w:val="single" w:color="dddddd" w:sz="6" w:space="0"/>
            </w:tcBorders>
            <w:tcW w:w="0" w:type="auto"/>
            <w:vAlign w:val="center"/>
          </w:tcPr>
          <w:p>
            <w:pPr>
              <w:pStyle w:val="713"/>
              <w:pBdr/>
              <w:spacing/>
              <w:ind/>
              <w:rPr/>
            </w:pPr>
            <w:r>
              <w:rPr>
                <w:rStyle w:val="714"/>
              </w:rPr>
              <w:t xml:space="preserve">Sedmice 1–3</w:t>
            </w:r>
            <w:r/>
          </w:p>
        </w:tc>
      </w:tr>
      <w:tr>
        <w:trPr/>
        <w:tc>
          <w:tcPr>
            <w:tcBorders>
              <w:top w:val="single" w:color="dddddd" w:sz="6" w:space="0"/>
            </w:tcBorders>
            <w:tcW w:w="0" w:type="auto"/>
            <w:vAlign w:val="center"/>
          </w:tcPr>
          <w:p>
            <w:pPr>
              <w:pStyle w:val="720"/>
              <w:pBdr/>
              <w:spacing/>
              <w:ind/>
              <w:rPr/>
            </w:pPr>
            <w:r>
              <w:rPr>
                <w:rStyle w:val="721"/>
              </w:rPr>
              <w:t xml:space="preserve">2.</w:t>
            </w:r>
            <w:r/>
          </w:p>
        </w:tc>
        <w:tc>
          <w:tcPr>
            <w:tcBorders>
              <w:top w:val="single" w:color="dddddd" w:sz="6" w:space="0"/>
            </w:tcBorders>
            <w:tcW w:w="0" w:type="auto"/>
            <w:vAlign w:val="center"/>
          </w:tcPr>
          <w:p>
            <w:pPr>
              <w:pStyle w:val="720"/>
              <w:pBdr/>
              <w:spacing/>
              <w:ind/>
              <w:rPr/>
            </w:pPr>
            <w:r>
              <w:rPr>
                <w:rStyle w:val="721"/>
              </w:rPr>
              <w:t xml:space="preserve">Specifikacija zahtjeva i dizajn sistema</w:t>
            </w:r>
            <w:r/>
          </w:p>
        </w:tc>
        <w:tc>
          <w:tcPr>
            <w:tcBorders>
              <w:top w:val="single" w:color="dddddd" w:sz="6" w:space="0"/>
            </w:tcBorders>
            <w:tcW w:w="0" w:type="auto"/>
            <w:vAlign w:val="center"/>
          </w:tcPr>
          <w:p>
            <w:pPr>
              <w:pStyle w:val="715"/>
              <w:pBdr/>
              <w:spacing/>
              <w:ind/>
              <w:rPr/>
            </w:pPr>
            <w:r>
              <w:rPr>
                <w:rStyle w:val="716"/>
              </w:rPr>
              <w:t xml:space="preserve">Detaljna razrada funkcionalnih i nefunkcionalnih zahtjeva, modeliranje procesa i slučajeva korištenja, dizajn relacione baze podataka (PostgreSQL) i prototipa korisničkog interfejsa</w:t>
            </w:r>
            <w:r/>
          </w:p>
        </w:tc>
        <w:tc>
          <w:tcPr>
            <w:tcBorders>
              <w:top w:val="single" w:color="dddddd" w:sz="6" w:space="0"/>
            </w:tcBorders>
            <w:tcW w:w="0" w:type="auto"/>
            <w:vAlign w:val="center"/>
          </w:tcPr>
          <w:p>
            <w:pPr>
              <w:pStyle w:val="713"/>
              <w:pBdr/>
              <w:spacing/>
              <w:ind/>
              <w:rPr/>
            </w:pPr>
            <w:r>
              <w:rPr>
                <w:rStyle w:val="714"/>
              </w:rPr>
              <w:t xml:space="preserve">3 sedmice</w:t>
            </w:r>
            <w:r/>
          </w:p>
        </w:tc>
        <w:tc>
          <w:tcPr>
            <w:tcBorders>
              <w:top w:val="single" w:color="dddddd" w:sz="6" w:space="0"/>
            </w:tcBorders>
            <w:tcW w:w="0" w:type="auto"/>
            <w:vAlign w:val="center"/>
          </w:tcPr>
          <w:p>
            <w:pPr>
              <w:pStyle w:val="713"/>
              <w:pBdr/>
              <w:spacing/>
              <w:ind/>
              <w:rPr/>
            </w:pPr>
            <w:r>
              <w:rPr>
                <w:rStyle w:val="714"/>
              </w:rPr>
              <w:t xml:space="preserve">Sedmice 4–6</w:t>
            </w:r>
            <w:r/>
          </w:p>
        </w:tc>
      </w:tr>
      <w:tr>
        <w:trPr/>
        <w:tc>
          <w:tcPr>
            <w:tcBorders>
              <w:top w:val="single" w:color="dddddd" w:sz="6" w:space="0"/>
            </w:tcBorders>
            <w:tcW w:w="0" w:type="auto"/>
            <w:vAlign w:val="center"/>
          </w:tcPr>
          <w:p>
            <w:pPr>
              <w:pStyle w:val="720"/>
              <w:pBdr/>
              <w:spacing/>
              <w:ind/>
              <w:rPr/>
            </w:pPr>
            <w:r>
              <w:rPr>
                <w:rStyle w:val="721"/>
              </w:rPr>
              <w:t xml:space="preserve">3.</w:t>
            </w:r>
            <w:r/>
          </w:p>
        </w:tc>
        <w:tc>
          <w:tcPr>
            <w:tcBorders>
              <w:top w:val="single" w:color="dddddd" w:sz="6" w:space="0"/>
            </w:tcBorders>
            <w:tcW w:w="0" w:type="auto"/>
            <w:vAlign w:val="center"/>
          </w:tcPr>
          <w:p>
            <w:pPr>
              <w:pStyle w:val="720"/>
              <w:pBdr/>
              <w:spacing/>
              <w:ind/>
              <w:rPr/>
            </w:pPr>
            <w:r>
              <w:rPr>
                <w:rStyle w:val="721"/>
              </w:rPr>
              <w:t xml:space="preserve">Razvoj osnovnih modula sistema</w:t>
            </w:r>
            <w:r/>
          </w:p>
        </w:tc>
        <w:tc>
          <w:tcPr>
            <w:tcBorders>
              <w:top w:val="single" w:color="dddddd" w:sz="6" w:space="0"/>
            </w:tcBorders>
            <w:tcW w:w="0" w:type="auto"/>
            <w:vAlign w:val="center"/>
          </w:tcPr>
          <w:p>
            <w:pPr>
              <w:pStyle w:val="715"/>
              <w:pBdr/>
              <w:spacing/>
              <w:ind/>
              <w:rPr/>
            </w:pPr>
            <w:r>
              <w:rPr>
                <w:rStyle w:val="716"/>
              </w:rPr>
              <w:t xml:space="preserve">Postavljanje okruženja, implementacija autentifikacije i uloga, evidencije klijenata, objekata i zahtjeva, kalendara za planiranje termina te raspoređivanja operatera i dronova</w:t>
            </w:r>
            <w:r/>
          </w:p>
        </w:tc>
        <w:tc>
          <w:tcPr>
            <w:tcBorders>
              <w:top w:val="single" w:color="dddddd" w:sz="6" w:space="0"/>
            </w:tcBorders>
            <w:tcW w:w="0" w:type="auto"/>
            <w:vAlign w:val="center"/>
          </w:tcPr>
          <w:p>
            <w:pPr>
              <w:pStyle w:val="713"/>
              <w:pBdr/>
              <w:spacing/>
              <w:ind/>
              <w:rPr/>
            </w:pPr>
            <w:r>
              <w:rPr>
                <w:rStyle w:val="714"/>
              </w:rPr>
              <w:t xml:space="preserve">4 sedmice</w:t>
            </w:r>
            <w:r/>
          </w:p>
        </w:tc>
        <w:tc>
          <w:tcPr>
            <w:tcBorders>
              <w:top w:val="single" w:color="dddddd" w:sz="6" w:space="0"/>
            </w:tcBorders>
            <w:tcW w:w="0" w:type="auto"/>
            <w:vAlign w:val="center"/>
          </w:tcPr>
          <w:p>
            <w:pPr>
              <w:pStyle w:val="713"/>
              <w:pBdr/>
              <w:spacing/>
              <w:ind/>
              <w:rPr/>
            </w:pPr>
            <w:r>
              <w:rPr>
                <w:rStyle w:val="714"/>
              </w:rPr>
              <w:t xml:space="preserve">Sedmice 7–10</w:t>
            </w:r>
            <w:r/>
          </w:p>
        </w:tc>
      </w:tr>
      <w:tr>
        <w:trPr/>
        <w:tc>
          <w:tcPr>
            <w:tcBorders>
              <w:top w:val="single" w:color="dddddd" w:sz="6" w:space="0"/>
            </w:tcBorders>
            <w:tcW w:w="0" w:type="auto"/>
            <w:vAlign w:val="center"/>
          </w:tcPr>
          <w:p>
            <w:pPr>
              <w:pStyle w:val="720"/>
              <w:pBdr/>
              <w:spacing/>
              <w:ind/>
              <w:rPr/>
            </w:pPr>
            <w:r>
              <w:rPr>
                <w:rStyle w:val="721"/>
              </w:rPr>
              <w:t xml:space="preserve">4.</w:t>
            </w:r>
            <w:r/>
          </w:p>
        </w:tc>
        <w:tc>
          <w:tcPr>
            <w:tcBorders>
              <w:top w:val="single" w:color="dddddd" w:sz="6" w:space="0"/>
            </w:tcBorders>
            <w:tcW w:w="0" w:type="auto"/>
            <w:vAlign w:val="center"/>
          </w:tcPr>
          <w:p>
            <w:pPr>
              <w:pStyle w:val="720"/>
              <w:pBdr/>
              <w:spacing/>
              <w:ind/>
              <w:rPr/>
            </w:pPr>
            <w:r>
              <w:rPr>
                <w:rStyle w:val="721"/>
              </w:rPr>
              <w:t xml:space="preserve">Integracija multimedije, AI komponente i izvještaja</w:t>
            </w:r>
            <w:r/>
          </w:p>
        </w:tc>
        <w:tc>
          <w:tcPr>
            <w:tcBorders>
              <w:top w:val="single" w:color="dddddd" w:sz="6" w:space="0"/>
            </w:tcBorders>
            <w:tcW w:w="0" w:type="auto"/>
            <w:vAlign w:val="center"/>
          </w:tcPr>
          <w:p>
            <w:pPr>
              <w:pStyle w:val="715"/>
              <w:pBdr/>
              <w:spacing/>
              <w:ind/>
              <w:rPr/>
            </w:pPr>
            <w:r>
              <w:rPr>
                <w:rStyle w:val="716"/>
              </w:rPr>
              <w:t xml:space="preserve">Povezivanje sa servisom za pohranu snimaka (Blob Storage / S3), integracija postojećeg AI servisa za kategorizaciju oštećenja, evidencija tehničkih nalaza i generisanje PDF izvještaja</w:t>
            </w:r>
            <w:r/>
          </w:p>
        </w:tc>
        <w:tc>
          <w:tcPr>
            <w:tcBorders>
              <w:top w:val="single" w:color="dddddd" w:sz="6" w:space="0"/>
            </w:tcBorders>
            <w:tcW w:w="0" w:type="auto"/>
            <w:vAlign w:val="center"/>
          </w:tcPr>
          <w:p>
            <w:pPr>
              <w:pStyle w:val="713"/>
              <w:pBdr/>
              <w:spacing/>
              <w:ind/>
              <w:rPr/>
            </w:pPr>
            <w:r>
              <w:rPr>
                <w:rStyle w:val="714"/>
              </w:rPr>
              <w:t xml:space="preserve">2 sedmice</w:t>
            </w:r>
            <w:r/>
          </w:p>
        </w:tc>
        <w:tc>
          <w:tcPr>
            <w:tcBorders>
              <w:top w:val="single" w:color="dddddd" w:sz="6" w:space="0"/>
            </w:tcBorders>
            <w:tcW w:w="0" w:type="auto"/>
            <w:vAlign w:val="center"/>
          </w:tcPr>
          <w:p>
            <w:pPr>
              <w:pStyle w:val="713"/>
              <w:pBdr/>
              <w:spacing/>
              <w:ind/>
              <w:rPr/>
            </w:pPr>
            <w:r>
              <w:rPr>
                <w:rStyle w:val="714"/>
              </w:rPr>
              <w:t xml:space="preserve">Sedmice 11–12</w:t>
            </w:r>
            <w:r/>
          </w:p>
        </w:tc>
      </w:tr>
      <w:tr>
        <w:trPr/>
        <w:tc>
          <w:tcPr>
            <w:tcBorders>
              <w:top w:val="single" w:color="dddddd" w:sz="6" w:space="0"/>
            </w:tcBorders>
            <w:tcW w:w="0" w:type="auto"/>
            <w:vAlign w:val="center"/>
          </w:tcPr>
          <w:p>
            <w:pPr>
              <w:pStyle w:val="720"/>
              <w:pBdr/>
              <w:spacing/>
              <w:ind/>
              <w:rPr/>
            </w:pPr>
            <w:r>
              <w:rPr>
                <w:rStyle w:val="721"/>
              </w:rPr>
              <w:t xml:space="preserve">5.</w:t>
            </w:r>
            <w:r/>
          </w:p>
        </w:tc>
        <w:tc>
          <w:tcPr>
            <w:tcBorders>
              <w:top w:val="single" w:color="dddddd" w:sz="6" w:space="0"/>
            </w:tcBorders>
            <w:tcW w:w="0" w:type="auto"/>
            <w:vAlign w:val="center"/>
          </w:tcPr>
          <w:p>
            <w:pPr>
              <w:pStyle w:val="720"/>
              <w:pBdr/>
              <w:spacing/>
              <w:ind/>
              <w:rPr/>
            </w:pPr>
            <w:r>
              <w:rPr>
                <w:rStyle w:val="721"/>
              </w:rPr>
              <w:t xml:space="preserve">Testiranje, obuka i uvođenje u rad</w:t>
            </w:r>
            <w:r/>
          </w:p>
        </w:tc>
        <w:tc>
          <w:tcPr>
            <w:tcBorders>
              <w:top w:val="single" w:color="dddddd" w:sz="6" w:space="0"/>
            </w:tcBorders>
            <w:tcW w:w="0" w:type="auto"/>
            <w:vAlign w:val="center"/>
          </w:tcPr>
          <w:p>
            <w:pPr>
              <w:pStyle w:val="715"/>
              <w:pBdr/>
              <w:spacing/>
              <w:ind/>
              <w:rPr/>
            </w:pPr>
            <w:r>
              <w:rPr>
                <w:rStyle w:val="716"/>
              </w:rPr>
              <w:t xml:space="preserve">Integracijsko i prihvatno testiranje sa stakeholderima, provjera sigurnosnih kopija i historije aktivnosti, obuka korisnika i puštanje sistema u produkciju</w:t>
            </w:r>
            <w:r/>
          </w:p>
        </w:tc>
        <w:tc>
          <w:tcPr>
            <w:tcBorders>
              <w:top w:val="single" w:color="dddddd" w:sz="6" w:space="0"/>
            </w:tcBorders>
            <w:tcW w:w="0" w:type="auto"/>
            <w:vAlign w:val="center"/>
          </w:tcPr>
          <w:p>
            <w:pPr>
              <w:pStyle w:val="713"/>
              <w:pBdr/>
              <w:spacing/>
              <w:ind/>
              <w:rPr/>
            </w:pPr>
            <w:r>
              <w:rPr>
                <w:rStyle w:val="714"/>
              </w:rPr>
              <w:t xml:space="preserve">2 sedmice</w:t>
            </w:r>
            <w:r/>
          </w:p>
        </w:tc>
        <w:tc>
          <w:tcPr>
            <w:tcBorders>
              <w:top w:val="single" w:color="dddddd" w:sz="6" w:space="0"/>
            </w:tcBorders>
            <w:tcW w:w="0" w:type="auto"/>
            <w:vAlign w:val="center"/>
          </w:tcPr>
          <w:p>
            <w:pPr>
              <w:pStyle w:val="713"/>
              <w:pBdr/>
              <w:spacing/>
              <w:ind/>
              <w:rPr/>
            </w:pPr>
            <w:r>
              <w:rPr>
                <w:rStyle w:val="714"/>
              </w:rPr>
              <w:t xml:space="preserve">Sedmice 13–14</w:t>
            </w:r>
            <w:r/>
          </w:p>
        </w:tc>
      </w:tr>
      <w:tr>
        <w:trPr/>
        <w:tc>
          <w:tcPr>
            <w:tcBorders>
              <w:top w:val="single" w:color="dddddd" w:sz="6" w:space="0"/>
            </w:tcBorders>
            <w:tcW w:w="0" w:type="auto"/>
            <w:vAlign w:val="center"/>
          </w:tcPr>
          <w:p>
            <w:pPr>
              <w:pBdr/>
              <w:spacing/>
              <w:ind/>
              <w:rPr>
                <w:rFonts w:eastAsia="Times New Roman"/>
              </w:rPr>
            </w:pPr>
            <w:r>
              <w:rPr>
                <w:rFonts w:eastAsia="Times New Roman"/>
              </w:rPr>
            </w:r>
          </w:p>
        </w:tc>
        <w:tc>
          <w:tcPr>
            <w:tcBorders>
              <w:top w:val="single" w:color="dddddd" w:sz="6" w:space="0"/>
            </w:tcBorders>
            <w:tcW w:w="0" w:type="auto"/>
            <w:vAlign w:val="center"/>
          </w:tcPr>
          <w:p>
            <w:pPr>
              <w:pStyle w:val="720"/>
              <w:pBdr/>
              <w:spacing/>
              <w:ind/>
              <w:rPr/>
            </w:pPr>
            <w:r>
              <w:rPr>
                <w:rStyle w:val="721"/>
              </w:rPr>
              <w:t xml:space="preserve">UKUPNO TRAJANJE PROJEKTA</w:t>
            </w:r>
            <w:r/>
          </w:p>
        </w:tc>
        <w:tc>
          <w:tcPr>
            <w:tcBorders>
              <w:top w:val="single" w:color="dddddd" w:sz="6" w:space="0"/>
            </w:tcBorders>
            <w:tcW w:w="0" w:type="auto"/>
            <w:vAlign w:val="center"/>
          </w:tcPr>
          <w:p>
            <w:pPr>
              <w:pBdr/>
              <w:spacing/>
              <w:ind/>
              <w:rPr>
                <w:rFonts w:eastAsia="Times New Roman"/>
              </w:rPr>
            </w:pPr>
            <w:r>
              <w:rPr>
                <w:rFonts w:eastAsia="Times New Roman"/>
              </w:rPr>
            </w:r>
          </w:p>
        </w:tc>
        <w:tc>
          <w:tcPr>
            <w:tcBorders>
              <w:top w:val="single" w:color="dddddd" w:sz="6" w:space="0"/>
            </w:tcBorders>
            <w:tcW w:w="0" w:type="auto"/>
            <w:vAlign w:val="center"/>
          </w:tcPr>
          <w:p>
            <w:pPr>
              <w:pStyle w:val="720"/>
              <w:pBdr/>
              <w:spacing/>
              <w:ind/>
              <w:rPr/>
            </w:pPr>
            <w:r>
              <w:rPr>
                <w:rStyle w:val="721"/>
              </w:rPr>
              <w:t xml:space="preserve">14 sedmica</w:t>
            </w:r>
            <w:r/>
          </w:p>
        </w:tc>
        <w:tc>
          <w:tcPr>
            <w:tcBorders>
              <w:top w:val="single" w:color="dddddd" w:sz="6" w:space="0"/>
            </w:tcBorders>
            <w:tcW w:w="0" w:type="auto"/>
            <w:vAlign w:val="center"/>
          </w:tcPr>
          <w:p>
            <w:pPr>
              <w:pStyle w:val="720"/>
              <w:pBdr/>
              <w:spacing/>
              <w:ind/>
              <w:rPr/>
            </w:pPr>
            <w:r>
              <w:rPr>
                <w:rStyle w:val="721"/>
              </w:rPr>
              <w:t xml:space="preserve">Sedmice 1–14</w:t>
            </w:r>
            <w:r/>
          </w:p>
        </w:tc>
      </w:tr>
    </w:tbl>
    <w:p>
      <w:pPr>
        <w:pBdr/>
        <w:spacing/>
        <w:ind/>
        <w:rPr>
          <w:rFonts w:eastAsia="Times New Roman"/>
          <w:vanish/>
          <w:sz w:val="2"/>
          <w:szCs w:val="2"/>
        </w:rPr>
      </w:pPr>
      <w:r>
        <w:rPr>
          <w:rFonts w:eastAsia="Times New Roman"/>
          <w:vanish/>
          <w:sz w:val="2"/>
          <w:szCs w:val="2"/>
        </w:rPr>
      </w:r>
    </w:p>
    <w:p>
      <w:pPr>
        <w:pStyle w:val="703"/>
        <w:pBdr/>
        <w:spacing/>
        <w:ind/>
        <w:rPr/>
      </w:pPr>
      <w:r>
        <w:rPr>
          <w:rStyle w:val="704"/>
        </w:rPr>
        <w:t xml:space="preserve">10.2.3. Faktori koji podržavaju vremensku izvedivost</w:t>
      </w:r>
      <w:r/>
    </w:p>
    <w:p>
      <w:pPr>
        <w:pStyle w:val="699"/>
        <w:pBdr/>
        <w:spacing/>
        <w:ind/>
        <w:rPr/>
      </w:pPr>
      <w:r>
        <w:rPr>
          <w:rStyle w:val="700"/>
        </w:rPr>
        <w:t xml:space="preserve">Izvodljivost projekta u roku od 14 sedmica zasniva se na sljedećim ključnim faktorima:</w:t>
      </w:r>
      <w:r/>
    </w:p>
    <w:p>
      <w:pPr>
        <w:pStyle w:val="722"/>
        <w:numPr>
          <w:ilvl w:val="0"/>
          <w:numId w:val="3"/>
        </w:numPr>
        <w:pBdr/>
        <w:spacing/>
        <w:ind/>
        <w:rPr/>
      </w:pPr>
      <w:r>
        <w:rPr>
          <w:rStyle w:val="723"/>
        </w:rPr>
        <w:t xml:space="preserve">Jasno definisane granice sistema (poglavlje 7.3):</w:t>
      </w:r>
      <w:r>
        <w:rPr>
          <w:rStyle w:val="724"/>
        </w:rPr>
        <w:t xml:space="preserve"> Iz obuhvata sistema svjesno su isključene vremenski zahtjevne funkcionalnosti poput direktnog upravljanja letom drona, 3D fotogrametrijske rekonstrukcije, finansijskog računovodstva i razvoja zasebnih SMS/push servisa.</w:t>
      </w:r>
      <w:r/>
    </w:p>
    <w:p>
      <w:pPr>
        <w:pStyle w:val="722"/>
        <w:numPr>
          <w:ilvl w:val="0"/>
          <w:numId w:val="3"/>
        </w:numPr>
        <w:pBdr/>
        <w:spacing/>
        <w:ind/>
        <w:rPr/>
      </w:pPr>
      <w:r>
        <w:rPr>
          <w:rStyle w:val="723"/>
        </w:rPr>
        <w:t xml:space="preserve">Integracija postojećih servisa umjesto razvoja od nule (poglavlje 9):</w:t>
      </w:r>
      <w:r>
        <w:rPr>
          <w:rStyle w:val="724"/>
        </w:rPr>
        <w:t xml:space="preserve"> Korištenje gotovog </w:t>
      </w:r>
      <w:r>
        <w:rPr>
          <w:rStyle w:val="733"/>
        </w:rPr>
        <w:t xml:space="preserve">cloud</w:t>
      </w:r>
      <w:r>
        <w:rPr>
          <w:rStyle w:val="724"/>
        </w:rPr>
        <w:t xml:space="preserve"> servisa za pohranu datoteka i postojećeg AI modela za analizu slika štedi više mjeseci rada koji bi inače bili potrebni za prikupljanje podataka, treniranje i validaciju vlastitog modela vještačke inteligencije.</w:t>
      </w:r>
      <w:r/>
    </w:p>
    <w:p>
      <w:pPr>
        <w:pStyle w:val="722"/>
        <w:numPr>
          <w:ilvl w:val="0"/>
          <w:numId w:val="3"/>
        </w:numPr>
        <w:pBdr/>
        <w:spacing/>
        <w:ind/>
        <w:rPr/>
      </w:pPr>
      <w:r>
        <w:rPr>
          <w:rStyle w:val="723"/>
        </w:rPr>
        <w:t xml:space="preserve">Veličina i struktura projektnog tima:</w:t>
      </w:r>
      <w:r>
        <w:rPr>
          <w:rStyle w:val="724"/>
        </w:rPr>
        <w:t xml:space="preserve"> Tim od 11 članova omogućava paralelno izvođenje aktivnosti (npr. istovremeni rad na klijentskoj React aplikaciji, serverskom ASP.NET Core API-ju, dizajnu baze podataka i testiranju AI servisa).</w:t>
      </w:r>
      <w:r/>
    </w:p>
    <w:p>
      <w:pPr>
        <w:pStyle w:val="722"/>
        <w:numPr>
          <w:ilvl w:val="0"/>
          <w:numId w:val="3"/>
        </w:numPr>
        <w:pBdr/>
        <w:spacing/>
        <w:ind/>
        <w:rPr/>
      </w:pPr>
      <w:r>
        <w:rPr>
          <w:rStyle w:val="723"/>
        </w:rPr>
        <w:t xml:space="preserve">Poznate i dobro dokumentovane tehnologije:</w:t>
      </w:r>
      <w:r>
        <w:rPr>
          <w:rStyle w:val="724"/>
        </w:rPr>
        <w:t xml:space="preserve"> Odabrani tehnološki stog (React, ASP.NET Core, C#, PostgreSQL) ima široku podršku i gotove biblioteke za autentifikaciju, kalendarski prikaz i generisanje PDF dokumenata, što ubrzava fazu implementacije.</w:t>
      </w:r>
      <w:r/>
    </w:p>
    <w:p>
      <w:pPr>
        <w:pStyle w:val="703"/>
        <w:pBdr/>
        <w:spacing/>
        <w:ind/>
        <w:rPr/>
      </w:pPr>
      <w:r>
        <w:rPr>
          <w:rStyle w:val="704"/>
        </w:rPr>
        <w:t xml:space="preserve">10.2.4. Vremenski rizici i mjere ublažavanja</w:t>
      </w:r>
      <w:r/>
    </w:p>
    <w:p>
      <w:pPr>
        <w:pStyle w:val="699"/>
        <w:pBdr/>
        <w:spacing/>
        <w:ind/>
        <w:rPr>
          <w:rStyle w:val="700"/>
          <w:highlight w:val="none"/>
        </w:rPr>
      </w:pPr>
      <w:r>
        <w:rPr>
          <w:rStyle w:val="700"/>
        </w:rPr>
        <w:t xml:space="preserve">Tokom realizacije projekta mogu se pojaviti određeni rizici vezani za rokove, za koje su predviđene odgovarajuće mjere ublažavanja:</w:t>
      </w:r>
      <w:r/>
    </w:p>
    <w:p w14:paraId="37D60416">
      <w:pPr>
        <w:pStyle w:val="699"/>
        <w:pBdr/>
        <w:spacing/>
        <w:ind/>
        <w:rPr/>
      </w:pPr>
      <w:r>
        <w:rPr>
          <w:rStyle w:val="700"/>
          <w:highlight w:val="none"/>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cPr>
          <w:p>
            <w:pPr>
              <w:pStyle w:val="709"/>
              <w:pBdr/>
              <w:spacing/>
              <w:ind/>
              <w:rPr/>
            </w:pPr>
            <w:r>
              <w:rPr>
                <w:rStyle w:val="710"/>
              </w:rPr>
              <w:t xml:space="preserve">Vremenski rizik</w:t>
            </w:r>
            <w:r/>
          </w:p>
        </w:tc>
        <w:tc>
          <w:tcPr>
            <w:tcBorders>
              <w:bottom w:val="single" w:color="dddddd" w:sz="12" w:space="0"/>
            </w:tcBorders>
            <w:tcW w:w="0" w:type="auto"/>
            <w:vAlign w:val="center"/>
          </w:tcPr>
          <w:p>
            <w:pPr>
              <w:pStyle w:val="709"/>
              <w:pBdr/>
              <w:spacing/>
              <w:ind/>
              <w:rPr/>
            </w:pPr>
            <w:r>
              <w:rPr>
                <w:rStyle w:val="710"/>
              </w:rPr>
              <w:t xml:space="preserve">Uticaj na projekat</w:t>
            </w:r>
            <w:r/>
          </w:p>
        </w:tc>
        <w:tc>
          <w:tcPr>
            <w:tcBorders>
              <w:bottom w:val="single" w:color="dddddd" w:sz="12" w:space="0"/>
            </w:tcBorders>
            <w:tcW w:w="0" w:type="auto"/>
            <w:vAlign w:val="center"/>
          </w:tcPr>
          <w:p>
            <w:pPr>
              <w:pStyle w:val="709"/>
              <w:pBdr/>
              <w:spacing/>
              <w:ind/>
              <w:rPr/>
            </w:pPr>
            <w:r>
              <w:rPr>
                <w:rStyle w:val="710"/>
              </w:rPr>
              <w:t xml:space="preserve">Mjera ublažavanja</w:t>
            </w:r>
            <w:r/>
          </w:p>
        </w:tc>
      </w:tr>
      <w:tr>
        <w:trPr/>
        <w:tc>
          <w:tcPr>
            <w:tcBorders>
              <w:top w:val="single" w:color="dddddd" w:sz="6" w:space="0"/>
            </w:tcBorders>
            <w:tcW w:w="0" w:type="auto"/>
            <w:vAlign w:val="center"/>
          </w:tcPr>
          <w:p>
            <w:pPr>
              <w:pStyle w:val="720"/>
              <w:pBdr/>
              <w:spacing/>
              <w:ind/>
              <w:rPr/>
            </w:pPr>
            <w:r>
              <w:rPr>
                <w:rStyle w:val="721"/>
              </w:rPr>
              <w:t xml:space="preserve">Širenje obima projekta (</w:t>
            </w:r>
            <w:r>
              <w:rPr>
                <w:rStyle w:val="734"/>
              </w:rPr>
              <w:t xml:space="preserve">Scope Creep</w:t>
            </w:r>
            <w:r>
              <w:rPr>
                <w:rStyle w:val="721"/>
              </w:rPr>
              <w:t xml:space="preserve">)</w:t>
            </w:r>
            <w:r/>
          </w:p>
        </w:tc>
        <w:tc>
          <w:tcPr>
            <w:tcBorders>
              <w:top w:val="single" w:color="dddddd" w:sz="6" w:space="0"/>
            </w:tcBorders>
            <w:tcW w:w="0" w:type="auto"/>
            <w:vAlign w:val="center"/>
          </w:tcPr>
          <w:p>
            <w:pPr>
              <w:pStyle w:val="715"/>
              <w:pBdr/>
              <w:spacing/>
              <w:ind/>
              <w:rPr/>
            </w:pPr>
            <w:r>
              <w:rPr>
                <w:rStyle w:val="716"/>
              </w:rPr>
              <w:t xml:space="preserve">Naknadni zahtjevi za novim funkcionalnostima mogu produžiti fazu razvoja i ugroziti završni rok.</w:t>
            </w:r>
            <w:r/>
          </w:p>
        </w:tc>
        <w:tc>
          <w:tcPr>
            <w:tcBorders>
              <w:top w:val="single" w:color="dddddd" w:sz="6" w:space="0"/>
            </w:tcBorders>
            <w:tcW w:w="0" w:type="auto"/>
            <w:vAlign w:val="center"/>
          </w:tcPr>
          <w:p>
            <w:pPr>
              <w:pStyle w:val="715"/>
              <w:pBdr/>
              <w:spacing/>
              <w:ind/>
              <w:rPr/>
            </w:pPr>
            <w:r>
              <w:rPr>
                <w:rStyle w:val="716"/>
              </w:rPr>
              <w:t xml:space="preserve">Strogo pridržavanje definisanih granica sistema (poglavlje 7.3) i prioritizacija osnovnih funkcionalnosti.</w:t>
            </w:r>
            <w:r/>
          </w:p>
        </w:tc>
      </w:tr>
      <w:tr>
        <w:trPr/>
        <w:tc>
          <w:tcPr>
            <w:tcBorders>
              <w:top w:val="single" w:color="dddddd" w:sz="6" w:space="0"/>
            </w:tcBorders>
            <w:tcW w:w="0" w:type="auto"/>
            <w:vAlign w:val="center"/>
          </w:tcPr>
          <w:p>
            <w:pPr>
              <w:pStyle w:val="720"/>
              <w:pBdr/>
              <w:spacing/>
              <w:ind/>
              <w:rPr/>
            </w:pPr>
            <w:r>
              <w:rPr>
                <w:rStyle w:val="721"/>
              </w:rPr>
              <w:t xml:space="preserve">Izbor i testiranje AI servisa za analizu slika</w:t>
            </w:r>
            <w:r/>
          </w:p>
        </w:tc>
        <w:tc>
          <w:tcPr>
            <w:tcBorders>
              <w:top w:val="single" w:color="dddddd" w:sz="6" w:space="0"/>
            </w:tcBorders>
            <w:tcW w:w="0" w:type="auto"/>
            <w:vAlign w:val="center"/>
          </w:tcPr>
          <w:p>
            <w:pPr>
              <w:pStyle w:val="715"/>
              <w:pBdr/>
              <w:spacing/>
              <w:ind/>
              <w:rPr/>
            </w:pPr>
            <w:r>
              <w:rPr>
                <w:rStyle w:val="716"/>
              </w:rPr>
              <w:t xml:space="preserve">Provjera da li odabrani AI model pouzdano prepoznaje oštećenja krovova i fasada može zahtijevati dodatno vrijeme.</w:t>
            </w:r>
            <w:r/>
          </w:p>
        </w:tc>
        <w:tc>
          <w:tcPr>
            <w:tcBorders>
              <w:top w:val="single" w:color="dddddd" w:sz="6" w:space="0"/>
            </w:tcBorders>
            <w:tcW w:w="0" w:type="auto"/>
            <w:vAlign w:val="center"/>
          </w:tcPr>
          <w:p>
            <w:pPr>
              <w:pStyle w:val="715"/>
              <w:pBdr/>
              <w:spacing/>
              <w:ind/>
              <w:rPr/>
            </w:pPr>
            <w:r>
              <w:rPr>
                <w:rStyle w:val="716"/>
              </w:rPr>
              <w:t xml:space="preserve">Testiranje AI servisa na reprezentativnom skupu fotografija provodi se već u Fazi 2 i 3, paralelno s razvojem osnovnih modula.</w:t>
            </w:r>
            <w:r/>
          </w:p>
        </w:tc>
      </w:tr>
      <w:tr>
        <w:trPr/>
        <w:tc>
          <w:tcPr>
            <w:tcBorders>
              <w:top w:val="single" w:color="dddddd" w:sz="6" w:space="0"/>
            </w:tcBorders>
            <w:tcW w:w="0" w:type="auto"/>
            <w:vAlign w:val="center"/>
          </w:tcPr>
          <w:p>
            <w:pPr>
              <w:pStyle w:val="720"/>
              <w:pBdr/>
              <w:spacing/>
              <w:ind/>
              <w:rPr/>
            </w:pPr>
            <w:r>
              <w:rPr>
                <w:rStyle w:val="721"/>
              </w:rPr>
              <w:t xml:space="preserve">Koordinacija rada u većem timu (11 članova)</w:t>
            </w:r>
            <w:r/>
          </w:p>
        </w:tc>
        <w:tc>
          <w:tcPr>
            <w:tcBorders>
              <w:top w:val="single" w:color="dddddd" w:sz="6" w:space="0"/>
            </w:tcBorders>
            <w:tcW w:w="0" w:type="auto"/>
            <w:vAlign w:val="center"/>
          </w:tcPr>
          <w:p>
            <w:pPr>
              <w:pStyle w:val="715"/>
              <w:pBdr/>
              <w:spacing/>
              <w:ind/>
              <w:rPr/>
            </w:pPr>
            <w:r>
              <w:rPr>
                <w:rStyle w:val="716"/>
              </w:rPr>
              <w:t xml:space="preserve">Neusklađenost između članova tima može dovesti do čekanja na zavisne dijelove koda ili dupliranja posla.</w:t>
            </w:r>
            <w:r/>
          </w:p>
        </w:tc>
        <w:tc>
          <w:tcPr>
            <w:tcBorders>
              <w:top w:val="single" w:color="dddddd" w:sz="6" w:space="0"/>
            </w:tcBorders>
            <w:tcW w:w="0" w:type="auto"/>
            <w:vAlign w:val="center"/>
          </w:tcPr>
          <w:p>
            <w:pPr>
              <w:pStyle w:val="715"/>
              <w:pBdr/>
              <w:spacing/>
              <w:ind/>
              <w:rPr/>
            </w:pPr>
            <w:r>
              <w:rPr>
                <w:rStyle w:val="716"/>
              </w:rPr>
              <w:t xml:space="preserve">Jasna podjela uloga po podtimovima (Frontend, Backend, Baza/AI, QA), definisanje REST API ugovora unaprijed i redovni sedmični sastanci.</w:t>
            </w:r>
            <w:r/>
          </w:p>
        </w:tc>
      </w:tr>
      <w:tr>
        <w:trPr/>
        <w:tc>
          <w:tcPr>
            <w:tcBorders>
              <w:top w:val="single" w:color="dddddd" w:sz="6" w:space="0"/>
            </w:tcBorders>
            <w:tcW w:w="0" w:type="auto"/>
            <w:vAlign w:val="center"/>
          </w:tcPr>
          <w:p>
            <w:pPr>
              <w:pStyle w:val="720"/>
              <w:pBdr/>
              <w:spacing/>
              <w:ind/>
              <w:rPr/>
            </w:pPr>
            <w:r>
              <w:rPr>
                <w:rStyle w:val="721"/>
              </w:rPr>
              <w:t xml:space="preserve">Dostupnost stakeholdera za povratne informacije</w:t>
            </w:r>
            <w:r/>
          </w:p>
        </w:tc>
        <w:tc>
          <w:tcPr>
            <w:tcBorders>
              <w:top w:val="single" w:color="dddddd" w:sz="6" w:space="0"/>
            </w:tcBorders>
            <w:tcW w:w="0" w:type="auto"/>
            <w:vAlign w:val="center"/>
          </w:tcPr>
          <w:p>
            <w:pPr>
              <w:pStyle w:val="715"/>
              <w:pBdr/>
              <w:spacing/>
              <w:ind/>
              <w:rPr/>
            </w:pPr>
            <w:r>
              <w:rPr>
                <w:rStyle w:val="716"/>
              </w:rPr>
              <w:t xml:space="preserve">Kašnjenje u validaciji zahtjeva od strane koordinatora ili tehničkog inspektora može usporiti dizajn i testiranje.</w:t>
            </w:r>
            <w:r/>
          </w:p>
        </w:tc>
        <w:tc>
          <w:tcPr>
            <w:tcBorders>
              <w:top w:val="single" w:color="dddddd" w:sz="6" w:space="0"/>
            </w:tcBorders>
            <w:tcW w:w="0" w:type="auto"/>
            <w:vAlign w:val="center"/>
          </w:tcPr>
          <w:p>
            <w:pPr>
              <w:pStyle w:val="715"/>
              <w:pBdr/>
              <w:spacing/>
              <w:ind/>
              <w:rPr/>
            </w:pPr>
            <w:r>
              <w:rPr>
                <w:rStyle w:val="716"/>
              </w:rPr>
              <w:t xml:space="preserve">Unaprijed zakazane kratke radionice i sesije prihvatnog testiranja na kraju ključnih faza (u skladu s planom učešća iz poglavlja 4.4).</w:t>
            </w:r>
            <w:r/>
          </w:p>
        </w:tc>
      </w:tr>
    </w:tbl>
    <w:p>
      <w:pPr>
        <w:pBdr/>
        <w:spacing/>
        <w:ind/>
        <w:rPr>
          <w:rFonts w:eastAsia="Times New Roman"/>
          <w:vanish/>
          <w:sz w:val="2"/>
          <w:szCs w:val="2"/>
        </w:rPr>
      </w:pPr>
      <w:r>
        <w:rPr>
          <w:rFonts w:eastAsia="Times New Roman"/>
          <w:vanish/>
          <w:sz w:val="2"/>
          <w:szCs w:val="2"/>
        </w:rPr>
      </w:r>
    </w:p>
    <w:p>
      <w:pPr>
        <w:pBdr/>
        <w:spacing/>
        <w:ind/>
        <w:jc w:val="center"/>
        <w:rP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697"/>
        <w:pBdr/>
        <w:spacing/>
        <w:ind/>
        <w:rPr/>
      </w:pPr>
      <w:r>
        <w:rPr>
          <w:rStyle w:val="698"/>
        </w:rPr>
        <w:t xml:space="preserve">10.3. Zaključna procjena ekonomske i vremenske izvedivosti</w:t>
      </w:r>
      <w:r/>
    </w:p>
    <w:p>
      <w:pPr>
        <w:pStyle w:val="699"/>
        <w:pBdr/>
        <w:spacing/>
        <w:ind/>
        <w:rPr/>
      </w:pPr>
      <w:r>
        <w:rPr>
          <w:rStyle w:val="700"/>
        </w:rPr>
        <w:t xml:space="preserve">Na osnovu provedene analize može se zaključiti da je razvoj informacionog sistema </w:t>
      </w:r>
      <w:r>
        <w:rPr>
          <w:rStyle w:val="701"/>
        </w:rPr>
        <w:t xml:space="preserve">DroneInspect ekonomski isplativ i vremenski izvediv</w:t>
      </w:r>
      <w:r>
        <w:rPr>
          <w:rStyle w:val="700"/>
        </w:rPr>
        <w:t xml:space="preserve">:</w:t>
      </w:r>
      <w:r/>
    </w:p>
    <w:p>
      <w:pPr>
        <w:pStyle w:val="725"/>
        <w:numPr>
          <w:ilvl w:val="0"/>
          <w:numId w:val="1"/>
        </w:numPr>
        <w:pBdr/>
        <w:spacing/>
        <w:ind/>
        <w:rPr/>
      </w:pPr>
      <w:r>
        <w:rPr>
          <w:rStyle w:val="726"/>
        </w:rPr>
        <w:t xml:space="preserve">Ekonomska izvedivost:</w:t>
      </w:r>
      <w:r>
        <w:rPr>
          <w:rStyle w:val="727"/>
        </w:rPr>
        <w:t xml:space="preserve"> Uz procijenjeno početno ulaganje od </w:t>
      </w:r>
      <w:r>
        <w:rPr>
          <w:rStyle w:val="726"/>
        </w:rPr>
        <w:t xml:space="preserve">24.000 KM</w:t>
      </w:r>
      <w:r>
        <w:rPr>
          <w:rStyle w:val="727"/>
        </w:rPr>
        <w:t xml:space="preserve"> i ukupne troškove od </w:t>
      </w:r>
      <w:r>
        <w:rPr>
          <w:rStyle w:val="726"/>
        </w:rPr>
        <w:t xml:space="preserve">37.500 KM</w:t>
      </w:r>
      <w:r>
        <w:rPr>
          <w:rStyle w:val="727"/>
        </w:rPr>
        <w:t xml:space="preserve"> tokom tri godine, sistem generiše ukupne mjerljive koristi od </w:t>
      </w:r>
      <w:r>
        <w:rPr>
          <w:rStyle w:val="726"/>
        </w:rPr>
        <w:t xml:space="preserve">50.000 KM</w:t>
      </w:r>
      <w:r>
        <w:rPr>
          <w:rStyle w:val="727"/>
        </w:rPr>
        <w:t xml:space="preserve"> (neto korist od </w:t>
      </w:r>
      <w:r>
        <w:rPr>
          <w:rStyle w:val="726"/>
        </w:rPr>
        <w:t xml:space="preserve">12.500 KM</w:t>
      </w:r>
      <w:r>
        <w:rPr>
          <w:rStyle w:val="727"/>
        </w:rPr>
        <w:t xml:space="preserve">). Projekat ostvaruje povrat ulaganja (</w:t>
      </w:r>
      <w:r>
        <w:rPr>
          <w:rStyle w:val="726"/>
        </w:rPr>
        <w:t xml:space="preserve">ROI</w:t>
      </w:r>
      <w:r>
        <w:rPr>
          <w:rStyle w:val="727"/>
        </w:rPr>
        <w:t xml:space="preserve">) od </w:t>
      </w:r>
      <w:r>
        <w:rPr>
          <w:rStyle w:val="726"/>
        </w:rPr>
        <w:t xml:space="preserve">33,33%</w:t>
      </w:r>
      <w:r>
        <w:rPr>
          <w:rStyle w:val="727"/>
        </w:rPr>
        <w:t xml:space="preserve">, period povrata (</w:t>
      </w:r>
      <w:r>
        <w:rPr>
          <w:rStyle w:val="726"/>
        </w:rPr>
        <w:t xml:space="preserve">Payback Period</w:t>
      </w:r>
      <w:r>
        <w:rPr>
          <w:rStyle w:val="727"/>
        </w:rPr>
        <w:t xml:space="preserve">) od </w:t>
      </w:r>
      <w:r>
        <w:rPr>
          <w:rStyle w:val="726"/>
        </w:rPr>
        <w:t xml:space="preserve">2,14 godina</w:t>
      </w:r>
      <w:r>
        <w:rPr>
          <w:rStyle w:val="727"/>
        </w:rPr>
        <w:t xml:space="preserve">, te pozitivnu neto sadašnju vrijednost (</w:t>
      </w:r>
      <w:r>
        <w:rPr>
          <w:rStyle w:val="726"/>
        </w:rPr>
        <w:t xml:space="preserve">NPV</w:t>
      </w:r>
      <w:r>
        <w:rPr>
          <w:rStyle w:val="727"/>
        </w:rPr>
        <w:t xml:space="preserve">) od </w:t>
      </w:r>
      <w:r>
        <w:rPr>
          <w:rStyle w:val="726"/>
        </w:rPr>
        <w:t xml:space="preserve">+5.902,33 KM</w:t>
      </w:r>
      <w:r>
        <w:rPr>
          <w:rStyle w:val="727"/>
        </w:rPr>
        <w:t xml:space="preserve"> uz diskontnu stopu od 10%. Dodatno, kvalitativne koristi poput veće sigurnosti podataka, brže isporuke izvještaja i većeg zadovoljstva klijenata dodatno opravdavaju investiciju.</w:t>
      </w:r>
      <w:r/>
    </w:p>
    <w:p>
      <w:pPr>
        <w:pStyle w:val="725"/>
        <w:numPr>
          <w:ilvl w:val="0"/>
          <w:numId w:val="1"/>
        </w:numPr>
        <w:pBdr/>
        <w:spacing/>
        <w:ind/>
        <w:rPr/>
      </w:pPr>
      <w:r>
        <w:rPr>
          <w:rStyle w:val="726"/>
        </w:rPr>
        <w:t xml:space="preserve">Vremenska izvedivost:</w:t>
      </w:r>
      <w:r>
        <w:rPr>
          <w:rStyle w:val="727"/>
        </w:rPr>
        <w:t xml:space="preserve"> Planirani rok od </w:t>
      </w:r>
      <w:r>
        <w:rPr>
          <w:rStyle w:val="726"/>
        </w:rPr>
        <w:t xml:space="preserve">14 sedmica</w:t>
      </w:r>
      <w:r>
        <w:rPr>
          <w:rStyle w:val="727"/>
        </w:rPr>
        <w:t xml:space="preserve"> je realan i ostvariv zahvaljujući jasno postavljenim granicama sistema, korištenju gotovih </w:t>
      </w:r>
      <w:r>
        <w:rPr>
          <w:rStyle w:val="728"/>
        </w:rPr>
        <w:t xml:space="preserve">cloud</w:t>
      </w:r>
      <w:r>
        <w:rPr>
          <w:rStyle w:val="727"/>
        </w:rPr>
        <w:t xml:space="preserve"> i AI servisa te organizaciji tima od 11 članova koji omogućava paralelan razvoj i pravovremeno testiranje svih predviđenih funkcionalnosti.</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8"/>
    <w:next w:val="68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8"/>
    <w:next w:val="68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88"/>
    <w:next w:val="68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88"/>
    <w:next w:val="68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8"/>
    <w:next w:val="68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8"/>
    <w:next w:val="68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8"/>
    <w:next w:val="68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8"/>
    <w:next w:val="68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8"/>
    <w:next w:val="68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88"/>
    <w:next w:val="68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88"/>
    <w:next w:val="68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8"/>
    <w:next w:val="68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8"/>
    <w:next w:val="68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8"/>
    <w:next w:val="688"/>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692"/>
    <w:uiPriority w:val="99"/>
    <w:semiHidden/>
    <w:pPr>
      <w:pBdr/>
      <w:spacing/>
      <w:ind/>
    </w:pPr>
    <w:rPr>
      <w:sz w:val="20"/>
      <w:szCs w:val="20"/>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eastAsiaTheme="minorEastAsia"/>
      <w:sz w:val="24"/>
      <w:szCs w:val="24"/>
    </w:rPr>
  </w:style>
  <w:style w:type="character" w:styleId="690">
    <w:name w:val="Hyperlink"/>
    <w:uiPriority w:val="99"/>
    <w:unhideWhenUsed/>
    <w:pPr>
      <w:pBdr/>
      <w:spacing/>
      <w:ind/>
    </w:pPr>
    <w:rPr>
      <w:color w:val="0000ff" w:themeColor="hyperlink"/>
      <w:u w:val="single"/>
    </w:rPr>
  </w:style>
  <w:style w:type="character" w:styleId="691">
    <w:name w:val="footnote reference"/>
    <w:uiPriority w:val="99"/>
    <w:unhideWhenUsed/>
    <w:pPr>
      <w:pBdr/>
      <w:spacing/>
      <w:ind/>
    </w:pPr>
    <w:rPr>
      <w:vertAlign w:val="superscript"/>
    </w:rPr>
  </w:style>
  <w:style w:type="paragraph" w:styleId="692">
    <w:name w:val="footnote text"/>
    <w:basedOn w:val="688"/>
    <w:link w:val="693"/>
    <w:uiPriority w:val="99"/>
    <w:semiHidden/>
    <w:unhideWhenUsed/>
    <w:pPr>
      <w:pBdr/>
      <w:spacing w:after="40" w:line="240" w:lineRule="auto"/>
      <w:ind/>
    </w:pPr>
    <w:rPr>
      <w:sz w:val="18"/>
    </w:rPr>
  </w:style>
  <w:style w:type="character" w:styleId="693" w:customStyle="1">
    <w:name w:val="footnote text character"/>
    <w:link w:val="692"/>
    <w:uiPriority w:val="99"/>
    <w:pPr>
      <w:pBdr/>
      <w:spacing/>
      <w:ind/>
    </w:pPr>
    <w:rPr>
      <w:sz w:val="18"/>
    </w:rPr>
  </w:style>
  <w:style w:type="paragraph" w:styleId="694">
    <w:name w:val="Normal (Web)"/>
    <w:basedOn w:val="688"/>
    <w:uiPriority w:val="99"/>
    <w:semiHidden/>
    <w:unhideWhenUsed/>
    <w:pPr>
      <w:pBdr/>
      <w:spacing w:after="100" w:afterAutospacing="1" w:before="100" w:beforeAutospacing="1"/>
      <w:ind/>
    </w:pPr>
  </w:style>
  <w:style w:type="paragraph" w:styleId="695" w:customStyle="1">
    <w:name w:val="text-4"/>
    <w:qFormat/>
    <w:pPr>
      <w:pBdr/>
      <w:spacing w:after="80" w:afterAutospacing="1" w:before="360" w:beforeAutospacing="1"/>
      <w:ind/>
    </w:pPr>
  </w:style>
  <w:style w:type="character" w:styleId="696" w:customStyle="1">
    <w:name w:val="text-4-c"/>
    <w:pPr>
      <w:pBdr/>
      <w:spacing/>
      <w:ind/>
    </w:pPr>
    <w:rPr>
      <w:rFonts w:ascii="Arial" w:hAnsi="Arial" w:eastAsia="Arial" w:cs="Arial"/>
      <w:b/>
      <w:bCs/>
      <w:color w:val="000000"/>
      <w:sz w:val="40"/>
      <w:szCs w:val="40"/>
    </w:rPr>
  </w:style>
  <w:style w:type="paragraph" w:styleId="697" w:customStyle="1">
    <w:name w:val="text-7"/>
    <w:qFormat/>
    <w:pPr>
      <w:pBdr/>
      <w:spacing w:after="80" w:afterAutospacing="1" w:before="160" w:beforeAutospacing="1"/>
      <w:ind/>
    </w:pPr>
  </w:style>
  <w:style w:type="character" w:styleId="698" w:customStyle="1">
    <w:name w:val="text-7-c"/>
    <w:pPr>
      <w:pBdr/>
      <w:spacing/>
      <w:ind/>
    </w:pPr>
    <w:rPr>
      <w:rFonts w:ascii="Arial" w:hAnsi="Arial" w:eastAsia="Arial" w:cs="Arial"/>
      <w:b/>
      <w:bCs/>
      <w:color w:val="000000"/>
      <w:sz w:val="32"/>
      <w:szCs w:val="32"/>
    </w:rPr>
  </w:style>
  <w:style w:type="paragraph" w:styleId="699" w:customStyle="1">
    <w:name w:val="text-9"/>
    <w:qFormat/>
    <w:pPr>
      <w:pBdr/>
      <w:spacing w:after="150" w:afterAutospacing="1"/>
      <w:ind/>
    </w:pPr>
  </w:style>
  <w:style w:type="character" w:styleId="700" w:customStyle="1">
    <w:name w:val="text-9-c"/>
    <w:pPr>
      <w:pBdr/>
      <w:spacing/>
      <w:ind/>
    </w:pPr>
    <w:rPr>
      <w:rFonts w:ascii="Arial" w:hAnsi="Arial" w:eastAsia="Arial" w:cs="Arial"/>
      <w:color w:val="000000"/>
    </w:rPr>
  </w:style>
  <w:style w:type="character" w:styleId="701" w:customStyle="1">
    <w:name w:val="text-11-c"/>
    <w:pPr>
      <w:pBdr/>
      <w:spacing/>
      <w:ind/>
    </w:pPr>
    <w:rPr>
      <w:rFonts w:ascii="Arial" w:hAnsi="Arial" w:eastAsia="Arial" w:cs="Arial"/>
      <w:b/>
      <w:bCs/>
      <w:color w:val="000000"/>
    </w:rPr>
  </w:style>
  <w:style w:type="character" w:styleId="702" w:customStyle="1">
    <w:name w:val="text-15-c"/>
    <w:pPr>
      <w:pBdr/>
      <w:spacing/>
      <w:ind/>
    </w:pPr>
    <w:rPr>
      <w:rFonts w:ascii="Arial" w:hAnsi="Arial" w:eastAsia="Arial" w:cs="Arial"/>
      <w:i/>
      <w:iCs/>
      <w:color w:val="000000"/>
    </w:rPr>
  </w:style>
  <w:style w:type="paragraph" w:styleId="703" w:customStyle="1">
    <w:name w:val="text-19"/>
    <w:qFormat/>
    <w:pPr>
      <w:pBdr/>
      <w:spacing w:after="80" w:afterAutospacing="1" w:before="160" w:beforeAutospacing="1"/>
      <w:ind/>
    </w:pPr>
  </w:style>
  <w:style w:type="character" w:styleId="704" w:customStyle="1">
    <w:name w:val="text-19-c"/>
    <w:pPr>
      <w:pBdr/>
      <w:spacing/>
      <w:ind/>
    </w:pPr>
    <w:rPr>
      <w:rFonts w:ascii="Arial" w:hAnsi="Arial" w:eastAsia="Arial" w:cs="Arial"/>
      <w:b/>
      <w:bCs/>
      <w:color w:val="000000"/>
      <w:sz w:val="28"/>
      <w:szCs w:val="28"/>
    </w:rPr>
  </w:style>
  <w:style w:type="paragraph" w:styleId="705" w:customStyle="1">
    <w:name w:val="text-27"/>
    <w:qFormat/>
    <w:pPr>
      <w:pBdr/>
      <w:spacing w:after="40" w:afterAutospacing="1" w:before="80" w:beforeAutospacing="1"/>
      <w:ind/>
    </w:pPr>
  </w:style>
  <w:style w:type="character" w:styleId="706" w:customStyle="1">
    <w:name w:val="text-27-c"/>
    <w:pPr>
      <w:pBdr/>
      <w:spacing/>
      <w:ind/>
    </w:pPr>
    <w:rPr>
      <w:rFonts w:ascii="Arial" w:hAnsi="Arial" w:eastAsia="Arial" w:cs="Arial"/>
      <w:b/>
      <w:bCs/>
      <w:i/>
      <w:iCs/>
      <w:color w:val="000000"/>
    </w:rPr>
  </w:style>
  <w:style w:type="paragraph" w:styleId="707" w:customStyle="1">
    <w:name w:val="text-33"/>
    <w:qFormat/>
    <w:pPr>
      <w:pBdr/>
      <w:spacing w:after="300" w:afterAutospacing="1"/>
      <w:ind/>
      <w:jc w:val="center"/>
    </w:pPr>
  </w:style>
  <w:style w:type="character" w:styleId="708" w:customStyle="1">
    <w:name w:val="text-33-c"/>
    <w:pPr>
      <w:pBdr/>
      <w:spacing/>
      <w:ind/>
    </w:pPr>
    <w:rPr>
      <w:rFonts w:ascii="Arial" w:hAnsi="Arial" w:eastAsia="Arial" w:cs="Arial"/>
      <w:b/>
      <w:bCs/>
      <w:color w:val="000000"/>
    </w:rPr>
  </w:style>
  <w:style w:type="paragraph" w:styleId="709" w:customStyle="1">
    <w:name w:val="text-35"/>
    <w:qFormat/>
    <w:pPr>
      <w:pBdr/>
      <w:spacing w:after="300" w:afterAutospacing="1"/>
      <w:ind/>
      <w:jc w:val="center"/>
    </w:pPr>
  </w:style>
  <w:style w:type="character" w:styleId="710" w:customStyle="1">
    <w:name w:val="text-35-c"/>
    <w:pPr>
      <w:pBdr/>
      <w:spacing/>
      <w:ind/>
    </w:pPr>
    <w:rPr>
      <w:rFonts w:ascii="Arial" w:hAnsi="Arial" w:eastAsia="Arial" w:cs="Arial"/>
      <w:b/>
      <w:bCs/>
      <w:color w:val="000000"/>
    </w:rPr>
  </w:style>
  <w:style w:type="paragraph" w:styleId="711" w:customStyle="1">
    <w:name w:val="text-38"/>
    <w:qFormat/>
    <w:pPr>
      <w:pBdr/>
      <w:spacing w:after="300" w:afterAutospacing="1"/>
      <w:ind/>
      <w:jc w:val="center"/>
    </w:pPr>
  </w:style>
  <w:style w:type="character" w:styleId="712" w:customStyle="1">
    <w:name w:val="text-38-c"/>
    <w:pPr>
      <w:pBdr/>
      <w:spacing/>
      <w:ind/>
    </w:pPr>
    <w:rPr>
      <w:rFonts w:ascii="Arial" w:hAnsi="Arial" w:eastAsia="Arial" w:cs="Arial"/>
      <w:b/>
      <w:bCs/>
      <w:color w:val="000000"/>
    </w:rPr>
  </w:style>
  <w:style w:type="paragraph" w:styleId="713" w:customStyle="1">
    <w:name w:val="text-42"/>
    <w:qFormat/>
    <w:pPr>
      <w:pBdr/>
      <w:spacing w:after="300" w:afterAutospacing="1" w:line="1" w:lineRule="atLeast"/>
      <w:ind/>
      <w:jc w:val="center"/>
    </w:pPr>
  </w:style>
  <w:style w:type="character" w:styleId="714" w:customStyle="1">
    <w:name w:val="text-42-c"/>
    <w:pPr>
      <w:pBdr/>
      <w:spacing/>
      <w:ind/>
    </w:pPr>
    <w:rPr>
      <w:rFonts w:ascii="Arial" w:hAnsi="Arial" w:eastAsia="Arial" w:cs="Arial"/>
      <w:color w:val="000000"/>
    </w:rPr>
  </w:style>
  <w:style w:type="paragraph" w:styleId="715" w:customStyle="1">
    <w:name w:val="text-44"/>
    <w:qFormat/>
    <w:pPr>
      <w:pBdr/>
      <w:spacing w:after="300" w:afterAutospacing="1" w:line="1" w:lineRule="atLeast"/>
      <w:ind/>
      <w:jc w:val="left"/>
    </w:pPr>
  </w:style>
  <w:style w:type="character" w:styleId="716" w:customStyle="1">
    <w:name w:val="text-44-c"/>
    <w:pPr>
      <w:pBdr/>
      <w:spacing/>
      <w:ind/>
    </w:pPr>
    <w:rPr>
      <w:rFonts w:ascii="Arial" w:hAnsi="Arial" w:eastAsia="Arial" w:cs="Arial"/>
      <w:color w:val="000000"/>
    </w:rPr>
  </w:style>
  <w:style w:type="paragraph" w:styleId="717" w:customStyle="1">
    <w:name w:val="text-47"/>
    <w:qFormat/>
    <w:pPr>
      <w:pBdr/>
      <w:spacing w:after="300" w:afterAutospacing="1" w:line="1" w:lineRule="atLeast"/>
      <w:ind/>
      <w:jc w:val="right"/>
    </w:pPr>
  </w:style>
  <w:style w:type="character" w:styleId="718" w:customStyle="1">
    <w:name w:val="text-47-c"/>
    <w:pPr>
      <w:pBdr/>
      <w:spacing/>
      <w:ind/>
    </w:pPr>
    <w:rPr>
      <w:rFonts w:ascii="Arial" w:hAnsi="Arial" w:eastAsia="Arial" w:cs="Arial"/>
      <w:color w:val="000000"/>
    </w:rPr>
  </w:style>
  <w:style w:type="character" w:styleId="719" w:customStyle="1">
    <w:name w:val="text-55-c"/>
    <w:pPr>
      <w:pBdr/>
      <w:spacing/>
      <w:ind/>
    </w:pPr>
    <w:rPr>
      <w:rFonts w:ascii="Arial" w:hAnsi="Arial" w:eastAsia="Arial" w:cs="Arial"/>
      <w:i/>
      <w:iCs/>
      <w:color w:val="000000"/>
    </w:rPr>
  </w:style>
  <w:style w:type="paragraph" w:styleId="720" w:customStyle="1">
    <w:name w:val="text-70"/>
    <w:qFormat/>
    <w:pPr>
      <w:pBdr/>
      <w:spacing w:after="300" w:afterAutospacing="1" w:line="1" w:lineRule="atLeast"/>
      <w:ind/>
    </w:pPr>
  </w:style>
  <w:style w:type="character" w:styleId="721" w:customStyle="1">
    <w:name w:val="text-70-c"/>
    <w:pPr>
      <w:pBdr/>
      <w:spacing/>
      <w:ind/>
    </w:pPr>
    <w:rPr>
      <w:rFonts w:ascii="Arial" w:hAnsi="Arial" w:eastAsia="Arial" w:cs="Arial"/>
      <w:b/>
      <w:bCs/>
      <w:color w:val="000000"/>
    </w:rPr>
  </w:style>
  <w:style w:type="paragraph" w:styleId="722" w:customStyle="1">
    <w:name w:val="text-126"/>
    <w:qFormat/>
    <w:pPr>
      <w:pBdr/>
      <w:spacing w:after="100" w:afterAutospacing="1" w:before="100" w:beforeAutospacing="1"/>
      <w:ind/>
    </w:pPr>
  </w:style>
  <w:style w:type="character" w:styleId="723" w:customStyle="1">
    <w:name w:val="text-126-c"/>
    <w:pPr>
      <w:pBdr/>
      <w:spacing/>
      <w:ind/>
    </w:pPr>
    <w:rPr>
      <w:rFonts w:ascii="Arial" w:hAnsi="Arial" w:eastAsia="Arial" w:cs="Arial"/>
      <w:b/>
      <w:bCs/>
      <w:color w:val="000000"/>
    </w:rPr>
  </w:style>
  <w:style w:type="character" w:styleId="724" w:customStyle="1">
    <w:name w:val="text-127-c"/>
    <w:pPr>
      <w:pBdr/>
      <w:spacing/>
      <w:ind/>
    </w:pPr>
    <w:rPr>
      <w:rFonts w:ascii="Arial" w:hAnsi="Arial" w:eastAsia="Arial" w:cs="Arial"/>
      <w:color w:val="000000"/>
    </w:rPr>
  </w:style>
  <w:style w:type="paragraph" w:styleId="725" w:customStyle="1">
    <w:name w:val="text-165"/>
    <w:qFormat/>
    <w:pPr>
      <w:pBdr/>
      <w:spacing w:after="150" w:afterAutospacing="1"/>
      <w:ind/>
    </w:pPr>
  </w:style>
  <w:style w:type="character" w:styleId="726" w:customStyle="1">
    <w:name w:val="text-165-c"/>
    <w:pPr>
      <w:pBdr/>
      <w:spacing/>
      <w:ind/>
    </w:pPr>
    <w:rPr>
      <w:rFonts w:ascii="Arial" w:hAnsi="Arial" w:eastAsia="Arial" w:cs="Arial"/>
      <w:b/>
      <w:bCs/>
      <w:color w:val="000000"/>
    </w:rPr>
  </w:style>
  <w:style w:type="character" w:styleId="727" w:customStyle="1">
    <w:name w:val="text-166-c"/>
    <w:pPr>
      <w:pBdr/>
      <w:spacing/>
      <w:ind/>
    </w:pPr>
    <w:rPr>
      <w:rFonts w:ascii="Arial" w:hAnsi="Arial" w:eastAsia="Arial" w:cs="Arial"/>
      <w:color w:val="000000"/>
    </w:rPr>
  </w:style>
  <w:style w:type="character" w:styleId="728" w:customStyle="1">
    <w:name w:val="text-170-c"/>
    <w:pPr>
      <w:pBdr/>
      <w:spacing/>
      <w:ind/>
    </w:pPr>
    <w:rPr>
      <w:rFonts w:ascii="Arial" w:hAnsi="Arial" w:eastAsia="Arial" w:cs="Arial"/>
      <w:i/>
      <w:iCs/>
      <w:color w:val="000000"/>
    </w:rPr>
  </w:style>
  <w:style w:type="paragraph" w:styleId="729" w:customStyle="1">
    <w:name w:val="text-223"/>
    <w:qFormat/>
    <w:pPr>
      <w:pBdr/>
      <w:spacing w:after="150" w:afterAutospacing="1"/>
      <w:ind/>
    </w:pPr>
  </w:style>
  <w:style w:type="paragraph" w:styleId="730">
    <w:name w:val="List Paragraph"/>
    <w:basedOn w:val="688"/>
    <w:uiPriority w:val="34"/>
    <w:pPr>
      <w:pBdr/>
      <w:spacing/>
      <w:ind w:left="720"/>
      <w:contextualSpacing w:val="true"/>
    </w:pPr>
  </w:style>
  <w:style w:type="paragraph" w:styleId="731" w:customStyle="1">
    <w:name w:val="text-229"/>
    <w:basedOn w:val="730"/>
    <w:qFormat/>
    <w:pPr>
      <w:pBdr/>
      <w:spacing w:after="150" w:afterAutospacing="1"/>
      <w:ind/>
    </w:pPr>
  </w:style>
  <w:style w:type="character" w:styleId="732" w:customStyle="1">
    <w:name w:val="text-304-c"/>
    <w:pPr>
      <w:pBdr/>
      <w:spacing/>
      <w:ind/>
    </w:pPr>
    <w:rPr>
      <w:rFonts w:ascii="Arial" w:hAnsi="Arial" w:eastAsia="Arial" w:cs="Arial"/>
      <w:b/>
      <w:bCs/>
      <w:i/>
      <w:iCs/>
      <w:color w:val="000000"/>
    </w:rPr>
  </w:style>
  <w:style w:type="character" w:styleId="733" w:customStyle="1">
    <w:name w:val="text-372-c"/>
    <w:pPr>
      <w:pBdr/>
      <w:spacing/>
      <w:ind/>
    </w:pPr>
    <w:rPr>
      <w:rFonts w:ascii="Arial" w:hAnsi="Arial" w:eastAsia="Arial" w:cs="Arial"/>
      <w:i/>
      <w:iCs/>
      <w:color w:val="000000"/>
    </w:rPr>
  </w:style>
  <w:style w:type="character" w:styleId="734" w:customStyle="1">
    <w:name w:val="text-385-c"/>
    <w:pPr>
      <w:pBdr/>
      <w:spacing/>
      <w:ind/>
    </w:pPr>
    <w:rPr>
      <w:rFonts w:ascii="Arial" w:hAnsi="Arial" w:eastAsia="Arial" w:cs="Arial"/>
      <w:b/>
      <w:bCs/>
      <w:i/>
      <w:iCs/>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2026-10-25T18:51:46Z</dcterms:modified>
</cp:coreProperties>
</file>