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76" w:name="Xd788342b5f2e253e2c1403dcc7f57bb73bb0596"/>
    <w:p>
      <w:r>
        <w:t>EDITORIAL STATUS: Detailed author-review draft. Source-backed numerical tables are checked against supplied CSV exports; some implementation details, references, and provenance still require author verification.</w:t>
      </w:r>
    </w:p>
    <w:p>
      <w:pPr>
        <w:pStyle w:val="Heading1"/>
      </w:pPr>
      <w:r>
        <w:t xml:space="preserve">A Parameter-Matched Study of Variational Quantum Bottleneck Conditioning for Lightweight Single-Channel Speech Enhancement</w:t>
      </w:r>
    </w:p>
    <w:p>
      <w:pPr>
        <w:pStyle w:val="FirstParagraph"/>
      </w:pPr>
      <w:r>
        <w:rPr>
          <w:b/>
          <w:bCs/>
        </w:rPr>
        <w:t xml:space="preserve">Bhavin Makwana</w:t>
      </w:r>
      <w:r>
        <w:br/>
      </w:r>
      <w:r>
        <w:t xml:space="preserve">Dhirubhai Ambani University, Gandhinagar, Gujarat, India</w:t>
      </w:r>
      <w:r>
        <w:br/>
      </w:r>
      <w:r>
        <w:t xml:space="preserve">Corresponding author:</w:t>
      </w:r>
      <w:r>
        <w:t xml:space="preserve"> </w:t>
      </w:r>
      <w:r>
        <w:rPr>
          <w:i/>
          <w:iCs/>
        </w:rPr>
        <w:t xml:space="preserve">[email to be added before submission]</w:t>
      </w:r>
    </w:p>
    <w:bookmarkStart w:id="20" w:name="abstract"/>
    <w:p>
      <w:pPr>
        <w:pStyle w:val="Heading2"/>
      </w:pPr>
      <w:r>
        <w:t xml:space="preserve">Abstract</w:t>
      </w:r>
    </w:p>
    <w:p>
      <w:pPr>
        <w:pStyle w:val="FirstParagraph"/>
      </w:pPr>
      <w:r>
        <w:t xml:space="preserve">Hybrid quantum-classical models are increasingly investigated for learning from high-dimensional signals, but reported improvements are often difficult to attribute specifically to the quantum component because the quantum and classical alternatives differ in parameter count, architecture, or training protocol. This work studies a narrower and more controlled question for single-channel speech enhancement:</w:t>
      </w:r>
      <w:r>
        <w:t xml:space="preserve"> </w:t>
      </w:r>
      <w:r>
        <w:rPr>
          <w:b/>
          <w:bCs/>
        </w:rPr>
        <w:t xml:space="preserve">does a compact variational quantum circuit (VQC) provide a measurable benefit when it replaces a classical nonlinear core with exactly the same number of trainable parameters inside an otherwise identical enhancement network?</w:t>
      </w:r>
      <w:r>
        <w:t xml:space="preserve"> </w:t>
      </w:r>
      <w:r>
        <w:t xml:space="preserve">We introduce a lightweight phase-aware U-Net in which global encoder/bottleneck statistics are projected to six bounded angles and used to condition the bottleneck through either a six-qubit, depth-four VQC or a parameter-matched multilayer perceptron (MLP). Both conditioning variants contain 8,795 conditioner parameters in total, including an exactly matched 72-parameter nonlinear core, and both complete models contain 529,823 trainable parameters. The VQC uses data re-uploading, trainable Euler rotations, ring entanglement, and twelve expectation values, while requiring a single circuit evaluation per speech segment.</w:t>
      </w:r>
    </w:p>
    <w:p>
      <w:pPr>
        <w:pStyle w:val="BodyText"/>
      </w:pPr>
      <w:r>
        <w:t xml:space="preserve">Evaluation is performed on a fixed 16-kHz corpus constructed from VCTK speech and ESC-50 environmental noise with 15,000/2,000/2,000 train/validation/test mixtures spanning -5 to 20 dB SNR. Architecture and learning-rate selection use validation data only; the configuration is frozen before a three-seed locked-test evaluation. The quantum-conditioned model attains 15.8649 dB SI-SDR, 2.1133 PESQ, and 0.74320 ESTOI, compared with 15.8237 dB, 2.0969, and 0.74276 for the matched classical conditioner. The paired QNN-minus-MLP gains are +0.0411 dB SI-SDR, +0.01640 PESQ, and +0.000434 ESTOI. The PESQ and ESTOI gains are significant after Holm correction, whereas the overall SI-SDR Wilcoxon test is not. In the pooled low-SNR regime (-5, 0, and 5 dB), all three metrics significantly favor the VQC. Simulated finite-shot, readout-attenuation, and approximate depolarizing stress tests produce only small changes, while statevector inference remains slower than the classical conditioner. These results do not establish computational quantum advantage; rather, they provide controlled evidence that a compact VQC can induce a small but reproducible improvement over an exactly parameter-matched classical transformation in a difficult speech-enhancement regime.</w:t>
      </w:r>
    </w:p>
    <w:p>
      <w:pPr>
        <w:pStyle w:val="BodyText"/>
      </w:pPr>
      <w:r>
        <w:rPr>
          <w:b/>
          <w:bCs/>
        </w:rPr>
        <w:t xml:space="preserve">Keywords:</w:t>
      </w:r>
      <w:r>
        <w:t xml:space="preserve"> </w:t>
      </w:r>
      <w:r>
        <w:t xml:space="preserve">quantum machine learning; variational quantum circuit; speech enhancement; hybrid quantum-classical learning; phase-aware enhancement; parameter-matched ablation; low-SNR speech.</w:t>
      </w:r>
    </w:p>
    <w:bookmarkEnd w:id="20"/>
    <w:bookmarkStart w:id="24" w:name="introduction"/>
    <w:p>
      <w:pPr>
        <w:pStyle w:val="Heading2"/>
      </w:pPr>
      <w:r>
        <w:t xml:space="preserve">1. Introduction</w:t>
      </w:r>
    </w:p>
    <w:p>
      <w:pPr>
        <w:pStyle w:val="FirstParagraph"/>
      </w:pPr>
      <w:r>
        <w:t xml:space="preserve">Single-channel speech enhancement seeks to recover intelligible and perceptually natural speech from a mixture recorded by one microphone. The task is challenging because additive noise overlaps speech in both time and frequency, and because perceptual quality depends not only on spectral magnitude but also on phase consistency and temporal structure. Modern deep-learning approaches therefore increasingly estimate complex-valued or phase-aware targets rather than reusing the noisy phase unchanged. Deep Complex U-Net, PHASEN, DCCRN, FullSubNet, and metric-oriented approaches such as MetricGAN+ illustrate different ways to model phase, local/global spectral context, temporal dependencies, and perceptual objectives [1]-[5].</w:t>
      </w:r>
    </w:p>
    <w:p>
      <w:pPr>
        <w:pStyle w:val="BodyText"/>
      </w:pPr>
      <w:r>
        <w:t xml:space="preserve">At the same time, variational quantum algorithms have emerged as the dominant paradigm for learning with present-day quantum devices [6]-[9]. A parameterized quantum circuit maps classical variables to a quantum state, transforms the state through trainable rotations and entangling gates, and returns expectation values to a classical optimizer. For machine learning, the appeal of these models is not that a small noisy circuit automatically provides a speedup, but that the circuit defines a structured nonlinear hypothesis class whose behavior can differ from an equally small classical module. Data re-uploading, in particular, repeatedly encodes the same input at successive variational layers and can substantially enrich the input-output function of a low-qubit circuit [8].</w:t>
      </w:r>
    </w:p>
    <w:p>
      <w:pPr>
        <w:pStyle w:val="BodyText"/>
      </w:pPr>
      <w:r>
        <w:t xml:space="preserve">Speech and audio have recently become test beds for hybrid quantum-classical learning. QSpeech developed low-qubit VQCs and reusable quantum layers for speech applications [10]; quantum convolutional feature extraction has been explored for automatic speech recognition [11]; hybrid quantum models have also been reported for environmental sound classification and speech emotion recognition [12]-[14]. Most directly relevant to the present work, Yan</w:t>
      </w:r>
      <w:r>
        <w:t xml:space="preserve"> </w:t>
      </w:r>
      <w:r>
        <w:rPr>
          <w:i/>
          <w:iCs/>
        </w:rPr>
        <w:t xml:space="preserve">et al.</w:t>
      </w:r>
      <w:r>
        <w:t xml:space="preserve"> </w:t>
      </w:r>
      <w:r>
        <w:t xml:space="preserve">proposed HQCSE, a two-stage hybrid quantum-classical framework for single-channel speech enhancement [15]. HQCSE showed that low-qubit quantum processing can be integrated with recurrent speech models and reported competitive results with 4.82 million parameters. Its ablation replaces the quantum layer with a</w:t>
      </w:r>
      <w:r>
        <w:t xml:space="preserve"> </w:t>
      </w:r>
      <w:r>
        <w:rPr>
          <w:b/>
          <w:bCs/>
        </w:rPr>
        <w:t xml:space="preserve">slightly larger</w:t>
      </w:r>
      <w:r>
        <w:t xml:space="preserve"> </w:t>
      </w:r>
      <w:r>
        <w:t xml:space="preserve">MLP, obtaining lower PESQ and ESTOI than the QNN configuration [15]. That experiment is useful evidence, but it leaves an important causal question open: if the classical and quantum nonlinear cores are forced to have exactly the same number of trainable parameters, the same input/output dimensionality, the same backbone initialization, and the same optimization protocol, does the VQC still provide a measurable benefit?</w:t>
      </w:r>
    </w:p>
    <w:p>
      <w:pPr>
        <w:pStyle w:val="BodyText"/>
      </w:pPr>
      <w:r>
        <w:t xml:space="preserve">This paper addresses that question with a deliberately controlled design. The proposed model is not intended as a claim of universal quantum superiority or state-of-the-art classical speech enhancement. Instead, the contribution is an</w:t>
      </w:r>
      <w:r>
        <w:t xml:space="preserve"> </w:t>
      </w:r>
      <w:r>
        <w:rPr>
          <w:b/>
          <w:bCs/>
        </w:rPr>
        <w:t xml:space="preserve">identification experiment</w:t>
      </w:r>
      <w:r>
        <w:t xml:space="preserve"> </w:t>
      </w:r>
      <w:r>
        <w:t xml:space="preserve">embedded in a practical phase-aware enhancement network. The speech backbone is shared, and the only scientifically relevant change between the two conditioned arms is a 72-parameter nonlinear transformation: either a depth-four six-qubit VQC or a 72-weight MLP. Both arms use the same six-dimensional input, twelve-dimensional output interface, projection layers, conditioning mechanism, total parameter count, training data, and test utterances. A third baseline removes the global conditioner entirely.</w:t>
      </w:r>
    </w:p>
    <w:p>
      <w:pPr>
        <w:pStyle w:val="BodyText"/>
      </w:pPr>
      <w:r>
        <w:t xml:space="preserve">The main contributions are as follows:</w:t>
      </w:r>
    </w:p>
    <w:p>
      <w:pPr>
        <w:pStyle w:val="Compact"/>
        <w:numPr>
          <w:ilvl w:val="0"/>
          <w:numId w:val="1001"/>
        </w:numPr>
      </w:pPr>
      <w:r>
        <w:t xml:space="preserve">We formulate a lightweight phase-aware U-Net with a</w:t>
      </w:r>
      <w:r>
        <w:t xml:space="preserve"> </w:t>
      </w:r>
      <w:r>
        <w:rPr>
          <w:b/>
          <w:bCs/>
        </w:rPr>
        <w:t xml:space="preserve">single global bottleneck-conditioning call per segment</w:t>
      </w:r>
      <w:r>
        <w:t xml:space="preserve">, compressing multi-scale encoder statistics to six variables before quantum processing. This avoids applying a simulated quantum circuit independently at every time-frequency location.</w:t>
      </w:r>
    </w:p>
    <w:p>
      <w:pPr>
        <w:pStyle w:val="Compact"/>
        <w:numPr>
          <w:ilvl w:val="0"/>
          <w:numId w:val="1001"/>
        </w:numPr>
      </w:pPr>
      <w:r>
        <w:t xml:space="preserve">We construct an</w:t>
      </w:r>
      <w:r>
        <w:t xml:space="preserve"> </w:t>
      </w:r>
      <w:r>
        <w:rPr>
          <w:b/>
          <w:bCs/>
        </w:rPr>
        <w:t xml:space="preserve">exact 72-parameter quantum-versus-classical core match</w:t>
      </w:r>
      <w:r>
        <w:t xml:space="preserve">. The complete classical-conditioned and quantum-conditioned networks each contain 529,823 parameters, including identical 8,795-parameter conditioner shells.</w:t>
      </w:r>
    </w:p>
    <w:p>
      <w:pPr>
        <w:pStyle w:val="Compact"/>
        <w:numPr>
          <w:ilvl w:val="0"/>
          <w:numId w:val="1001"/>
        </w:numPr>
      </w:pPr>
      <w:r>
        <w:t xml:space="preserve">We use a validation-only selection protocol, a frozen configuration, three confirmation seeds, a locked test set, utterance-paired bootstrap confidence intervals, Wilcoxon signed-rank tests, and Holm correction to distinguish a consistent incremental effect from seed or sample noise.</w:t>
      </w:r>
    </w:p>
    <w:p>
      <w:pPr>
        <w:pStyle w:val="Compact"/>
        <w:numPr>
          <w:ilvl w:val="0"/>
          <w:numId w:val="1001"/>
        </w:numPr>
      </w:pPr>
      <w:r>
        <w:t xml:space="preserve">We analyze performance by SNR and find that the quantum-classical separation is most defensible in the pooled low-SNR regime, where SI-SDR, PESQ, and ESTOI all significantly favor the VQC. We also report finite-shot/noise stress tests and latency rather than presenting accuracy without computational context.</w:t>
      </w:r>
    </w:p>
    <w:p>
      <w:pPr>
        <w:pStyle w:val="FirstParagraph"/>
      </w:pPr>
      <w:r>
        <w:t xml:space="preserve">The experiments therefore test a restricted but important hypothesis:</w:t>
      </w:r>
      <w:r>
        <w:t xml:space="preserve"> </w:t>
      </w:r>
      <w:r>
        <w:rPr>
          <w:b/>
          <w:bCs/>
        </w:rPr>
        <w:t xml:space="preserve">under a fixed speech-enhancement architecture and exact parameter matching, a VQC can produce a different and sometimes more useful nonlinear conditioning map than a small classical MLP.</w:t>
      </w:r>
    </w:p>
    <w:p xmlns:a="http://schemas.openxmlformats.org/drawingml/2006/main" xmlns:pic="http://schemas.openxmlformats.org/drawingml/2006/picture">
      <w:pPr>
        <w:pStyle w:val="CaptionedFigure"/>
      </w:pPr>
      <w:r>
        <w:drawing>
          <wp:inline>
            <wp:extent cx="6020435" cy="2918998"/>
            <wp:effectExtent b="0" l="0" r="0" t="0"/>
            <wp:docPr descr="Overall architecture. The baseline omits the lower conditioning branch; the classical and quantum variants use the same conditioner shell and differ only in the 72-parameter core." title="" id="22" name="Picture"/>
            <a:graphic>
              <a:graphicData uri="http://schemas.openxmlformats.org/drawingml/2006/picture">
                <pic:pic>
                  <pic:nvPicPr>
                    <pic:cNvPr descr="qunet_paper_assets/fig1_architecture.png" id="23" name="Picture"/>
                    <pic:cNvPicPr>
                      <a:picLocks noChangeArrowheads="1" noChangeAspect="1"/>
                    </pic:cNvPicPr>
                  </pic:nvPicPr>
                  <pic:blipFill>
                    <a:blip r:embed="rId21"/>
                    <a:stretch>
                      <a:fillRect/>
                    </a:stretch>
                  </pic:blipFill>
                  <pic:spPr bwMode="auto">
                    <a:xfrm>
                      <a:off x="0" y="0"/>
                      <a:ext cx="6020435" cy="2918998"/>
                    </a:xfrm>
                    <a:prstGeom prst="rect">
                      <a:avLst/>
                    </a:prstGeom>
                    <a:noFill/>
                    <a:ln w="9525">
                      <a:noFill/>
                      <a:headEnd/>
                      <a:tailEnd/>
                    </a:ln>
                  </pic:spPr>
                </pic:pic>
              </a:graphicData>
            </a:graphic>
          </wp:inline>
        </w:drawing>
      </w:r>
    </w:p>
    <w:p>
      <w:pPr>
        <w:pStyle w:val="ImageCaption"/>
      </w:pPr>
      <w:r>
        <w:t xml:space="preserve">Overall architecture. The baseline omits the lower conditioning branch; the classical and quantum variants use the same conditioner shell and differ only in the 72-parameter core.</w:t>
      </w:r>
    </w:p>
    <w:bookmarkEnd w:id="24"/>
    <w:bookmarkStart w:id="28" w:name="related-work"/>
    <w:p>
      <w:pPr>
        <w:pStyle w:val="Heading2"/>
      </w:pPr>
      <w:r>
        <w:t xml:space="preserve">2. Related Work</w:t>
      </w:r>
    </w:p>
    <w:bookmarkStart w:id="25" w:name="deep-phase-aware-speech-enhancement"/>
    <w:p>
      <w:pPr>
        <w:pStyle w:val="Heading3"/>
      </w:pPr>
      <w:r>
        <w:t xml:space="preserve">2.1 Deep phase-aware speech enhancement</w:t>
      </w:r>
    </w:p>
    <w:p>
      <w:pPr>
        <w:pStyle w:val="FirstParagraph"/>
      </w:pPr>
      <w:r>
        <w:t xml:space="preserve">Early neural enhancement systems frequently predicted magnitude-domain masks while reusing the noisy phase. Subsequent work established that explicit phase or complex-spectrum modeling can substantially improve reconstruction. Choi</w:t>
      </w:r>
      <w:r>
        <w:t xml:space="preserve"> </w:t>
      </w:r>
      <w:r>
        <w:rPr>
          <w:i/>
          <w:iCs/>
        </w:rPr>
        <w:t xml:space="preserve">et al.</w:t>
      </w:r>
      <w:r>
        <w:t xml:space="preserve"> </w:t>
      </w:r>
      <w:r>
        <w:t xml:space="preserve">introduced Deep Complex U-Net and complex-valued masking for phase-aware enhancement [1]. PHASEN separated amplitude and phase processing while allowing information exchange between the streams and explicitly modeled harmonic structure [2]. DCCRN incorporated complex operations in convolutional and recurrent components and demonstrated that complex-valued processing is effective for real-time enhancement [3]. FullSubNet combined global full-band and local sub-band modeling to exploit complementary spectral contexts [4]. MetricGAN+ instead optimized a learned approximation to perceptual metrics, highlighting the mismatch that can arise between simple spectral losses and human-perceived quality [5].</w:t>
      </w:r>
    </w:p>
    <w:p>
      <w:pPr>
        <w:pStyle w:val="BodyText"/>
      </w:pPr>
      <w:r>
        <w:t xml:space="preserve">The present model follows this phase-aware direction but is intentionally lightweight. It reconstructs enhanced speech from a learned magnitude mask, a bounded phase residual, and bounded complex residual terms. The purpose of the architecture is not to compete with the largest contemporary enhancement systems; it is to provide a controlled host network in which a compact quantum conditioner can be compared fairly with a compact classical conditioner.</w:t>
      </w:r>
    </w:p>
    <w:bookmarkEnd w:id="25"/>
    <w:bookmarkStart w:id="26" w:name="Xf7c70fb7646edc641d0b7fc9062ec33bec5f366"/>
    <w:p>
      <w:pPr>
        <w:pStyle w:val="Heading3"/>
      </w:pPr>
      <w:r>
        <w:t xml:space="preserve">2.2 Variational quantum circuits as learning modules</w:t>
      </w:r>
    </w:p>
    <w:p>
      <w:pPr>
        <w:pStyle w:val="FirstParagraph"/>
      </w:pPr>
      <w:r>
        <w:t xml:space="preserve">Parameterized quantum circuits (PQCs) are hybrid models in which a classical optimizer updates gate parameters according to measurements produced by a quantum circuit [6], [7]. Circuit design matters because representational capacity, trainability, entangling topology, and depth interact strongly [9], [16]. Deep or unstructured circuits can also suffer from barren-plateau phenomena, motivating compact ansatzes with task-specific structure [17].</w:t>
      </w:r>
    </w:p>
    <w:p>
      <w:pPr>
        <w:pStyle w:val="BodyText"/>
      </w:pPr>
      <w:r>
        <w:t xml:space="preserve">Data re-uploading provides a particularly relevant mechanism for low-dimensional inputs. Pérez-Salinas</w:t>
      </w:r>
      <w:r>
        <w:t xml:space="preserve"> </w:t>
      </w:r>
      <w:r>
        <w:rPr>
          <w:i/>
          <w:iCs/>
        </w:rPr>
        <w:t xml:space="preserve">et al.</w:t>
      </w:r>
      <w:r>
        <w:t xml:space="preserve"> </w:t>
      </w:r>
      <w:r>
        <w:t xml:space="preserve">showed that repeatedly encoding classical data between trainable operations substantially enriches the functions realizable by small circuits [8]. In the present work, the six-dimensional conditioning vector is re-encoded at all four quantum layers. This design keeps the circuit at six qubits while allowing the learned output to depend on repeated nonlinear interactions between the global speech statistics and trainable circuit parameters.</w:t>
      </w:r>
    </w:p>
    <w:p>
      <w:pPr>
        <w:pStyle w:val="BodyText"/>
      </w:pPr>
      <w:r>
        <w:t xml:space="preserve">Importantly, expressivity alone does not imply practical quantum advantage. Current VQCs are often evaluated in simulation and can be slower than compact classical networks. We therefore use the VQC as a</w:t>
      </w:r>
      <w:r>
        <w:t xml:space="preserve"> </w:t>
      </w:r>
      <w:r>
        <w:rPr>
          <w:b/>
          <w:bCs/>
        </w:rPr>
        <w:t xml:space="preserve">controlled nonlinear representation module</w:t>
      </w:r>
      <w:r>
        <w:t xml:space="preserve">, not as a claim of asymptotic or wall-clock quantum speedup.</w:t>
      </w:r>
    </w:p>
    <w:bookmarkEnd w:id="26"/>
    <w:bookmarkStart w:id="27" w:name="Xc4a3f8720a2785a8ec304d0988c6bf8b8578178"/>
    <w:p>
      <w:pPr>
        <w:pStyle w:val="Heading3"/>
      </w:pPr>
      <w:r>
        <w:t xml:space="preserve">2.3 Quantum machine learning for speech and audio</w:t>
      </w:r>
    </w:p>
    <w:p>
      <w:pPr>
        <w:pStyle w:val="FirstParagraph"/>
      </w:pPr>
      <w:r>
        <w:t xml:space="preserve">QSpeech introduced low-qubit VQC constructions and a toolkit containing quantum recurrent, convolutional, and attention-style layers for speech-command recognition and text-to-speech [10]. Yang</w:t>
      </w:r>
      <w:r>
        <w:t xml:space="preserve"> </w:t>
      </w:r>
      <w:r>
        <w:rPr>
          <w:i/>
          <w:iCs/>
        </w:rPr>
        <w:t xml:space="preserve">et al.</w:t>
      </w:r>
      <w:r>
        <w:t xml:space="preserve"> </w:t>
      </w:r>
      <w:r>
        <w:t xml:space="preserve">explored quantum convolutional feature extraction for automatic speech recognition [11]. Hybrid quantum-classical architectures have subsequently been studied for environmental sound classification [12] and speech-emotion representation learning [13], [14]. These works collectively indicate growing interest in inserting small quantum modules into larger classical acoustic pipelines, while also underscoring the need for careful classical controls.</w:t>
      </w:r>
    </w:p>
    <w:p>
      <w:pPr>
        <w:pStyle w:val="BodyText"/>
      </w:pPr>
      <w:r>
        <w:t xml:space="preserve">For enhancement specifically, HQCSE is the closest published reference [15]. It combines QNN preprocessing with an LSTM-based post-processing stage, proposes a learnable quantum embedding and dual-optimizer training, and evaluates on TIMIT-derived mixtures and VoiceBank+DEMAND. HQCSE reports 4.82 M parameters and includes an MLP ablation. The authors explicitly describe the replacement MLP as slightly larger than the quantum layer; consequently, the comparison does not isolate the quantum transformation under exact parameter equality. Our study complements rather than supersedes HQCSE: it sacrifices broad architectural differences in favor of a stricter causal control. Because the datasets and evaluation protocols differ,</w:t>
      </w:r>
      <w:r>
        <w:t xml:space="preserve"> </w:t>
      </w:r>
      <w:r>
        <w:rPr>
          <w:b/>
          <w:bCs/>
        </w:rPr>
        <w:t xml:space="preserve">we do not compare the absolute enhancement scores of the two papers as a performance leaderboard</w:t>
      </w:r>
      <w:r>
        <w:t xml:space="preserve">. At the parameter-count level only, our 0.530 M-parameter conditioned model is approximately 9.1 times smaller (about 89% fewer parameters) than the 4.82 M-parameter HQCSE model reported in [15].</w:t>
      </w:r>
    </w:p>
    <w:bookmarkEnd w:id="27"/>
    <w:bookmarkEnd w:id="28"/>
    <w:bookmarkStart w:id="29" w:name="problem-formulation"/>
    <w:p>
      <w:pPr>
        <w:pStyle w:val="Heading2"/>
      </w:pPr>
      <w:r>
        <w:t xml:space="preserve">3. Problem Formulation</w:t>
      </w:r>
    </w:p>
    <w:p>
      <w:pPr>
        <w:pStyle w:val="FirstParagraph"/>
      </w:pPr>
      <w:r>
        <w:t xml:space="preserve">Let the observed noisy waveform be</w:t>
      </w:r>
    </w:p>
    <w:p>
      <w:pPr>
        <w:pStyle w:val="BodyText"/>
      </w:pPr>
      <m:oMathPara>
        <m:oMathParaPr>
          <m:jc m:val="center"/>
        </m:oMathParaPr>
        <m:oMath>
          <m:r>
            <m:t>x</m:t>
          </m:r>
          <m:d>
            <m:dPr>
              <m:begChr m:val="["/>
              <m:endChr m:val="]"/>
              <m:sepChr m:val=""/>
              <m:grow/>
            </m:dPr>
            <m:e>
              <m:r>
                <m:t>t</m:t>
              </m:r>
            </m:e>
          </m:d>
          <m:r>
            <m:rPr>
              <m:sty m:val="p"/>
            </m:rPr>
            <m:t>=</m:t>
          </m:r>
          <m:r>
            <m:t>s</m:t>
          </m:r>
          <m:d>
            <m:dPr>
              <m:begChr m:val="["/>
              <m:endChr m:val="]"/>
              <m:sepChr m:val=""/>
              <m:grow/>
            </m:dPr>
            <m:e>
              <m:r>
                <m:t>t</m:t>
              </m:r>
            </m:e>
          </m:d>
          <m:r>
            <m:rPr>
              <m:sty m:val="p"/>
            </m:rPr>
            <m:t>+</m:t>
          </m:r>
          <m:r>
            <m:t>n</m:t>
          </m:r>
          <m:d>
            <m:dPr>
              <m:begChr m:val="["/>
              <m:endChr m:val="]"/>
              <m:sepChr m:val=""/>
              <m:grow/>
            </m:dPr>
            <m:e>
              <m:r>
                <m:t>t</m:t>
              </m:r>
            </m:e>
          </m:d>
          <m:r>
            <m:rPr>
              <m:sty m:val="p"/>
            </m:rPr>
            <m:t>,</m:t>
          </m:r>
        </m:oMath>
      </m:oMathPara>
    </w:p>
    <w:p>
      <w:pPr>
        <w:pStyle w:val="FirstParagraph"/>
      </w:pPr>
      <w:r>
        <w:t xml:space="preserve">where</w:t>
      </w:r>
      <w:r>
        <w:t xml:space="preserve"> </w:t>
      </w:r>
      <m:oMath>
        <m:r>
          <m:t>s</m:t>
        </m:r>
        <m:d>
          <m:dPr>
            <m:begChr m:val="["/>
            <m:endChr m:val="]"/>
            <m:sepChr m:val=""/>
            <m:grow/>
          </m:dPr>
          <m:e>
            <m:r>
              <m:t>t</m:t>
            </m:r>
          </m:e>
        </m:d>
      </m:oMath>
      <w:r>
        <w:t xml:space="preserve"> </w:t>
      </w:r>
      <w:r>
        <w:t xml:space="preserve">is clean speech and</w:t>
      </w:r>
      <w:r>
        <w:t xml:space="preserve"> </w:t>
      </w:r>
      <m:oMath>
        <m:r>
          <m:t>n</m:t>
        </m:r>
        <m:d>
          <m:dPr>
            <m:begChr m:val="["/>
            <m:endChr m:val="]"/>
            <m:sepChr m:val=""/>
            <m:grow/>
          </m:dPr>
          <m:e>
            <m:r>
              <m:t>t</m:t>
            </m:r>
          </m:e>
        </m:d>
      </m:oMath>
      <w:r>
        <w:t xml:space="preserve"> </w:t>
      </w:r>
      <w:r>
        <w:t xml:space="preserve">is additive noise. For synthetic mixtures, the noise is scaled to a desired SNR before mixing. If</w:t>
      </w:r>
      <w:r>
        <w:t xml:space="preserve"> </w:t>
      </w:r>
      <m:oMath>
        <m:sSub>
          <m:e>
            <m:r>
              <m:t>P</m:t>
            </m:r>
          </m:e>
          <m:sub>
            <m:r>
              <m:t>s</m:t>
            </m:r>
          </m:sub>
        </m:sSub>
      </m:oMath>
      <w:r>
        <w:t xml:space="preserve"> </w:t>
      </w:r>
      <w:r>
        <w:t xml:space="preserve">and</w:t>
      </w:r>
      <w:r>
        <w:t xml:space="preserve"> </w:t>
      </w:r>
      <m:oMath>
        <m:sSub>
          <m:e>
            <m:r>
              <m:t>P</m:t>
            </m:r>
          </m:e>
          <m:sub>
            <m:r>
              <m:t>n</m:t>
            </m:r>
          </m:sub>
        </m:sSub>
      </m:oMath>
      <w:r>
        <w:t xml:space="preserve"> </w:t>
      </w:r>
      <w:r>
        <w:t xml:space="preserve">denote average clean and noise powers, respectively, a target SNR</w:t>
      </w:r>
      <w:r>
        <w:t xml:space="preserve"> </w:t>
      </w:r>
      <m:oMath>
        <m:r>
          <m:t>γ</m:t>
        </m:r>
      </m:oMath>
      <w:r>
        <w:t xml:space="preserve"> </w:t>
      </w:r>
      <w:r>
        <w:t xml:space="preserve">dB is obtained by</w:t>
      </w:r>
    </w:p>
    <w:p>
      <w:pPr>
        <w:pStyle w:val="BodyText"/>
      </w:pPr>
      <m:oMathPara>
        <m:oMathParaPr>
          <m:jc m:val="center"/>
        </m:oMathParaPr>
        <m:oMath>
          <m:acc>
            <m:accPr>
              <m:chr m:val="̃"/>
            </m:accPr>
            <m:e>
              <m:r>
                <m:t>n</m:t>
              </m:r>
            </m:e>
          </m:acc>
          <m:d>
            <m:dPr>
              <m:begChr m:val="["/>
              <m:endChr m:val="]"/>
              <m:sepChr m:val=""/>
              <m:grow/>
            </m:dPr>
            <m:e>
              <m:r>
                <m:t>t</m:t>
              </m:r>
            </m:e>
          </m:d>
          <m:r>
            <m:rPr>
              <m:sty m:val="p"/>
            </m:rPr>
            <m:t>=</m:t>
          </m:r>
          <m:r>
            <m:t>n</m:t>
          </m:r>
          <m:d>
            <m:dPr>
              <m:begChr m:val="["/>
              <m:endChr m:val="]"/>
              <m:sepChr m:val=""/>
              <m:grow/>
            </m:dPr>
            <m:e>
              <m:r>
                <m:t>t</m:t>
              </m:r>
            </m:e>
          </m:d>
          <m:rad>
            <m:radPr>
              <m:degHide m:val="on"/>
            </m:radPr>
            <m:deg/>
            <m:e>
              <m:f>
                <m:fPr>
                  <m:type m:val="bar"/>
                </m:fPr>
                <m:num>
                  <m:sSub>
                    <m:e>
                      <m:r>
                        <m:t>P</m:t>
                      </m:r>
                    </m:e>
                    <m:sub>
                      <m:r>
                        <m:t>s</m:t>
                      </m:r>
                    </m:sub>
                  </m:sSub>
                </m:num>
                <m:den>
                  <m:sSub>
                    <m:e>
                      <m:r>
                        <m:t>P</m:t>
                      </m:r>
                    </m:e>
                    <m:sub>
                      <m:r>
                        <m:t>n</m:t>
                      </m:r>
                    </m:sub>
                  </m:sSub>
                  <m:sSup>
                    <m:e>
                      <m:r>
                        <m:t>10</m:t>
                      </m:r>
                    </m:e>
                    <m:sup>
                      <m:r>
                        <m:t>γ</m:t>
                      </m:r>
                      <m:r>
                        <m:rPr>
                          <m:sty m:val="p"/>
                        </m:rPr>
                        <m:t>/</m:t>
                      </m:r>
                      <m:r>
                        <m:t>10</m:t>
                      </m:r>
                    </m:sup>
                  </m:sSup>
                </m:den>
              </m:f>
            </m:e>
          </m:rad>
          <m:r>
            <m:rPr>
              <m:sty m:val="p"/>
            </m:rPr>
            <m:t>,</m:t>
          </m:r>
          <m:r>
            <m:t>  </m:t>
          </m:r>
          <m:r>
            <m:t>x</m:t>
          </m:r>
          <m:d>
            <m:dPr>
              <m:begChr m:val="["/>
              <m:endChr m:val="]"/>
              <m:sepChr m:val=""/>
              <m:grow/>
            </m:dPr>
            <m:e>
              <m:r>
                <m:t>t</m:t>
              </m:r>
            </m:e>
          </m:d>
          <m:r>
            <m:rPr>
              <m:sty m:val="p"/>
            </m:rPr>
            <m:t>=</m:t>
          </m:r>
          <m:r>
            <m:t>s</m:t>
          </m:r>
          <m:d>
            <m:dPr>
              <m:begChr m:val="["/>
              <m:endChr m:val="]"/>
              <m:sepChr m:val=""/>
              <m:grow/>
            </m:dPr>
            <m:e>
              <m:r>
                <m:t>t</m:t>
              </m:r>
            </m:e>
          </m:d>
          <m:r>
            <m:rPr>
              <m:sty m:val="p"/>
            </m:rPr>
            <m:t>+</m:t>
          </m:r>
          <m:acc>
            <m:accPr>
              <m:chr m:val="̃"/>
            </m:accPr>
            <m:e>
              <m:r>
                <m:t>n</m:t>
              </m:r>
            </m:e>
          </m:acc>
          <m:d>
            <m:dPr>
              <m:begChr m:val="["/>
              <m:endChr m:val="]"/>
              <m:sepChr m:val=""/>
              <m:grow/>
            </m:dPr>
            <m:e>
              <m:r>
                <m:t>t</m:t>
              </m:r>
            </m:e>
          </m:d>
          <m:r>
            <m:rPr>
              <m:sty m:val="p"/>
            </m:rPr>
            <m:t>.</m:t>
          </m:r>
        </m:oMath>
      </m:oMathPara>
    </w:p>
    <w:p>
      <w:pPr>
        <w:pStyle w:val="FirstParagraph"/>
      </w:pPr>
      <w:r>
        <w:t xml:space="preserve">The model operates in the short-time Fourier transform (STFT) domain. Using analysis window</w:t>
      </w:r>
      <w:r>
        <w:t xml:space="preserve"> </w:t>
      </w:r>
      <m:oMath>
        <m:r>
          <m:t>w</m:t>
        </m:r>
        <m:d>
          <m:dPr>
            <m:begChr m:val="["/>
            <m:endChr m:val="]"/>
            <m:sepChr m:val=""/>
            <m:grow/>
          </m:dPr>
          <m:e>
            <m:r>
              <m:t>τ</m:t>
            </m:r>
          </m:e>
        </m:d>
      </m:oMath>
      <w:r>
        <w:t xml:space="preserve"> </w:t>
      </w:r>
      <w:r>
        <w:t xml:space="preserve">and hop</w:t>
      </w:r>
      <w:r>
        <w:t xml:space="preserve"> </w:t>
      </w:r>
      <m:oMath>
        <m:r>
          <m:t>H</m:t>
        </m:r>
      </m:oMath>
      <w:r>
        <w:t xml:space="preserve">,</w:t>
      </w:r>
    </w:p>
    <w:p>
      <w:pPr>
        <w:pStyle w:val="BodyText"/>
      </w:pPr>
      <m:oMathPara>
        <m:oMathParaPr>
          <m:jc m:val="center"/>
        </m:oMathParaPr>
        <m:oMath>
          <m:sSub>
            <m:e>
              <m:r>
                <m:t>X</m:t>
              </m:r>
            </m:e>
            <m:sub>
              <m:r>
                <m:t>f</m:t>
              </m:r>
              <m:r>
                <m:rPr>
                  <m:sty m:val="p"/>
                </m:rPr>
                <m:t>,</m:t>
              </m:r>
              <m:r>
                <m:t>k</m:t>
              </m:r>
            </m:sub>
          </m:sSub>
          <m:r>
            <m:rPr>
              <m:sty m:val="p"/>
            </m:rPr>
            <m:t>=</m:t>
          </m:r>
          <m:nary>
            <m:naryPr>
              <m:chr m:val="∑"/>
              <m:limLoc m:val="undOvr"/>
              <m:subHide m:val="off"/>
              <m:supHide m:val="off"/>
            </m:naryPr>
            <m:sub>
              <m:r>
                <m:t>τ</m:t>
              </m:r>
              <m:r>
                <m:rPr>
                  <m:sty m:val="p"/>
                </m:rPr>
                <m:t>=</m:t>
              </m:r>
              <m:r>
                <m:t>0</m:t>
              </m:r>
            </m:sub>
            <m:sup>
              <m:r>
                <m:t>N</m:t>
              </m:r>
              <m:r>
                <m:rPr>
                  <m:sty m:val="p"/>
                </m:rPr>
                <m:t>−</m:t>
              </m:r>
              <m:r>
                <m:t>1</m:t>
              </m:r>
            </m:sup>
            <m:e>
              <m:r>
                <m:t>x</m:t>
              </m:r>
            </m:e>
          </m:nary>
          <m:d>
            <m:dPr>
              <m:begChr m:val="["/>
              <m:endChr m:val="]"/>
              <m:sepChr m:val=""/>
              <m:grow/>
            </m:dPr>
            <m:e>
              <m:r>
                <m:t>k</m:t>
              </m:r>
              <m:r>
                <m:t>H</m:t>
              </m:r>
              <m:r>
                <m:rPr>
                  <m:sty m:val="p"/>
                </m:rPr>
                <m:t>+</m:t>
              </m:r>
              <m:r>
                <m:t>τ</m:t>
              </m:r>
            </m:e>
          </m:d>
          <m:r>
            <m:t>w</m:t>
          </m:r>
          <m:d>
            <m:dPr>
              <m:begChr m:val="["/>
              <m:endChr m:val="]"/>
              <m:sepChr m:val=""/>
              <m:grow/>
            </m:dPr>
            <m:e>
              <m:r>
                <m:t>τ</m:t>
              </m:r>
            </m:e>
          </m:d>
          <m:sSup>
            <m:e>
              <m:r>
                <m:t>e</m:t>
              </m:r>
            </m:e>
            <m:sup>
              <m:r>
                <m:rPr>
                  <m:sty m:val="p"/>
                </m:rPr>
                <m:t>−</m:t>
              </m:r>
              <m:r>
                <m:t>j</m:t>
              </m:r>
              <m:r>
                <m:t>2</m:t>
              </m:r>
              <m:r>
                <m:t>π</m:t>
              </m:r>
              <m:r>
                <m:t>f</m:t>
              </m:r>
              <m:r>
                <m:t>τ</m:t>
              </m:r>
              <m:r>
                <m:rPr>
                  <m:sty m:val="p"/>
                </m:rPr>
                <m:t>/</m:t>
              </m:r>
              <m:r>
                <m:t>N</m:t>
              </m:r>
            </m:sup>
          </m:sSup>
          <m:r>
            <m:rPr>
              <m:sty m:val="p"/>
            </m:rPr>
            <m:t>,</m:t>
          </m:r>
        </m:oMath>
      </m:oMathPara>
    </w:p>
    <w:p>
      <w:pPr>
        <w:pStyle w:val="FirstParagraph"/>
      </w:pPr>
      <w:r>
        <w:t xml:space="preserve">with analogous clean spectrum</w:t>
      </w:r>
      <w:r>
        <w:t xml:space="preserve"> </w:t>
      </w:r>
      <m:oMath>
        <m:sSub>
          <m:e>
            <m:r>
              <m:t>S</m:t>
            </m:r>
          </m:e>
          <m:sub>
            <m:r>
              <m:t>f</m:t>
            </m:r>
            <m:r>
              <m:rPr>
                <m:sty m:val="p"/>
              </m:rPr>
              <m:t>,</m:t>
            </m:r>
            <m:r>
              <m:t>k</m:t>
            </m:r>
          </m:sub>
        </m:sSub>
      </m:oMath>
      <w:r>
        <w:t xml:space="preserve">. We write</w:t>
      </w:r>
    </w:p>
    <w:p>
      <w:pPr>
        <w:pStyle w:val="BodyText"/>
      </w:pPr>
      <m:oMathPara>
        <m:oMathParaPr>
          <m:jc m:val="center"/>
        </m:oMathParaPr>
        <m:oMath>
          <m:sSub>
            <m:e>
              <m:r>
                <m:t>X</m:t>
              </m:r>
            </m:e>
            <m:sub>
              <m:r>
                <m:t>f</m:t>
              </m:r>
              <m:r>
                <m:rPr>
                  <m:sty m:val="p"/>
                </m:rPr>
                <m:t>,</m:t>
              </m:r>
              <m:r>
                <m:t>k</m:t>
              </m:r>
            </m:sub>
          </m:sSub>
          <m:r>
            <m:rPr>
              <m:sty m:val="p"/>
            </m:rPr>
            <m:t>=</m:t>
          </m:r>
          <m:sSubSup>
            <m:e>
              <m:r>
                <m:t>X</m:t>
              </m:r>
            </m:e>
            <m:sub>
              <m:r>
                <m:t>f</m:t>
              </m:r>
              <m:r>
                <m:rPr>
                  <m:sty m:val="p"/>
                </m:rPr>
                <m:t>,</m:t>
              </m:r>
              <m:r>
                <m:t>k</m:t>
              </m:r>
            </m:sub>
            <m:sup>
              <m:d>
                <m:dPr>
                  <m:begChr m:val="("/>
                  <m:endChr m:val=")"/>
                  <m:sepChr m:val=""/>
                  <m:grow/>
                </m:dPr>
                <m:e>
                  <m:r>
                    <m:t>R</m:t>
                  </m:r>
                </m:e>
              </m:d>
            </m:sup>
          </m:sSubSup>
          <m:r>
            <m:rPr>
              <m:sty m:val="p"/>
            </m:rPr>
            <m:t>+</m:t>
          </m:r>
          <m:r>
            <m:t>j</m:t>
          </m:r>
          <m:sSubSup>
            <m:e>
              <m:r>
                <m:t>X</m:t>
              </m:r>
            </m:e>
            <m:sub>
              <m:r>
                <m:t>f</m:t>
              </m:r>
              <m:r>
                <m:rPr>
                  <m:sty m:val="p"/>
                </m:rPr>
                <m:t>,</m:t>
              </m:r>
              <m:r>
                <m:t>k</m:t>
              </m:r>
            </m:sub>
            <m:sup>
              <m:d>
                <m:dPr>
                  <m:begChr m:val="("/>
                  <m:endChr m:val=")"/>
                  <m:sepChr m:val=""/>
                  <m:grow/>
                </m:dPr>
                <m:e>
                  <m:r>
                    <m:t>I</m:t>
                  </m:r>
                </m:e>
              </m:d>
            </m:sup>
          </m:sSubSup>
          <m:r>
            <m:rPr>
              <m:sty m:val="p"/>
            </m:rPr>
            <m:t>=</m:t>
          </m:r>
          <m:d>
            <m:dPr>
              <m:begChr m:val="|"/>
              <m:endChr m:val="|"/>
              <m:sepChr m:val=""/>
              <m:grow/>
            </m:dPr>
            <m:e>
              <m:sSub>
                <m:e>
                  <m:r>
                    <m:t>X</m:t>
                  </m:r>
                </m:e>
                <m:sub>
                  <m:r>
                    <m:t>f</m:t>
                  </m:r>
                  <m:r>
                    <m:rPr>
                      <m:sty m:val="p"/>
                    </m:rPr>
                    <m:t>,</m:t>
                  </m:r>
                  <m:r>
                    <m:t>k</m:t>
                  </m:r>
                </m:sub>
              </m:sSub>
            </m:e>
          </m:d>
          <m:sSup>
            <m:e>
              <m:r>
                <m:t>e</m:t>
              </m:r>
            </m:e>
            <m:sup>
              <m:r>
                <m:t>j</m:t>
              </m:r>
              <m:sSub>
                <m:e>
                  <m:r>
                    <m:t>ϕ</m:t>
                  </m:r>
                </m:e>
                <m:sub>
                  <m:r>
                    <m:t>f</m:t>
                  </m:r>
                  <m:r>
                    <m:rPr>
                      <m:sty m:val="p"/>
                    </m:rPr>
                    <m:t>,</m:t>
                  </m:r>
                  <m:r>
                    <m:t>k</m:t>
                  </m:r>
                </m:sub>
              </m:sSub>
            </m:sup>
          </m:sSup>
          <m:r>
            <m:rPr>
              <m:sty m:val="p"/>
            </m:rPr>
            <m:t>.</m:t>
          </m:r>
        </m:oMath>
      </m:oMathPara>
    </w:p>
    <w:p>
      <w:pPr>
        <w:pStyle w:val="FirstParagraph"/>
      </w:pPr>
      <w:r>
        <w:t xml:space="preserve">The learning problem is to estimate a complex spectrum</w:t>
      </w:r>
      <w:r>
        <w:t xml:space="preserve"> </w:t>
      </w:r>
      <m:oMath>
        <m:acc>
          <m:accPr>
            <m:chr m:val="̂"/>
          </m:accPr>
          <m:e>
            <m:r>
              <m:t>S</m:t>
            </m:r>
          </m:e>
        </m:acc>
      </m:oMath>
      <w:r>
        <w:t xml:space="preserve"> </w:t>
      </w:r>
      <w:r>
        <w:t xml:space="preserve">whose inverse STFT</w:t>
      </w:r>
      <w:r>
        <w:t xml:space="preserve"> </w:t>
      </w:r>
      <m:oMath>
        <m:acc>
          <m:accPr>
            <m:chr m:val="̂"/>
          </m:accPr>
          <m:e>
            <m:r>
              <m:t>s</m:t>
            </m:r>
          </m:e>
        </m:acc>
        <m:d>
          <m:dPr>
            <m:begChr m:val="["/>
            <m:endChr m:val="]"/>
            <m:sepChr m:val=""/>
            <m:grow/>
          </m:dPr>
          <m:e>
            <m:r>
              <m:t>t</m:t>
            </m:r>
          </m:e>
        </m:d>
      </m:oMath>
      <w:r>
        <w:t xml:space="preserve"> </w:t>
      </w:r>
      <w:r>
        <w:t xml:space="preserve">approximates</w:t>
      </w:r>
      <w:r>
        <w:t xml:space="preserve"> </w:t>
      </w:r>
      <m:oMath>
        <m:r>
          <m:t>s</m:t>
        </m:r>
        <m:d>
          <m:dPr>
            <m:begChr m:val="["/>
            <m:endChr m:val="]"/>
            <m:sepChr m:val=""/>
            <m:grow/>
          </m:dPr>
          <m:e>
            <m:r>
              <m:t>t</m:t>
            </m:r>
          </m:e>
        </m:d>
      </m:oMath>
      <w:r>
        <w:t xml:space="preserve"> </w:t>
      </w:r>
      <w:r>
        <w:t xml:space="preserve">while improving distortion, perceptual quality, and intelligibility.</w:t>
      </w:r>
    </w:p>
    <w:p>
      <w:pPr>
        <w:pStyle w:val="BodyText"/>
      </w:pPr>
      <w:r>
        <w:t xml:space="preserve">For each utterance, the input representation contains five real channels. Let</w:t>
      </w:r>
      <w:r>
        <w:t xml:space="preserve"> </w:t>
      </w:r>
      <m:oMath>
        <m:r>
          <m:t>a</m:t>
        </m:r>
        <m:r>
          <m:rPr>
            <m:sty m:val="p"/>
          </m:rPr>
          <m:t>=</m:t>
        </m:r>
        <m:sSub>
          <m:e>
            <m:r>
              <m:rPr>
                <m:sty m:val="p"/>
              </m:rPr>
              <m:t>max</m:t>
            </m:r>
          </m:e>
          <m:sub>
            <m:r>
              <m:t>f</m:t>
            </m:r>
            <m:r>
              <m:rPr>
                <m:sty m:val="p"/>
              </m:rPr>
              <m:t>,</m:t>
            </m:r>
            <m:r>
              <m:t>k</m:t>
            </m:r>
          </m:sub>
        </m:sSub>
        <m:d>
          <m:dPr>
            <m:begChr m:val="|"/>
            <m:endChr m:val="|"/>
            <m:sepChr m:val=""/>
            <m:grow/>
          </m:dPr>
          <m:e>
            <m:sSub>
              <m:e>
                <m:r>
                  <m:t>X</m:t>
                </m:r>
              </m:e>
              <m:sub>
                <m:r>
                  <m:t>f</m:t>
                </m:r>
                <m:r>
                  <m:rPr>
                    <m:sty m:val="p"/>
                  </m:rPr>
                  <m:t>,</m:t>
                </m:r>
                <m:r>
                  <m:t>k</m:t>
                </m:r>
              </m:sub>
            </m:sSub>
          </m:e>
        </m:d>
        <m:r>
          <m:rPr>
            <m:sty m:val="p"/>
          </m:rPr>
          <m:t>+</m:t>
        </m:r>
        <m:r>
          <m:t>ϵ</m:t>
        </m:r>
      </m:oMath>
      <w:r>
        <w:t xml:space="preserve">. We use</w:t>
      </w:r>
    </w:p>
    <w:p>
      <w:pPr>
        <w:pStyle w:val="BodyText"/>
      </w:pPr>
      <m:oMathPara>
        <m:oMathParaPr>
          <m:jc m:val="center"/>
        </m:oMathParaPr>
        <m:oMath>
          <m:sSub>
            <m:e>
              <m:r>
                <m:rPr>
                  <m:sty m:val="b"/>
                </m:rPr>
                <m:t>F</m:t>
              </m:r>
            </m:e>
            <m:sub>
              <m:r>
                <m:t>f</m:t>
              </m:r>
              <m:r>
                <m:rPr>
                  <m:sty m:val="p"/>
                </m:rPr>
                <m:t>,</m:t>
              </m:r>
              <m:r>
                <m:t>k</m:t>
              </m:r>
            </m:sub>
          </m:sSub>
          <m:r>
            <m:rPr>
              <m:sty m:val="p"/>
            </m:rPr>
            <m:t>=</m:t>
          </m:r>
          <m:d>
            <m:dPr>
              <m:begChr m:val="["/>
              <m:endChr m:val="]"/>
              <m:sepChr m:val=""/>
              <m:grow/>
            </m:dPr>
            <m:e>
              <m:f>
                <m:fPr>
                  <m:type m:val="bar"/>
                </m:fPr>
                <m:num>
                  <m:sSubSup>
                    <m:e>
                      <m:r>
                        <m:t>X</m:t>
                      </m:r>
                    </m:e>
                    <m:sub>
                      <m:r>
                        <m:t>f</m:t>
                      </m:r>
                      <m:r>
                        <m:rPr>
                          <m:sty m:val="p"/>
                        </m:rPr>
                        <m:t>,</m:t>
                      </m:r>
                      <m:r>
                        <m:t>k</m:t>
                      </m:r>
                    </m:sub>
                    <m:sup>
                      <m:d>
                        <m:dPr>
                          <m:begChr m:val="("/>
                          <m:endChr m:val=")"/>
                          <m:sepChr m:val=""/>
                          <m:grow/>
                        </m:dPr>
                        <m:e>
                          <m:r>
                            <m:t>R</m:t>
                          </m:r>
                        </m:e>
                      </m:d>
                    </m:sup>
                  </m:sSubSup>
                </m:num>
                <m:den>
                  <m:r>
                    <m:t>a</m:t>
                  </m:r>
                </m:den>
              </m:f>
              <m:r>
                <m:rPr>
                  <m:sty m:val="p"/>
                </m:rPr>
                <m:t>,</m:t>
              </m:r>
              <m:r>
                <m:t> </m:t>
              </m:r>
              <m:f>
                <m:fPr>
                  <m:type m:val="bar"/>
                </m:fPr>
                <m:num>
                  <m:sSubSup>
                    <m:e>
                      <m:r>
                        <m:t>X</m:t>
                      </m:r>
                    </m:e>
                    <m:sub>
                      <m:r>
                        <m:t>f</m:t>
                      </m:r>
                      <m:r>
                        <m:rPr>
                          <m:sty m:val="p"/>
                        </m:rPr>
                        <m:t>,</m:t>
                      </m:r>
                      <m:r>
                        <m:t>k</m:t>
                      </m:r>
                    </m:sub>
                    <m:sup>
                      <m:d>
                        <m:dPr>
                          <m:begChr m:val="("/>
                          <m:endChr m:val=")"/>
                          <m:sepChr m:val=""/>
                          <m:grow/>
                        </m:dPr>
                        <m:e>
                          <m:r>
                            <m:t>I</m:t>
                          </m:r>
                        </m:e>
                      </m:d>
                    </m:sup>
                  </m:sSubSup>
                </m:num>
                <m:den>
                  <m:r>
                    <m:t>a</m:t>
                  </m:r>
                </m:den>
              </m:f>
              <m:r>
                <m:rPr>
                  <m:sty m:val="p"/>
                </m:rPr>
                <m:t>,</m:t>
              </m:r>
              <m:r>
                <m:t> </m:t>
              </m:r>
              <m:f>
                <m:fPr>
                  <m:type m:val="bar"/>
                </m:fPr>
                <m:num>
                  <m:r>
                    <m:rPr>
                      <m:sty m:val="p"/>
                    </m:rPr>
                    <m:t>log</m:t>
                  </m:r>
                  <m:d>
                    <m:dPr>
                      <m:begChr m:val="("/>
                      <m:endChr m:val=")"/>
                      <m:sepChr m:val=""/>
                      <m:grow/>
                    </m:dPr>
                    <m:e>
                      <m:r>
                        <m:t>1</m:t>
                      </m:r>
                      <m:r>
                        <m:rPr>
                          <m:sty m:val="p"/>
                        </m:rPr>
                        <m:t>+</m:t>
                      </m:r>
                      <m:d>
                        <m:dPr>
                          <m:begChr m:val="|"/>
                          <m:endChr m:val="|"/>
                          <m:sepChr m:val=""/>
                          <m:grow/>
                        </m:dPr>
                        <m:e>
                          <m:sSub>
                            <m:e>
                              <m:r>
                                <m:t>X</m:t>
                              </m:r>
                            </m:e>
                            <m:sub>
                              <m:r>
                                <m:t>f</m:t>
                              </m:r>
                              <m:r>
                                <m:rPr>
                                  <m:sty m:val="p"/>
                                </m:rPr>
                                <m:t>,</m:t>
                              </m:r>
                              <m:r>
                                <m:t>k</m:t>
                              </m:r>
                            </m:sub>
                          </m:sSub>
                        </m:e>
                      </m:d>
                    </m:e>
                  </m:d>
                </m:num>
                <m:den>
                  <m:r>
                    <m:rPr>
                      <m:sty m:val="p"/>
                    </m:rPr>
                    <m:t>log</m:t>
                  </m:r>
                  <m:d>
                    <m:dPr>
                      <m:begChr m:val="("/>
                      <m:endChr m:val=")"/>
                      <m:sepChr m:val=""/>
                      <m:grow/>
                    </m:dPr>
                    <m:e>
                      <m:r>
                        <m:t>1</m:t>
                      </m:r>
                      <m:r>
                        <m:rPr>
                          <m:sty m:val="p"/>
                        </m:rPr>
                        <m:t>+</m:t>
                      </m:r>
                      <m:r>
                        <m:t>a</m:t>
                      </m:r>
                    </m:e>
                  </m:d>
                </m:den>
              </m:f>
              <m:r>
                <m:rPr>
                  <m:sty m:val="p"/>
                </m:rPr>
                <m:t>,</m:t>
              </m:r>
              <m:r>
                <m:t> </m:t>
              </m:r>
              <m:f>
                <m:fPr>
                  <m:type m:val="bar"/>
                </m:fPr>
                <m:num>
                  <m:sSubSup>
                    <m:e>
                      <m:r>
                        <m:t>X</m:t>
                      </m:r>
                    </m:e>
                    <m:sub>
                      <m:r>
                        <m:t>f</m:t>
                      </m:r>
                      <m:r>
                        <m:rPr>
                          <m:sty m:val="p"/>
                        </m:rPr>
                        <m:t>,</m:t>
                      </m:r>
                      <m:r>
                        <m:t>k</m:t>
                      </m:r>
                    </m:sub>
                    <m:sup>
                      <m:d>
                        <m:dPr>
                          <m:begChr m:val="("/>
                          <m:endChr m:val=")"/>
                          <m:sepChr m:val=""/>
                          <m:grow/>
                        </m:dPr>
                        <m:e>
                          <m:r>
                            <m:t>I</m:t>
                          </m:r>
                        </m:e>
                      </m:d>
                    </m:sup>
                  </m:sSubSup>
                </m:num>
                <m:den>
                  <m:d>
                    <m:dPr>
                      <m:begChr m:val="|"/>
                      <m:endChr m:val="|"/>
                      <m:sepChr m:val=""/>
                      <m:grow/>
                    </m:dPr>
                    <m:e>
                      <m:sSub>
                        <m:e>
                          <m:r>
                            <m:t>X</m:t>
                          </m:r>
                        </m:e>
                        <m:sub>
                          <m:r>
                            <m:t>f</m:t>
                          </m:r>
                          <m:r>
                            <m:rPr>
                              <m:sty m:val="p"/>
                            </m:rPr>
                            <m:t>,</m:t>
                          </m:r>
                          <m:r>
                            <m:t>k</m:t>
                          </m:r>
                        </m:sub>
                      </m:sSub>
                    </m:e>
                  </m:d>
                  <m:r>
                    <m:rPr>
                      <m:sty m:val="p"/>
                    </m:rPr>
                    <m:t>+</m:t>
                  </m:r>
                  <m:r>
                    <m:t>ϵ</m:t>
                  </m:r>
                </m:den>
              </m:f>
              <m:r>
                <m:rPr>
                  <m:sty m:val="p"/>
                </m:rPr>
                <m:t>,</m:t>
              </m:r>
              <m:r>
                <m:t> </m:t>
              </m:r>
              <m:f>
                <m:fPr>
                  <m:type m:val="bar"/>
                </m:fPr>
                <m:num>
                  <m:sSubSup>
                    <m:e>
                      <m:r>
                        <m:t>X</m:t>
                      </m:r>
                    </m:e>
                    <m:sub>
                      <m:r>
                        <m:t>f</m:t>
                      </m:r>
                      <m:r>
                        <m:rPr>
                          <m:sty m:val="p"/>
                        </m:rPr>
                        <m:t>,</m:t>
                      </m:r>
                      <m:r>
                        <m:t>k</m:t>
                      </m:r>
                    </m:sub>
                    <m:sup>
                      <m:d>
                        <m:dPr>
                          <m:begChr m:val="("/>
                          <m:endChr m:val=")"/>
                          <m:sepChr m:val=""/>
                          <m:grow/>
                        </m:dPr>
                        <m:e>
                          <m:r>
                            <m:t>R</m:t>
                          </m:r>
                        </m:e>
                      </m:d>
                    </m:sup>
                  </m:sSubSup>
                </m:num>
                <m:den>
                  <m:d>
                    <m:dPr>
                      <m:begChr m:val="|"/>
                      <m:endChr m:val="|"/>
                      <m:sepChr m:val=""/>
                      <m:grow/>
                    </m:dPr>
                    <m:e>
                      <m:sSub>
                        <m:e>
                          <m:r>
                            <m:t>X</m:t>
                          </m:r>
                        </m:e>
                        <m:sub>
                          <m:r>
                            <m:t>f</m:t>
                          </m:r>
                          <m:r>
                            <m:rPr>
                              <m:sty m:val="p"/>
                            </m:rPr>
                            <m:t>,</m:t>
                          </m:r>
                          <m:r>
                            <m:t>k</m:t>
                          </m:r>
                        </m:sub>
                      </m:sSub>
                    </m:e>
                  </m:d>
                  <m:r>
                    <m:rPr>
                      <m:sty m:val="p"/>
                    </m:rPr>
                    <m:t>+</m:t>
                  </m:r>
                  <m:r>
                    <m:t>ϵ</m:t>
                  </m:r>
                </m:den>
              </m:f>
            </m:e>
          </m:d>
          <m:r>
            <m:rPr>
              <m:sty m:val="p"/>
            </m:rPr>
            <m:t>.</m:t>
          </m:r>
        </m:oMath>
      </m:oMathPara>
    </w:p>
    <w:p>
      <w:pPr>
        <w:pStyle w:val="FirstParagraph"/>
      </w:pPr>
      <w:r>
        <w:t xml:space="preserve">The last two terms provide sine- and cosine-like phase coordinates without explicitly unwrapping phase.</w:t>
      </w:r>
    </w:p>
    <w:bookmarkEnd w:id="29"/>
    <w:bookmarkStart w:id="39" w:name="X0ec91bc7f56449de5c5615e212d9c751004e2e8"/>
    <w:p>
      <w:pPr>
        <w:pStyle w:val="Heading2"/>
      </w:pPr>
      <w:r>
        <w:t xml:space="preserve">4. Proposed Parameter-Matched Quantum-Conditioned U-Net</w:t>
      </w:r>
    </w:p>
    <w:bookmarkStart w:id="30" w:name="classical-speech-enhancement-backbone"/>
    <w:p>
      <w:pPr>
        <w:pStyle w:val="Heading3"/>
      </w:pPr>
      <w:r>
        <w:t xml:space="preserve">4.1 Classical speech-enhancement backbone</w:t>
      </w:r>
    </w:p>
    <w:p>
      <w:pPr>
        <w:pStyle w:val="FirstParagraph"/>
      </w:pPr>
      <w:r>
        <w:t xml:space="preserve">The backbone is a compact encoder-decoder network operating on the five-channel STFT representation. The encoder uses channel widths 32, 64, 96, and 128. Downsampling reduces the time-frequency resolution while increasing channels, and skip features are retained for the decoder. The bottleneck has 128 channels and contains three residual depthwise-separable gated linear unit (DS-GLU) blocks with dilations 1, 2, and 4. The decoder restores resolution by interpolation, fuses the corresponding skip representation through</w:t>
      </w:r>
      <w:r>
        <w:t xml:space="preserve"> </w:t>
      </w:r>
      <m:oMath>
        <m:r>
          <m:t>1</m:t>
        </m:r>
        <m:r>
          <m:rPr>
            <m:sty m:val="p"/>
          </m:rPr>
          <m:t>×</m:t>
        </m:r>
        <m:r>
          <m:t>1</m:t>
        </m:r>
      </m:oMath>
      <w:r>
        <w:t xml:space="preserve"> </w:t>
      </w:r>
      <w:r>
        <w:t xml:space="preserve">projections, and applies residual DS-GLU processing. Dropout is 0.08.</w:t>
      </w:r>
    </w:p>
    <w:p>
      <w:pPr>
        <w:pStyle w:val="BodyText"/>
      </w:pPr>
      <w:r>
        <w:t xml:space="preserve">The baseline network consists only of this backbone and output head. The two conditioned networks insert the same global conditioner at the bottleneck, differing only in whether the 72-parameter core is quantum or classical.</w:t>
      </w:r>
    </w:p>
    <w:bookmarkEnd w:id="30"/>
    <w:bookmarkStart w:id="31" w:name="multi-scale-global-summary"/>
    <w:p>
      <w:pPr>
        <w:pStyle w:val="Heading3"/>
      </w:pPr>
      <w:r>
        <w:t xml:space="preserve">4.2 Multi-scale global summary</w:t>
      </w:r>
    </w:p>
    <w:p>
      <w:pPr>
        <w:pStyle w:val="FirstParagraph"/>
      </w:pPr>
      <w:r>
        <w:t xml:space="preserve">Let</w:t>
      </w:r>
      <w:r>
        <w:t xml:space="preserve"> </w:t>
      </w:r>
      <m:oMath>
        <m:sSup>
          <m:e>
            <m:r>
              <m:t>H</m:t>
            </m:r>
          </m:e>
          <m:sup>
            <m:d>
              <m:dPr>
                <m:begChr m:val="("/>
                <m:endChr m:val=")"/>
                <m:sepChr m:val=""/>
                <m:grow/>
              </m:dPr>
              <m:e>
                <m:r>
                  <m:t>r</m:t>
                </m:r>
              </m:e>
            </m:d>
          </m:sup>
        </m:sSup>
        <m:r>
          <m:rPr>
            <m:sty m:val="p"/>
          </m:rPr>
          <m:t>∈</m:t>
        </m:r>
        <m:sSup>
          <m:e>
            <m:r>
              <m:rPr>
                <m:sty m:val="p"/>
                <m:scr m:val="double-struck"/>
              </m:rPr>
              <m:t>R</m:t>
            </m:r>
          </m:e>
          <m:sup>
            <m:sSub>
              <m:e>
                <m:r>
                  <m:t>C</m:t>
                </m:r>
              </m:e>
              <m:sub>
                <m:r>
                  <m:t>r</m:t>
                </m:r>
              </m:sub>
            </m:sSub>
            <m:r>
              <m:rPr>
                <m:sty m:val="p"/>
              </m:rPr>
              <m:t>×</m:t>
            </m:r>
            <m:sSub>
              <m:e>
                <m:r>
                  <m:t>T</m:t>
                </m:r>
              </m:e>
              <m:sub>
                <m:r>
                  <m:t>r</m:t>
                </m:r>
              </m:sub>
            </m:sSub>
            <m:r>
              <m:rPr>
                <m:sty m:val="p"/>
              </m:rPr>
              <m:t>×</m:t>
            </m:r>
            <m:sSub>
              <m:e>
                <m:r>
                  <m:t>F</m:t>
                </m:r>
              </m:e>
              <m:sub>
                <m:r>
                  <m:t>r</m:t>
                </m:r>
              </m:sub>
            </m:sSub>
          </m:sup>
        </m:sSup>
      </m:oMath>
      <w:r>
        <w:t xml:space="preserve"> </w:t>
      </w:r>
      <w:r>
        <w:t xml:space="preserve">denote the feature tensor at encoder scale</w:t>
      </w:r>
      <w:r>
        <w:t xml:space="preserve"> </w:t>
      </w:r>
      <m:oMath>
        <m:r>
          <m:t>r</m:t>
        </m:r>
      </m:oMath>
      <w:r>
        <w:t xml:space="preserve">, and let</w:t>
      </w:r>
      <w:r>
        <w:t xml:space="preserve"> </w:t>
      </w:r>
      <m:oMath>
        <m:sSup>
          <m:e>
            <m:r>
              <m:t>H</m:t>
            </m:r>
          </m:e>
          <m:sup>
            <m:d>
              <m:dPr>
                <m:begChr m:val="("/>
                <m:endChr m:val=")"/>
                <m:sepChr m:val=""/>
                <m:grow/>
              </m:dPr>
              <m:e>
                <m:r>
                  <m:t>b</m:t>
                </m:r>
              </m:e>
            </m:d>
          </m:sup>
        </m:sSup>
      </m:oMath>
      <w:r>
        <w:t xml:space="preserve"> </w:t>
      </w:r>
      <w:r>
        <w:t xml:space="preserve">denote the bottleneck representation. For every channel, we compute global first- and second-order statistics,</w:t>
      </w:r>
    </w:p>
    <w:p>
      <w:pPr>
        <w:pStyle w:val="BodyText"/>
      </w:pPr>
      <m:oMathPara>
        <m:oMathParaPr>
          <m:jc m:val="center"/>
        </m:oMathParaPr>
        <m:oMath>
          <m:sSub>
            <m:e>
              <m:r>
                <m:t>μ</m:t>
              </m:r>
            </m:e>
            <m:sub>
              <m:r>
                <m:t>c</m:t>
              </m:r>
            </m:sub>
          </m:sSub>
          <m:d>
            <m:dPr>
              <m:begChr m:val="("/>
              <m:endChr m:val=")"/>
              <m:sepChr m:val=""/>
              <m:grow/>
            </m:dPr>
            <m:e>
              <m:r>
                <m:t>H</m:t>
              </m:r>
            </m:e>
          </m:d>
          <m:r>
            <m:rPr>
              <m:sty m:val="p"/>
            </m:rPr>
            <m:t>=</m:t>
          </m:r>
          <m:f>
            <m:fPr>
              <m:type m:val="bar"/>
            </m:fPr>
            <m:num>
              <m:r>
                <m:t>1</m:t>
              </m:r>
            </m:num>
            <m:den>
              <m:r>
                <m:t>T</m:t>
              </m:r>
              <m:r>
                <m:t>F</m:t>
              </m:r>
            </m:den>
          </m:f>
          <m:nary>
            <m:naryPr>
              <m:chr m:val="∑"/>
              <m:limLoc m:val="undOvr"/>
              <m:subHide m:val="off"/>
              <m:supHide m:val="on"/>
            </m:naryPr>
            <m:sub>
              <m:r>
                <m:t>t</m:t>
              </m:r>
              <m:r>
                <m:rPr>
                  <m:sty m:val="p"/>
                </m:rPr>
                <m:t>,</m:t>
              </m:r>
              <m:r>
                <m:t>f</m:t>
              </m:r>
            </m:sub>
            <m:sup>
              <m:r>
                <m:t>​</m:t>
              </m:r>
            </m:sup>
            <m:e>
              <m:sSub>
                <m:e>
                  <m:r>
                    <m:t>H</m:t>
                  </m:r>
                </m:e>
                <m:sub>
                  <m:r>
                    <m:t>c</m:t>
                  </m:r>
                  <m:r>
                    <m:rPr>
                      <m:sty m:val="p"/>
                    </m:rPr>
                    <m:t>,</m:t>
                  </m:r>
                  <m:r>
                    <m:t>t</m:t>
                  </m:r>
                  <m:r>
                    <m:rPr>
                      <m:sty m:val="p"/>
                    </m:rPr>
                    <m:t>,</m:t>
                  </m:r>
                  <m:r>
                    <m:t>f</m:t>
                  </m:r>
                </m:sub>
              </m:sSub>
            </m:e>
          </m:nary>
          <m:r>
            <m:rPr>
              <m:sty m:val="p"/>
            </m:rPr>
            <m:t>,</m:t>
          </m:r>
        </m:oMath>
      </m:oMathPara>
    </w:p>
    <w:p>
      <w:pPr>
        <w:pStyle w:val="FirstParagraph"/>
      </w:pPr>
      <m:oMathPara>
        <m:oMathParaPr>
          <m:jc m:val="center"/>
        </m:oMathParaPr>
        <m:oMath>
          <m:sSub>
            <m:e>
              <m:r>
                <m:t>σ</m:t>
              </m:r>
            </m:e>
            <m:sub>
              <m:r>
                <m:t>c</m:t>
              </m:r>
            </m:sub>
          </m:sSub>
          <m:d>
            <m:dPr>
              <m:begChr m:val="("/>
              <m:endChr m:val=")"/>
              <m:sepChr m:val=""/>
              <m:grow/>
            </m:dPr>
            <m:e>
              <m:r>
                <m:t>H</m:t>
              </m:r>
            </m:e>
          </m:d>
          <m:r>
            <m:rPr>
              <m:sty m:val="p"/>
            </m:rPr>
            <m:t>=</m:t>
          </m:r>
          <m:rad>
            <m:radPr>
              <m:degHide m:val="on"/>
            </m:radPr>
            <m:deg/>
            <m:e>
              <m:f>
                <m:fPr>
                  <m:type m:val="bar"/>
                </m:fPr>
                <m:num>
                  <m:r>
                    <m:t>1</m:t>
                  </m:r>
                </m:num>
                <m:den>
                  <m:r>
                    <m:t>T</m:t>
                  </m:r>
                  <m:r>
                    <m:t>F</m:t>
                  </m:r>
                </m:den>
              </m:f>
              <m:nary>
                <m:naryPr>
                  <m:chr m:val="∑"/>
                  <m:limLoc m:val="undOvr"/>
                  <m:subHide m:val="off"/>
                  <m:supHide m:val="on"/>
                </m:naryPr>
                <m:sub>
                  <m:r>
                    <m:t>t</m:t>
                  </m:r>
                  <m:r>
                    <m:rPr>
                      <m:sty m:val="p"/>
                    </m:rPr>
                    <m:t>,</m:t>
                  </m:r>
                  <m:r>
                    <m:t>f</m:t>
                  </m:r>
                </m:sub>
                <m:sup>
                  <m:r>
                    <m:t>​</m:t>
                  </m:r>
                </m:sup>
                <m:e>
                  <m:sSup>
                    <m:e>
                      <m:d>
                        <m:dPr>
                          <m:begChr m:val="("/>
                          <m:endChr m:val=")"/>
                          <m:sepChr m:val=""/>
                          <m:grow/>
                        </m:dPr>
                        <m:e>
                          <m:sSub>
                            <m:e>
                              <m:r>
                                <m:t>H</m:t>
                              </m:r>
                            </m:e>
                            <m:sub>
                              <m:r>
                                <m:t>c</m:t>
                              </m:r>
                              <m:r>
                                <m:rPr>
                                  <m:sty m:val="p"/>
                                </m:rPr>
                                <m:t>,</m:t>
                              </m:r>
                              <m:r>
                                <m:t>t</m:t>
                              </m:r>
                              <m:r>
                                <m:rPr>
                                  <m:sty m:val="p"/>
                                </m:rPr>
                                <m:t>,</m:t>
                              </m:r>
                              <m:r>
                                <m:t>f</m:t>
                              </m:r>
                            </m:sub>
                          </m:sSub>
                          <m:r>
                            <m:rPr>
                              <m:sty m:val="p"/>
                            </m:rPr>
                            <m:t>−</m:t>
                          </m:r>
                          <m:sSub>
                            <m:e>
                              <m:r>
                                <m:t>μ</m:t>
                              </m:r>
                            </m:e>
                            <m:sub>
                              <m:r>
                                <m:t>c</m:t>
                              </m:r>
                            </m:sub>
                          </m:sSub>
                          <m:d>
                            <m:dPr>
                              <m:begChr m:val="("/>
                              <m:endChr m:val=")"/>
                              <m:sepChr m:val=""/>
                              <m:grow/>
                            </m:dPr>
                            <m:e>
                              <m:r>
                                <m:t>H</m:t>
                              </m:r>
                            </m:e>
                          </m:d>
                        </m:e>
                      </m:d>
                    </m:e>
                    <m:sup>
                      <m:r>
                        <m:t>2</m:t>
                      </m:r>
                    </m:sup>
                  </m:sSup>
                </m:e>
              </m:nary>
              <m:r>
                <m:rPr>
                  <m:sty m:val="p"/>
                </m:rPr>
                <m:t>+</m:t>
              </m:r>
              <m:r>
                <m:t>ϵ</m:t>
              </m:r>
            </m:e>
          </m:rad>
          <m:r>
            <m:rPr>
              <m:sty m:val="p"/>
            </m:rPr>
            <m:t>.</m:t>
          </m:r>
        </m:oMath>
      </m:oMathPara>
    </w:p>
    <w:p>
      <w:pPr>
        <w:pStyle w:val="FirstParagraph"/>
      </w:pPr>
      <w:r>
        <w:t xml:space="preserve">The encoder/bottleneck channel counts are</w:t>
      </w:r>
      <w:r>
        <w:t xml:space="preserve"> </w:t>
      </w:r>
      <m:oMath>
        <m:r>
          <m:t>32</m:t>
        </m:r>
        <m:r>
          <m:rPr>
            <m:sty m:val="p"/>
          </m:rPr>
          <m:t>+</m:t>
        </m:r>
        <m:r>
          <m:t>64</m:t>
        </m:r>
        <m:r>
          <m:rPr>
            <m:sty m:val="p"/>
          </m:rPr>
          <m:t>+</m:t>
        </m:r>
        <m:r>
          <m:t>96</m:t>
        </m:r>
        <m:r>
          <m:rPr>
            <m:sty m:val="p"/>
          </m:rPr>
          <m:t>+</m:t>
        </m:r>
        <m:r>
          <m:t>128</m:t>
        </m:r>
        <m:r>
          <m:rPr>
            <m:sty m:val="p"/>
          </m:rPr>
          <m:t>+</m:t>
        </m:r>
        <m:r>
          <m:t>128</m:t>
        </m:r>
        <m:r>
          <m:rPr>
            <m:sty m:val="p"/>
          </m:rPr>
          <m:t>=</m:t>
        </m:r>
        <m:r>
          <m:t>448</m:t>
        </m:r>
      </m:oMath>
      <w:r>
        <w:t xml:space="preserve">. Concatenating mean and standard deviation for all channels therefore gives</w:t>
      </w:r>
    </w:p>
    <w:p>
      <w:pPr>
        <w:pStyle w:val="BodyText"/>
      </w:pPr>
      <m:oMathPara>
        <m:oMathParaPr>
          <m:jc m:val="center"/>
        </m:oMathParaPr>
        <m:oMath>
          <m:r>
            <m:rPr>
              <m:sty m:val="b"/>
            </m:rPr>
            <m:t>g</m:t>
          </m:r>
          <m:r>
            <m:rPr>
              <m:sty m:val="p"/>
            </m:rPr>
            <m:t>∈</m:t>
          </m:r>
          <m:sSup>
            <m:e>
              <m:r>
                <m:rPr>
                  <m:sty m:val="p"/>
                  <m:scr m:val="double-struck"/>
                </m:rPr>
                <m:t>R</m:t>
              </m:r>
            </m:e>
            <m:sup>
              <m:r>
                <m:t>2</m:t>
              </m:r>
              <m:r>
                <m:rPr>
                  <m:sty m:val="p"/>
                </m:rPr>
                <m:t>×</m:t>
              </m:r>
              <m:r>
                <m:t>448</m:t>
              </m:r>
            </m:sup>
          </m:sSup>
          <m:r>
            <m:rPr>
              <m:sty m:val="p"/>
            </m:rPr>
            <m:t>=</m:t>
          </m:r>
          <m:sSup>
            <m:e>
              <m:r>
                <m:rPr>
                  <m:sty m:val="p"/>
                  <m:scr m:val="double-struck"/>
                </m:rPr>
                <m:t>R</m:t>
              </m:r>
            </m:e>
            <m:sup>
              <m:r>
                <m:t>896</m:t>
              </m:r>
            </m:sup>
          </m:sSup>
          <m:r>
            <m:rPr>
              <m:sty m:val="p"/>
            </m:rPr>
            <m:t>.</m:t>
          </m:r>
        </m:oMath>
      </m:oMathPara>
    </w:p>
    <w:p>
      <w:pPr>
        <w:pStyle w:val="FirstParagraph"/>
      </w:pPr>
      <w:r>
        <w:t xml:space="preserve">A shared learnable projection maps this vector to six bounded angles,</w:t>
      </w:r>
    </w:p>
    <w:p>
      <w:pPr>
        <w:pStyle w:val="BodyText"/>
      </w:pPr>
      <m:oMathPara>
        <m:oMathParaPr>
          <m:jc m:val="center"/>
        </m:oMathParaPr>
        <m:oMath>
          <m:r>
            <m:rPr>
              <m:sty m:val="b"/>
            </m:rPr>
            <m:t>ϕ</m:t>
          </m:r>
          <m:r>
            <m:rPr>
              <m:sty m:val="p"/>
            </m:rPr>
            <m:t>=</m:t>
          </m:r>
          <m:r>
            <m:t>π</m:t>
          </m:r>
          <m:r>
            <m:rPr>
              <m:sty m:val="p"/>
            </m:rPr>
            <m:t>tanh</m:t>
          </m:r>
          <m:d>
            <m:dPr>
              <m:begChr m:val="("/>
              <m:endChr m:val=")"/>
              <m:sepChr m:val=""/>
              <m:grow/>
            </m:dPr>
            <m:e>
              <m:r>
                <m:rPr>
                  <m:sty m:val="p"/>
                </m:rPr>
                <m:t>LN</m:t>
              </m:r>
              <m:d>
                <m:dPr>
                  <m:begChr m:val="("/>
                  <m:endChr m:val=")"/>
                  <m:sepChr m:val=""/>
                  <m:grow/>
                </m:dPr>
                <m:e>
                  <m:sSub>
                    <m:e>
                      <m:r>
                        <m:t>W</m:t>
                      </m:r>
                    </m:e>
                    <m:sub>
                      <m:r>
                        <m:t>i</m:t>
                      </m:r>
                      <m:r>
                        <m:t>n</m:t>
                      </m:r>
                    </m:sub>
                  </m:sSub>
                  <m:r>
                    <m:rPr>
                      <m:sty m:val="b"/>
                    </m:rPr>
                    <m:t>g</m:t>
                  </m:r>
                  <m:r>
                    <m:rPr>
                      <m:sty m:val="p"/>
                    </m:rPr>
                    <m:t>+</m:t>
                  </m:r>
                  <m:sSub>
                    <m:e>
                      <m:r>
                        <m:rPr>
                          <m:sty m:val="b"/>
                        </m:rPr>
                        <m:t>b</m:t>
                      </m:r>
                    </m:e>
                    <m:sub>
                      <m:r>
                        <m:t>i</m:t>
                      </m:r>
                      <m:r>
                        <m:t>n</m:t>
                      </m:r>
                    </m:sub>
                  </m:sSub>
                </m:e>
              </m:d>
            </m:e>
          </m:d>
          <m:r>
            <m:rPr>
              <m:sty m:val="p"/>
            </m:rPr>
            <m:t>,</m:t>
          </m:r>
          <m:r>
            <m:t> </m:t>
          </m:r>
          <m:r>
            <m:rPr>
              <m:sty m:val="b"/>
            </m:rPr>
            <m:t>ϕ</m:t>
          </m:r>
          <m:r>
            <m:rPr>
              <m:sty m:val="p"/>
            </m:rPr>
            <m:t>∈</m:t>
          </m:r>
          <m:sSup>
            <m:e>
              <m:d>
                <m:dPr>
                  <m:begChr m:val="["/>
                  <m:endChr m:val="]"/>
                  <m:sepChr m:val=""/>
                  <m:grow/>
                </m:dPr>
                <m:e>
                  <m:r>
                    <m:rPr>
                      <m:sty m:val="p"/>
                    </m:rPr>
                    <m:t>−</m:t>
                  </m:r>
                  <m:r>
                    <m:t>π</m:t>
                  </m:r>
                  <m:r>
                    <m:rPr>
                      <m:sty m:val="p"/>
                    </m:rPr>
                    <m:t>,</m:t>
                  </m:r>
                  <m:r>
                    <m:t>π</m:t>
                  </m:r>
                </m:e>
              </m:d>
            </m:e>
            <m:sup>
              <m:r>
                <m:t>6</m:t>
              </m:r>
            </m:sup>
          </m:sSup>
          <m:r>
            <m:rPr>
              <m:sty m:val="p"/>
            </m:rPr>
            <m:t>.</m:t>
          </m:r>
        </m:oMath>
      </m:oMathPara>
    </w:p>
    <w:p>
      <w:pPr>
        <w:pStyle w:val="FirstParagraph"/>
      </w:pPr>
      <w:r>
        <w:t xml:space="preserve">This compression is central to the design. The quantum circuit does not receive a complete spectrogram or run at every time-frequency bin; it acts once on a six-dimensional global summary for each processed segment.</w:t>
      </w:r>
    </w:p>
    <w:bookmarkEnd w:id="31"/>
    <w:bookmarkStart w:id="32" w:name="X82f5d0decf7075d885bf51559f3dff3f92dba54"/>
    <w:p>
      <w:pPr>
        <w:pStyle w:val="Heading3"/>
      </w:pPr>
      <w:r>
        <w:t xml:space="preserve">4.3 Six-qubit variational quantum conditioner</w:t>
      </w:r>
    </w:p>
    <w:p>
      <w:pPr>
        <w:pStyle w:val="FirstParagraph"/>
      </w:pPr>
      <w:r>
        <w:t xml:space="preserve">The selected VQC contains</w:t>
      </w:r>
      <w:r>
        <w:t xml:space="preserve"> </w:t>
      </w:r>
      <m:oMath>
        <m:r>
          <m:t>q</m:t>
        </m:r>
        <m:r>
          <m:rPr>
            <m:sty m:val="p"/>
          </m:rPr>
          <m:t>=</m:t>
        </m:r>
        <m:r>
          <m:t>6</m:t>
        </m:r>
      </m:oMath>
      <w:r>
        <w:t xml:space="preserve"> </w:t>
      </w:r>
      <w:r>
        <w:t xml:space="preserve">qubits and depth</w:t>
      </w:r>
      <w:r>
        <w:t xml:space="preserve"> </w:t>
      </w:r>
      <m:oMath>
        <m:r>
          <m:t>L</m:t>
        </m:r>
        <m:r>
          <m:rPr>
            <m:sty m:val="p"/>
          </m:rPr>
          <m:t>=</m:t>
        </m:r>
        <m:r>
          <m:t>4</m:t>
        </m:r>
      </m:oMath>
      <w:r>
        <w:t xml:space="preserve">. The circuit starts from the six-qubit all-zero computational basis state. At every layer, the six input values are re-uploaded through</w:t>
      </w:r>
      <w:r>
        <w:t xml:space="preserve"> </w:t>
      </w:r>
      <m:oMath>
        <m:sSub>
          <m:e>
            <m:r>
              <m:t>R</m:t>
            </m:r>
          </m:e>
          <m:sub>
            <m:r>
              <m:t>Y</m:t>
            </m:r>
          </m:sub>
        </m:sSub>
      </m:oMath>
      <w:r>
        <w:t xml:space="preserve"> </w:t>
      </w:r>
      <w:r>
        <w:t xml:space="preserve">rotations,</w:t>
      </w:r>
    </w:p>
    <w:p>
      <w:pPr>
        <w:pStyle w:val="BodyText"/>
      </w:pPr>
      <m:oMathPara>
        <m:oMathParaPr>
          <m:jc m:val="center"/>
        </m:oMathParaPr>
        <m:oMath>
          <m:sSub>
            <m:e>
              <m:r>
                <m:t>U</m:t>
              </m:r>
            </m:e>
            <m:sub>
              <m:r>
                <m:t>e</m:t>
              </m:r>
              <m:r>
                <m:t>n</m:t>
              </m:r>
              <m:r>
                <m:t>c</m:t>
              </m:r>
            </m:sub>
          </m:sSub>
          <m:d>
            <m:dPr>
              <m:begChr m:val="("/>
              <m:endChr m:val=")"/>
              <m:sepChr m:val=""/>
              <m:grow/>
            </m:dPr>
            <m:e>
              <m:r>
                <m:rPr>
                  <m:sty m:val="b"/>
                </m:rPr>
                <m:t>ϕ</m:t>
              </m:r>
            </m:e>
          </m:d>
          <m:r>
            <m:rPr>
              <m:sty m:val="p"/>
            </m:rPr>
            <m:t>=</m:t>
          </m:r>
          <m:sSubSup>
            <m:e>
              <m:r>
                <m:rPr>
                  <m:sty m:val="p"/>
                </m:rPr>
                <m:t>⨂</m:t>
              </m:r>
            </m:e>
            <m:sub>
              <m:r>
                <m:t>i</m:t>
              </m:r>
              <m:r>
                <m:rPr>
                  <m:sty m:val="p"/>
                </m:rPr>
                <m:t>=</m:t>
              </m:r>
              <m:r>
                <m:t>1</m:t>
              </m:r>
            </m:sub>
            <m:sup>
              <m:r>
                <m:t>6</m:t>
              </m:r>
            </m:sup>
          </m:sSubSup>
          <m:sSub>
            <m:e>
              <m:r>
                <m:t>R</m:t>
              </m:r>
            </m:e>
            <m:sub>
              <m:r>
                <m:t>Y</m:t>
              </m:r>
            </m:sub>
          </m:sSub>
          <m:d>
            <m:dPr>
              <m:begChr m:val="("/>
              <m:endChr m:val=")"/>
              <m:sepChr m:val=""/>
              <m:grow/>
            </m:dPr>
            <m:e>
              <m:sSub>
                <m:e>
                  <m:r>
                    <m:t>ϕ</m:t>
                  </m:r>
                </m:e>
                <m:sub>
                  <m:r>
                    <m:t>i</m:t>
                  </m:r>
                </m:sub>
              </m:sSub>
            </m:e>
          </m:d>
          <m:r>
            <m:rPr>
              <m:sty m:val="p"/>
            </m:rPr>
            <m:t>.</m:t>
          </m:r>
        </m:oMath>
      </m:oMathPara>
    </w:p>
    <w:p>
      <w:pPr>
        <w:pStyle w:val="FirstParagraph"/>
      </w:pPr>
      <w:r>
        <w:t xml:space="preserve">Each qubit then receives a trainable Euler block</w:t>
      </w:r>
    </w:p>
    <w:p>
      <w:pPr>
        <w:pStyle w:val="BodyText"/>
      </w:pPr>
      <m:oMathPara>
        <m:oMathParaPr>
          <m:jc m:val="center"/>
        </m:oMathParaPr>
        <m:oMath>
          <m:sSubSup>
            <m:e>
              <m:r>
                <m:t>U</m:t>
              </m:r>
            </m:e>
            <m:sub>
              <m:r>
                <m:t>r</m:t>
              </m:r>
              <m:r>
                <m:t>o</m:t>
              </m:r>
              <m:r>
                <m:t>t</m:t>
              </m:r>
            </m:sub>
            <m:sup>
              <m:d>
                <m:dPr>
                  <m:begChr m:val="("/>
                  <m:endChr m:val=")"/>
                  <m:sepChr m:val=""/>
                  <m:grow/>
                </m:dPr>
                <m:e>
                  <m:r>
                    <m:rPr>
                      <m:sty m:val="p"/>
                    </m:rPr>
                    <m:t>ℓ</m:t>
                  </m:r>
                </m:e>
              </m:d>
            </m:sup>
          </m:sSubSup>
          <m:d>
            <m:dPr>
              <m:begChr m:val="("/>
              <m:endChr m:val=")"/>
              <m:sepChr m:val=""/>
              <m:grow/>
            </m:dPr>
            <m:e>
              <m:sSub>
                <m:e>
                  <m:r>
                    <m:rPr>
                      <m:sty m:val="b"/>
                    </m:rPr>
                    <m:t>θ</m:t>
                  </m:r>
                </m:e>
                <m:sub>
                  <m:r>
                    <m:rPr>
                      <m:sty m:val="p"/>
                    </m:rPr>
                    <m:t>ℓ</m:t>
                  </m:r>
                </m:sub>
              </m:sSub>
            </m:e>
          </m:d>
          <m:r>
            <m:rPr>
              <m:sty m:val="p"/>
            </m:rPr>
            <m:t>=</m:t>
          </m:r>
          <m:sSubSup>
            <m:e>
              <m:r>
                <m:rPr>
                  <m:sty m:val="p"/>
                </m:rPr>
                <m:t>⨂</m:t>
              </m:r>
            </m:e>
            <m:sub>
              <m:r>
                <m:t>i</m:t>
              </m:r>
              <m:r>
                <m:rPr>
                  <m:sty m:val="p"/>
                </m:rPr>
                <m:t>=</m:t>
              </m:r>
              <m:r>
                <m:t>1</m:t>
              </m:r>
            </m:sub>
            <m:sup>
              <m:r>
                <m:t>6</m:t>
              </m:r>
            </m:sup>
          </m:sSubSup>
          <m:sSub>
            <m:e>
              <m:r>
                <m:t>R</m:t>
              </m:r>
            </m:e>
            <m:sub>
              <m:r>
                <m:t>Z</m:t>
              </m:r>
            </m:sub>
          </m:sSub>
          <m:d>
            <m:dPr>
              <m:begChr m:val="("/>
              <m:endChr m:val=")"/>
              <m:sepChr m:val=""/>
              <m:grow/>
            </m:dPr>
            <m:e>
              <m:sSub>
                <m:e>
                  <m:r>
                    <m:t>θ</m:t>
                  </m:r>
                </m:e>
                <m:sub>
                  <m:r>
                    <m:rPr>
                      <m:sty m:val="p"/>
                    </m:rPr>
                    <m:t>ℓ</m:t>
                  </m:r>
                  <m:r>
                    <m:t>i</m:t>
                  </m:r>
                  <m:r>
                    <m:t>1</m:t>
                  </m:r>
                </m:sub>
              </m:sSub>
            </m:e>
          </m:d>
          <m:sSub>
            <m:e>
              <m:r>
                <m:t>R</m:t>
              </m:r>
            </m:e>
            <m:sub>
              <m:r>
                <m:t>Y</m:t>
              </m:r>
            </m:sub>
          </m:sSub>
          <m:d>
            <m:dPr>
              <m:begChr m:val="("/>
              <m:endChr m:val=")"/>
              <m:sepChr m:val=""/>
              <m:grow/>
            </m:dPr>
            <m:e>
              <m:sSub>
                <m:e>
                  <m:r>
                    <m:t>θ</m:t>
                  </m:r>
                </m:e>
                <m:sub>
                  <m:r>
                    <m:rPr>
                      <m:sty m:val="p"/>
                    </m:rPr>
                    <m:t>ℓ</m:t>
                  </m:r>
                  <m:r>
                    <m:t>i</m:t>
                  </m:r>
                  <m:r>
                    <m:t>2</m:t>
                  </m:r>
                </m:sub>
              </m:sSub>
            </m:e>
          </m:d>
          <m:sSub>
            <m:e>
              <m:r>
                <m:t>R</m:t>
              </m:r>
            </m:e>
            <m:sub>
              <m:r>
                <m:t>Z</m:t>
              </m:r>
            </m:sub>
          </m:sSub>
          <m:d>
            <m:dPr>
              <m:begChr m:val="("/>
              <m:endChr m:val=")"/>
              <m:sepChr m:val=""/>
              <m:grow/>
            </m:dPr>
            <m:e>
              <m:sSub>
                <m:e>
                  <m:r>
                    <m:t>θ</m:t>
                  </m:r>
                </m:e>
                <m:sub>
                  <m:r>
                    <m:rPr>
                      <m:sty m:val="p"/>
                    </m:rPr>
                    <m:t>ℓ</m:t>
                  </m:r>
                  <m:r>
                    <m:t>i</m:t>
                  </m:r>
                  <m:r>
                    <m:t>3</m:t>
                  </m:r>
                </m:sub>
              </m:sSub>
            </m:e>
          </m:d>
          <m:r>
            <m:rPr>
              <m:sty m:val="p"/>
            </m:rPr>
            <m:t>,</m:t>
          </m:r>
        </m:oMath>
      </m:oMathPara>
    </w:p>
    <w:p>
      <w:pPr>
        <w:pStyle w:val="FirstParagraph"/>
      </w:pPr>
      <w:r>
        <w:t xml:space="preserve">followed by a nearest-neighbor ring of CNOT operations,</w:t>
      </w:r>
    </w:p>
    <w:p>
      <w:pPr>
        <w:pStyle w:val="BodyText"/>
      </w:pPr>
      <m:oMathPara>
        <m:oMathParaPr>
          <m:jc m:val="center"/>
        </m:oMathParaPr>
        <m:oMath>
          <m:sSub>
            <m:e>
              <m:r>
                <m:t>U</m:t>
              </m:r>
            </m:e>
            <m:sub>
              <m:r>
                <m:t>e</m:t>
              </m:r>
              <m:r>
                <m:t>n</m:t>
              </m:r>
              <m:r>
                <m:t>t</m:t>
              </m:r>
            </m:sub>
          </m:sSub>
          <m:r>
            <m:rPr>
              <m:sty m:val="p"/>
            </m:rPr>
            <m:t>=</m:t>
          </m:r>
          <m:nary>
            <m:naryPr>
              <m:chr m:val="∏"/>
              <m:limLoc m:val="undOvr"/>
              <m:subHide m:val="off"/>
              <m:supHide m:val="off"/>
            </m:naryPr>
            <m:sub>
              <m:r>
                <m:t>i</m:t>
              </m:r>
              <m:r>
                <m:rPr>
                  <m:sty m:val="p"/>
                </m:rPr>
                <m:t>=</m:t>
              </m:r>
              <m:r>
                <m:t>1</m:t>
              </m:r>
            </m:sub>
            <m:sup>
              <m:r>
                <m:t>6</m:t>
              </m:r>
            </m:sup>
            <m:e>
              <m:sSub>
                <m:e>
                  <m:r>
                    <m:rPr>
                      <m:sty m:val="p"/>
                    </m:rPr>
                    <m:t>CNOT</m:t>
                  </m:r>
                </m:e>
                <m:sub>
                  <m:r>
                    <m:t>i</m:t>
                  </m:r>
                  <m:r>
                    <m:rPr>
                      <m:sty m:val="p"/>
                    </m:rPr>
                    <m:t>→</m:t>
                  </m:r>
                  <m:d>
                    <m:dPr>
                      <m:begChr m:val="("/>
                      <m:endChr m:val=")"/>
                      <m:sepChr m:val=""/>
                      <m:grow/>
                    </m:dPr>
                    <m:e>
                      <m:r>
                        <m:t>i</m:t>
                      </m:r>
                      <m:r>
                        <m:t> </m:t>
                      </m:r>
                      <m:r>
                        <m:rPr>
                          <m:sty m:val="p"/>
                        </m:rPr>
                        <m:t>mod</m:t>
                      </m:r>
                      <m:r>
                        <m:t> </m:t>
                      </m:r>
                      <m:r>
                        <m:t>6</m:t>
                      </m:r>
                    </m:e>
                  </m:d>
                  <m:r>
                    <m:rPr>
                      <m:sty m:val="p"/>
                    </m:rPr>
                    <m:t>+</m:t>
                  </m:r>
                  <m:r>
                    <m:t>1</m:t>
                  </m:r>
                </m:sub>
              </m:sSub>
            </m:e>
          </m:nary>
          <m:r>
            <m:rPr>
              <m:sty m:val="p"/>
            </m:rPr>
            <m:t>.</m:t>
          </m:r>
        </m:oMath>
      </m:oMathPara>
    </w:p>
    <w:p>
      <w:pPr>
        <w:pStyle w:val="FirstParagraph"/>
      </w:pPr>
      <w:r>
        <w:t xml:space="preserve">Under the circuit ordering used in the implementation, the final state can be written compactly as</w:t>
      </w:r>
    </w:p>
    <w:p>
      <w:pPr>
        <w:pStyle w:val="BodyText"/>
      </w:pPr>
      <m:oMathPara>
        <m:oMathParaPr>
          <m:jc m:val="center"/>
        </m:oMathParaPr>
        <m:oMath>
          <m:d>
            <m:dPr>
              <m:begChr m:val="|"/>
              <m:endChr m:val="|"/>
              <m:sepChr m:val=""/>
              <m:grow/>
            </m:dPr>
            <m:e>
              <m:r>
                <m:t>ψ</m:t>
              </m:r>
              <m:d>
                <m:dPr>
                  <m:begChr m:val="("/>
                  <m:endChr m:val=")"/>
                  <m:sepChr m:val=""/>
                  <m:grow/>
                </m:dPr>
                <m:e>
                  <m:r>
                    <m:rPr>
                      <m:sty m:val="b"/>
                    </m:rPr>
                    <m:t>ϕ</m:t>
                  </m:r>
                  <m:r>
                    <m:rPr>
                      <m:sty m:val="p"/>
                    </m:rPr>
                    <m:t>,</m:t>
                  </m:r>
                  <m:r>
                    <m:rPr>
                      <m:sty m:val="b"/>
                    </m:rPr>
                    <m:t>θ</m:t>
                  </m:r>
                </m:e>
              </m:d>
              <m:r>
                <m:rPr>
                  <m:sty m:val="p"/>
                </m:rPr>
                <m:t>⟩</m:t>
              </m:r>
              <m:r>
                <m:rPr>
                  <m:sty m:val="p"/>
                </m:rPr>
                <m:t>=</m:t>
              </m:r>
              <m:d>
                <m:dPr>
                  <m:begChr m:val="["/>
                  <m:endChr m:val="]"/>
                  <m:sepChr m:val=""/>
                  <m:grow/>
                </m:dPr>
                <m:e>
                  <m:nary>
                    <m:naryPr>
                      <m:chr m:val="∏"/>
                      <m:limLoc m:val="undOvr"/>
                      <m:subHide m:val="off"/>
                      <m:supHide m:val="off"/>
                    </m:naryPr>
                    <m:sub>
                      <m:r>
                        <m:rPr>
                          <m:sty m:val="p"/>
                        </m:rPr>
                        <m:t>ℓ</m:t>
                      </m:r>
                      <m:r>
                        <m:rPr>
                          <m:sty m:val="p"/>
                        </m:rPr>
                        <m:t>=</m:t>
                      </m:r>
                      <m:r>
                        <m:t>1</m:t>
                      </m:r>
                    </m:sub>
                    <m:sup>
                      <m:r>
                        <m:t>4</m:t>
                      </m:r>
                    </m:sup>
                    <m:e>
                      <m:sSub>
                        <m:e>
                          <m:r>
                            <m:t>U</m:t>
                          </m:r>
                        </m:e>
                        <m:sub>
                          <m:r>
                            <m:t>e</m:t>
                          </m:r>
                          <m:r>
                            <m:t>n</m:t>
                          </m:r>
                          <m:r>
                            <m:t>t</m:t>
                          </m:r>
                        </m:sub>
                      </m:sSub>
                    </m:e>
                  </m:nary>
                  <m:sSubSup>
                    <m:e>
                      <m:r>
                        <m:t>U</m:t>
                      </m:r>
                    </m:e>
                    <m:sub>
                      <m:r>
                        <m:t>r</m:t>
                      </m:r>
                      <m:r>
                        <m:t>o</m:t>
                      </m:r>
                      <m:r>
                        <m:t>t</m:t>
                      </m:r>
                    </m:sub>
                    <m:sup>
                      <m:d>
                        <m:dPr>
                          <m:begChr m:val="("/>
                          <m:endChr m:val=")"/>
                          <m:sepChr m:val=""/>
                          <m:grow/>
                        </m:dPr>
                        <m:e>
                          <m:r>
                            <m:rPr>
                              <m:sty m:val="p"/>
                            </m:rPr>
                            <m:t>ℓ</m:t>
                          </m:r>
                        </m:e>
                      </m:d>
                    </m:sup>
                  </m:sSubSup>
                  <m:sSub>
                    <m:e>
                      <m:r>
                        <m:t>U</m:t>
                      </m:r>
                    </m:e>
                    <m:sub>
                      <m:r>
                        <m:t>e</m:t>
                      </m:r>
                      <m:r>
                        <m:t>n</m:t>
                      </m:r>
                      <m:r>
                        <m:t>c</m:t>
                      </m:r>
                    </m:sub>
                  </m:sSub>
                  <m:d>
                    <m:dPr>
                      <m:begChr m:val="("/>
                      <m:endChr m:val=")"/>
                      <m:sepChr m:val=""/>
                      <m:grow/>
                    </m:dPr>
                    <m:e>
                      <m:r>
                        <m:rPr>
                          <m:sty m:val="b"/>
                        </m:rPr>
                        <m:t>ϕ</m:t>
                      </m:r>
                    </m:e>
                  </m:d>
                </m:e>
              </m:d>
            </m:e>
          </m:d>
          <m:r>
            <m:t>0</m:t>
          </m:r>
          <m:sSup>
            <m:e>
              <m:r>
                <m:rPr>
                  <m:sty m:val="p"/>
                </m:rPr>
                <m:t>⟩</m:t>
              </m:r>
            </m:e>
            <m:sup>
              <m:r>
                <m:rPr>
                  <m:sty m:val="p"/>
                </m:rPr>
                <m:t>⊗</m:t>
              </m:r>
              <m:r>
                <m:t>6</m:t>
              </m:r>
            </m:sup>
          </m:sSup>
          <m:r>
            <m:rPr>
              <m:sty m:val="p"/>
            </m:rPr>
            <m:t>.</m:t>
          </m:r>
        </m:oMath>
      </m:oMathPara>
    </w:p>
    <w:p>
      <w:pPr>
        <w:pStyle w:val="FirstParagraph"/>
      </w:pPr>
      <w:r>
        <w:t xml:space="preserve">Data re-uploading occurs because</w:t>
      </w:r>
      <w:r>
        <w:t xml:space="preserve"> </w:t>
      </w:r>
      <m:oMath>
        <m:sSub>
          <m:e>
            <m:r>
              <m:t>U</m:t>
            </m:r>
          </m:e>
          <m:sub>
            <m:r>
              <m:t>e</m:t>
            </m:r>
            <m:r>
              <m:t>n</m:t>
            </m:r>
            <m:r>
              <m:t>c</m:t>
            </m:r>
          </m:sub>
        </m:sSub>
        <m:d>
          <m:dPr>
            <m:begChr m:val="("/>
            <m:endChr m:val=")"/>
            <m:sepChr m:val=""/>
            <m:grow/>
          </m:dPr>
          <m:e>
            <m:r>
              <m:rPr>
                <m:sty m:val="b"/>
              </m:rPr>
              <m:t>ϕ</m:t>
            </m:r>
          </m:e>
        </m:d>
      </m:oMath>
      <w:r>
        <w:t xml:space="preserve"> </w:t>
      </w:r>
      <w:r>
        <w:t xml:space="preserve">appears in every layer. The trainable quantum parameter count is exactly</w:t>
      </w:r>
    </w:p>
    <w:p>
      <w:pPr>
        <w:pStyle w:val="BodyText"/>
      </w:pPr>
      <m:oMathPara>
        <m:oMathParaPr>
          <m:jc m:val="center"/>
        </m:oMathParaPr>
        <m:oMath>
          <m:sSub>
            <m:e>
              <m:r>
                <m:t>P</m:t>
              </m:r>
            </m:e>
            <m:sub>
              <m:r>
                <m:t>Q</m:t>
              </m:r>
            </m:sub>
          </m:sSub>
          <m:r>
            <m:rPr>
              <m:sty m:val="p"/>
            </m:rPr>
            <m:t>=</m:t>
          </m:r>
          <m:r>
            <m:t>L</m:t>
          </m:r>
          <m:r>
            <m:rPr>
              <m:sty m:val="p"/>
            </m:rPr>
            <m:t>×</m:t>
          </m:r>
          <m:r>
            <m:t>q</m:t>
          </m:r>
          <m:r>
            <m:rPr>
              <m:sty m:val="p"/>
            </m:rPr>
            <m:t>×</m:t>
          </m:r>
          <m:r>
            <m:t>3</m:t>
          </m:r>
          <m:r>
            <m:rPr>
              <m:sty m:val="p"/>
            </m:rPr>
            <m:t>=</m:t>
          </m:r>
          <m:r>
            <m:t>4</m:t>
          </m:r>
          <m:r>
            <m:rPr>
              <m:sty m:val="p"/>
            </m:rPr>
            <m:t>×</m:t>
          </m:r>
          <m:r>
            <m:t>6</m:t>
          </m:r>
          <m:r>
            <m:rPr>
              <m:sty m:val="p"/>
            </m:rPr>
            <m:t>×</m:t>
          </m:r>
          <m:r>
            <m:t>3</m:t>
          </m:r>
          <m:r>
            <m:rPr>
              <m:sty m:val="p"/>
            </m:rPr>
            <m:t>=</m:t>
          </m:r>
          <m:r>
            <m:t>72</m:t>
          </m:r>
          <m:r>
            <m:rPr>
              <m:sty m:val="p"/>
            </m:rPr>
            <m:t>.</m:t>
          </m:r>
        </m:oMath>
      </m:oMathPara>
    </w:p>
    <w:p>
      <w:pPr>
        <w:pStyle w:val="FirstParagraph"/>
      </w:pPr>
      <w:r>
        <w:t xml:space="preserve">The circuit produces twelve real observables: six single-qubit</w:t>
      </w:r>
      <w:r>
        <w:t xml:space="preserve"> </w:t>
      </w:r>
      <m:oMath>
        <m:r>
          <m:t>Z</m:t>
        </m:r>
      </m:oMath>
      <w:r>
        <w:t xml:space="preserve"> </w:t>
      </w:r>
      <w:r>
        <w:t xml:space="preserve">expectations and six cyclic nearest-neighbor correlations,</w:t>
      </w:r>
    </w:p>
    <w:p>
      <w:pPr>
        <w:pStyle w:val="BodyText"/>
      </w:pPr>
      <m:oMathPara>
        <m:oMathParaPr>
          <m:jc m:val="center"/>
        </m:oMathParaPr>
        <m:oMath>
          <m:sSub>
            <m:e>
              <m:r>
                <m:rPr>
                  <m:sty m:val="b"/>
                </m:rPr>
                <m:t>z</m:t>
              </m:r>
            </m:e>
            <m:sub>
              <m:r>
                <m:t>Q</m:t>
              </m:r>
            </m:sub>
          </m:sSub>
          <m:r>
            <m:rPr>
              <m:sty m:val="p"/>
            </m:rPr>
            <m:t>=</m:t>
          </m:r>
          <m:sSup>
            <m:e>
              <m:d>
                <m:dPr>
                  <m:begChr m:val="["/>
                  <m:endChr m:val="]"/>
                  <m:sepChr m:val=""/>
                  <m:grow/>
                </m:dPr>
                <m:e>
                  <m:r>
                    <m:rPr>
                      <m:sty m:val="p"/>
                    </m:rPr>
                    <m:t>⟨</m:t>
                  </m:r>
                  <m:sSub>
                    <m:e>
                      <m:r>
                        <m:t>Z</m:t>
                      </m:r>
                    </m:e>
                    <m:sub>
                      <m:r>
                        <m:t>1</m:t>
                      </m:r>
                    </m:sub>
                  </m:sSub>
                  <m:r>
                    <m:rPr>
                      <m:sty m:val="p"/>
                    </m:rPr>
                    <m:t>⟩</m:t>
                  </m:r>
                  <m:r>
                    <m:rPr>
                      <m:sty m:val="p"/>
                    </m:rPr>
                    <m:t>,</m:t>
                  </m:r>
                  <m:r>
                    <m:rPr>
                      <m:sty m:val="p"/>
                    </m:rPr>
                    <m:t>…</m:t>
                  </m:r>
                  <m:r>
                    <m:rPr>
                      <m:sty m:val="p"/>
                    </m:rPr>
                    <m:t>,</m:t>
                  </m:r>
                  <m:r>
                    <m:rPr>
                      <m:sty m:val="p"/>
                    </m:rPr>
                    <m:t>⟨</m:t>
                  </m:r>
                  <m:sSub>
                    <m:e>
                      <m:r>
                        <m:t>Z</m:t>
                      </m:r>
                    </m:e>
                    <m:sub>
                      <m:r>
                        <m:t>6</m:t>
                      </m:r>
                    </m:sub>
                  </m:sSub>
                  <m:r>
                    <m:rPr>
                      <m:sty m:val="p"/>
                    </m:rPr>
                    <m:t>⟩</m:t>
                  </m:r>
                  <m:r>
                    <m:rPr>
                      <m:sty m:val="p"/>
                    </m:rPr>
                    <m:t>,</m:t>
                  </m:r>
                  <m:r>
                    <m:rPr>
                      <m:sty m:val="p"/>
                    </m:rPr>
                    <m:t>⟨</m:t>
                  </m:r>
                  <m:sSub>
                    <m:e>
                      <m:r>
                        <m:t>Z</m:t>
                      </m:r>
                    </m:e>
                    <m:sub>
                      <m:r>
                        <m:t>1</m:t>
                      </m:r>
                    </m:sub>
                  </m:sSub>
                  <m:sSub>
                    <m:e>
                      <m:r>
                        <m:t>Z</m:t>
                      </m:r>
                    </m:e>
                    <m:sub>
                      <m:r>
                        <m:t>2</m:t>
                      </m:r>
                    </m:sub>
                  </m:sSub>
                  <m:r>
                    <m:rPr>
                      <m:sty m:val="p"/>
                    </m:rPr>
                    <m:t>⟩</m:t>
                  </m:r>
                  <m:r>
                    <m:rPr>
                      <m:sty m:val="p"/>
                    </m:rPr>
                    <m:t>,</m:t>
                  </m:r>
                  <m:r>
                    <m:rPr>
                      <m:sty m:val="p"/>
                    </m:rPr>
                    <m:t>…</m:t>
                  </m:r>
                  <m:r>
                    <m:rPr>
                      <m:sty m:val="p"/>
                    </m:rPr>
                    <m:t>,</m:t>
                  </m:r>
                  <m:r>
                    <m:rPr>
                      <m:sty m:val="p"/>
                    </m:rPr>
                    <m:t>⟨</m:t>
                  </m:r>
                  <m:sSub>
                    <m:e>
                      <m:r>
                        <m:t>Z</m:t>
                      </m:r>
                    </m:e>
                    <m:sub>
                      <m:r>
                        <m:t>6</m:t>
                      </m:r>
                    </m:sub>
                  </m:sSub>
                  <m:sSub>
                    <m:e>
                      <m:r>
                        <m:t>Z</m:t>
                      </m:r>
                    </m:e>
                    <m:sub>
                      <m:r>
                        <m:t>1</m:t>
                      </m:r>
                    </m:sub>
                  </m:sSub>
                  <m:r>
                    <m:rPr>
                      <m:sty m:val="p"/>
                    </m:rPr>
                    <m:t>⟩</m:t>
                  </m:r>
                </m:e>
              </m:d>
            </m:e>
            <m:sup>
              <m:r>
                <m:rPr>
                  <m:sty m:val="p"/>
                </m:rPr>
                <m:t>⊤</m:t>
              </m:r>
            </m:sup>
          </m:sSup>
          <m:r>
            <m:rPr>
              <m:sty m:val="p"/>
            </m:rPr>
            <m:t>∈</m:t>
          </m:r>
          <m:sSup>
            <m:e>
              <m:d>
                <m:dPr>
                  <m:begChr m:val="["/>
                  <m:endChr m:val="]"/>
                  <m:sepChr m:val=""/>
                  <m:grow/>
                </m:dPr>
                <m:e>
                  <m:r>
                    <m:rPr>
                      <m:sty m:val="p"/>
                    </m:rPr>
                    <m:t>−</m:t>
                  </m:r>
                  <m:r>
                    <m:t>1</m:t>
                  </m:r>
                  <m:r>
                    <m:rPr>
                      <m:sty m:val="p"/>
                    </m:rPr>
                    <m:t>,</m:t>
                  </m:r>
                  <m:r>
                    <m:t>1</m:t>
                  </m:r>
                </m:e>
              </m:d>
            </m:e>
            <m:sup>
              <m:r>
                <m:t>12</m:t>
              </m:r>
            </m:sup>
          </m:sSup>
          <m:r>
            <m:rPr>
              <m:sty m:val="p"/>
            </m:rPr>
            <m:t>.</m:t>
          </m:r>
        </m:oMath>
      </m:oMathPara>
    </w:p>
    <w:p>
      <w:pPr>
        <w:pStyle w:val="FirstParagraph"/>
      </w:pPr>
      <w:r>
        <w:t xml:space="preserve">The depth-four circuit applies 24 data-encoding rotations, 72 trainable single-qubit rotations, and 24 ring CNOTs, giving 120 gate applications in the statevector implementation. The circuit is called once per segment.</w:t>
      </w:r>
    </w:p>
    <w:bookmarkEnd w:id="32"/>
    <w:bookmarkStart w:id="36" w:name="X4f5f1afa177d7800db4f3eeb9adb82277111b21"/>
    <w:p>
      <w:pPr>
        <w:pStyle w:val="Heading3"/>
      </w:pPr>
      <w:r>
        <w:t xml:space="preserve">4.4 Exactly parameter-matched classical conditioner</w:t>
      </w:r>
    </w:p>
    <w:p>
      <w:pPr>
        <w:pStyle w:val="FirstParagraph"/>
      </w:pPr>
      <w:r>
        <w:t xml:space="preserve">To isolate the effect of the nonlinear core rather than parameter count, the classical control receives the</w:t>
      </w:r>
      <w:r>
        <w:t xml:space="preserve"> </w:t>
      </w:r>
      <w:r>
        <w:rPr>
          <w:b/>
          <w:bCs/>
        </w:rPr>
        <w:t xml:space="preserve">same</w:t>
      </w:r>
      <w:r>
        <w:t xml:space="preserve"> </w:t>
      </w:r>
      <w:r>
        <w:t xml:space="preserve">six-dimensional</w:t>
      </w:r>
      <w:r>
        <w:t xml:space="preserve"> </w:t>
      </w:r>
      <m:oMath>
        <m:r>
          <m:rPr>
            <m:sty m:val="b"/>
          </m:rPr>
          <m:t>ϕ</m:t>
        </m:r>
      </m:oMath>
      <w:r>
        <w:t xml:space="preserve"> </w:t>
      </w:r>
      <w:r>
        <w:t xml:space="preserve">and returns the</w:t>
      </w:r>
      <w:r>
        <w:t xml:space="preserve"> </w:t>
      </w:r>
      <w:r>
        <w:rPr>
          <w:b/>
          <w:bCs/>
        </w:rPr>
        <w:t xml:space="preserve">same</w:t>
      </w:r>
      <w:r>
        <w:t xml:space="preserve"> </w:t>
      </w:r>
      <w:r>
        <w:t xml:space="preserve">12-dimensional interface. It uses two bias-free</w:t>
      </w:r>
      <w:r>
        <w:t xml:space="preserve"> </w:t>
      </w:r>
      <m:oMath>
        <m:r>
          <m:t>6</m:t>
        </m:r>
        <m:r>
          <m:rPr>
            <m:sty m:val="p"/>
          </m:rPr>
          <m:t>×</m:t>
        </m:r>
        <m:r>
          <m:t>6</m:t>
        </m:r>
      </m:oMath>
      <w:r>
        <w:t xml:space="preserve"> </w:t>
      </w:r>
      <w:r>
        <w:t xml:space="preserve">matrices,</w:t>
      </w:r>
    </w:p>
    <w:p>
      <w:pPr>
        <w:pStyle w:val="BodyText"/>
      </w:pPr>
      <m:oMathPara>
        <m:oMathParaPr>
          <m:jc m:val="center"/>
        </m:oMathParaPr>
        <m:oMath>
          <m:r>
            <m:rPr>
              <m:sty m:val="b"/>
            </m:rPr>
            <m:t>h</m:t>
          </m:r>
          <m:r>
            <m:rPr>
              <m:sty m:val="p"/>
            </m:rPr>
            <m:t>=</m:t>
          </m:r>
          <m:r>
            <m:rPr>
              <m:sty m:val="p"/>
            </m:rPr>
            <m:t>tanh</m:t>
          </m:r>
          <m:d>
            <m:dPr>
              <m:begChr m:val="("/>
              <m:endChr m:val=")"/>
              <m:sepChr m:val=""/>
              <m:grow/>
            </m:dPr>
            <m:e>
              <m:sSub>
                <m:e>
                  <m:r>
                    <m:t>W</m:t>
                  </m:r>
                </m:e>
                <m:sub>
                  <m:r>
                    <m:t>2</m:t>
                  </m:r>
                </m:sub>
              </m:sSub>
              <m:r>
                <m:rPr>
                  <m:sty m:val="p"/>
                </m:rPr>
                <m:t>tanh</m:t>
              </m:r>
              <m:d>
                <m:dPr>
                  <m:begChr m:val="("/>
                  <m:endChr m:val=")"/>
                  <m:sepChr m:val=""/>
                  <m:grow/>
                </m:dPr>
                <m:e>
                  <m:sSub>
                    <m:e>
                      <m:r>
                        <m:t>W</m:t>
                      </m:r>
                    </m:e>
                    <m:sub>
                      <m:r>
                        <m:t>1</m:t>
                      </m:r>
                    </m:sub>
                  </m:sSub>
                  <m:r>
                    <m:rPr>
                      <m:sty m:val="b"/>
                    </m:rPr>
                    <m:t>ϕ</m:t>
                  </m:r>
                </m:e>
              </m:d>
            </m:e>
          </m:d>
          <m:r>
            <m:rPr>
              <m:sty m:val="p"/>
            </m:rPr>
            <m:t>,</m:t>
          </m:r>
          <m:r>
            <m:t>  </m:t>
          </m:r>
          <m:sSub>
            <m:e>
              <m:r>
                <m:t>W</m:t>
              </m:r>
            </m:e>
            <m:sub>
              <m:r>
                <m:t>1</m:t>
              </m:r>
            </m:sub>
          </m:sSub>
          <m:r>
            <m:rPr>
              <m:sty m:val="p"/>
            </m:rPr>
            <m:t>,</m:t>
          </m:r>
          <m:sSub>
            <m:e>
              <m:r>
                <m:t>W</m:t>
              </m:r>
            </m:e>
            <m:sub>
              <m:r>
                <m:t>2</m:t>
              </m:r>
            </m:sub>
          </m:sSub>
          <m:r>
            <m:rPr>
              <m:sty m:val="p"/>
            </m:rPr>
            <m:t>∈</m:t>
          </m:r>
          <m:sSup>
            <m:e>
              <m:r>
                <m:rPr>
                  <m:sty m:val="p"/>
                  <m:scr m:val="double-struck"/>
                </m:rPr>
                <m:t>R</m:t>
              </m:r>
            </m:e>
            <m:sup>
              <m:r>
                <m:t>6</m:t>
              </m:r>
              <m:r>
                <m:rPr>
                  <m:sty m:val="p"/>
                </m:rPr>
                <m:t>×</m:t>
              </m:r>
              <m:r>
                <m:t>6</m:t>
              </m:r>
            </m:sup>
          </m:sSup>
          <m:r>
            <m:rPr>
              <m:sty m:val="p"/>
            </m:rPr>
            <m:t>,</m:t>
          </m:r>
        </m:oMath>
      </m:oMathPara>
    </w:p>
    <w:p>
      <w:pPr>
        <w:pStyle w:val="FirstParagraph"/>
      </w:pPr>
      <w:r>
        <w:t xml:space="preserve">and augments the six activations with cyclic multiplicative interactions,</w:t>
      </w:r>
    </w:p>
    <w:p>
      <w:pPr>
        <w:pStyle w:val="BodyText"/>
      </w:pPr>
      <m:oMathPara>
        <m:oMathParaPr>
          <m:jc m:val="center"/>
        </m:oMathParaPr>
        <m:oMath>
          <m:sSub>
            <m:e>
              <m:r>
                <m:rPr>
                  <m:sty m:val="b"/>
                </m:rPr>
                <m:t>z</m:t>
              </m:r>
            </m:e>
            <m:sub>
              <m:r>
                <m:t>C</m:t>
              </m:r>
            </m:sub>
          </m:sSub>
          <m:r>
            <m:rPr>
              <m:sty m:val="p"/>
            </m:rPr>
            <m:t>=</m:t>
          </m:r>
          <m:sSup>
            <m:e>
              <m:d>
                <m:dPr>
                  <m:begChr m:val="["/>
                  <m:endChr m:val="]"/>
                  <m:sepChr m:val=""/>
                  <m:grow/>
                </m:dPr>
                <m:e>
                  <m:sSub>
                    <m:e>
                      <m:r>
                        <m:t>h</m:t>
                      </m:r>
                    </m:e>
                    <m:sub>
                      <m:r>
                        <m:t>1</m:t>
                      </m:r>
                    </m:sub>
                  </m:sSub>
                  <m:r>
                    <m:rPr>
                      <m:sty m:val="p"/>
                    </m:rPr>
                    <m:t>,</m:t>
                  </m:r>
                  <m:r>
                    <m:rPr>
                      <m:sty m:val="p"/>
                    </m:rPr>
                    <m:t>…</m:t>
                  </m:r>
                  <m:r>
                    <m:rPr>
                      <m:sty m:val="p"/>
                    </m:rPr>
                    <m:t>,</m:t>
                  </m:r>
                  <m:sSub>
                    <m:e>
                      <m:r>
                        <m:t>h</m:t>
                      </m:r>
                    </m:e>
                    <m:sub>
                      <m:r>
                        <m:t>6</m:t>
                      </m:r>
                    </m:sub>
                  </m:sSub>
                  <m:r>
                    <m:rPr>
                      <m:sty m:val="p"/>
                    </m:rPr>
                    <m:t>,</m:t>
                  </m:r>
                  <m:sSub>
                    <m:e>
                      <m:r>
                        <m:t>h</m:t>
                      </m:r>
                    </m:e>
                    <m:sub>
                      <m:r>
                        <m:t>1</m:t>
                      </m:r>
                    </m:sub>
                  </m:sSub>
                  <m:sSub>
                    <m:e>
                      <m:r>
                        <m:t>h</m:t>
                      </m:r>
                    </m:e>
                    <m:sub>
                      <m:r>
                        <m:t>2</m:t>
                      </m:r>
                    </m:sub>
                  </m:sSub>
                  <m:r>
                    <m:rPr>
                      <m:sty m:val="p"/>
                    </m:rPr>
                    <m:t>,</m:t>
                  </m:r>
                  <m:sSub>
                    <m:e>
                      <m:r>
                        <m:t>h</m:t>
                      </m:r>
                    </m:e>
                    <m:sub>
                      <m:r>
                        <m:t>2</m:t>
                      </m:r>
                    </m:sub>
                  </m:sSub>
                  <m:sSub>
                    <m:e>
                      <m:r>
                        <m:t>h</m:t>
                      </m:r>
                    </m:e>
                    <m:sub>
                      <m:r>
                        <m:t>3</m:t>
                      </m:r>
                    </m:sub>
                  </m:sSub>
                  <m:r>
                    <m:rPr>
                      <m:sty m:val="p"/>
                    </m:rPr>
                    <m:t>,</m:t>
                  </m:r>
                  <m:r>
                    <m:rPr>
                      <m:sty m:val="p"/>
                    </m:rPr>
                    <m:t>…</m:t>
                  </m:r>
                  <m:r>
                    <m:rPr>
                      <m:sty m:val="p"/>
                    </m:rPr>
                    <m:t>,</m:t>
                  </m:r>
                  <m:sSub>
                    <m:e>
                      <m:r>
                        <m:t>h</m:t>
                      </m:r>
                    </m:e>
                    <m:sub>
                      <m:r>
                        <m:t>6</m:t>
                      </m:r>
                    </m:sub>
                  </m:sSub>
                  <m:sSub>
                    <m:e>
                      <m:r>
                        <m:t>h</m:t>
                      </m:r>
                    </m:e>
                    <m:sub>
                      <m:r>
                        <m:t>1</m:t>
                      </m:r>
                    </m:sub>
                  </m:sSub>
                </m:e>
              </m:d>
            </m:e>
            <m:sup>
              <m:r>
                <m:rPr>
                  <m:sty m:val="p"/>
                </m:rPr>
                <m:t>⊤</m:t>
              </m:r>
            </m:sup>
          </m:sSup>
          <m:r>
            <m:rPr>
              <m:sty m:val="p"/>
            </m:rPr>
            <m:t>∈</m:t>
          </m:r>
          <m:sSup>
            <m:e>
              <m:r>
                <m:rPr>
                  <m:sty m:val="p"/>
                  <m:scr m:val="double-struck"/>
                </m:rPr>
                <m:t>R</m:t>
              </m:r>
            </m:e>
            <m:sup>
              <m:r>
                <m:t>12</m:t>
              </m:r>
            </m:sup>
          </m:sSup>
          <m:r>
            <m:rPr>
              <m:sty m:val="p"/>
            </m:rPr>
            <m:t>.</m:t>
          </m:r>
        </m:oMath>
      </m:oMathPara>
    </w:p>
    <w:p>
      <w:pPr>
        <w:pStyle w:val="FirstParagraph"/>
      </w:pPr>
      <w:r>
        <w:t xml:space="preserve">Its trainable core count is therefore</w:t>
      </w:r>
    </w:p>
    <w:p>
      <w:pPr>
        <w:pStyle w:val="BodyText"/>
      </w:pPr>
      <m:oMathPara>
        <m:oMathParaPr>
          <m:jc m:val="center"/>
        </m:oMathParaPr>
        <m:oMath>
          <m:sSub>
            <m:e>
              <m:r>
                <m:t>P</m:t>
              </m:r>
            </m:e>
            <m:sub>
              <m:r>
                <m:t>C</m:t>
              </m:r>
            </m:sub>
          </m:sSub>
          <m:r>
            <m:rPr>
              <m:sty m:val="p"/>
            </m:rPr>
            <m:t>=</m:t>
          </m:r>
          <m:r>
            <m:t>6</m:t>
          </m:r>
          <m:r>
            <m:rPr>
              <m:sty m:val="p"/>
            </m:rPr>
            <m:t>×</m:t>
          </m:r>
          <m:r>
            <m:t>6</m:t>
          </m:r>
          <m:r>
            <m:rPr>
              <m:sty m:val="p"/>
            </m:rPr>
            <m:t>+</m:t>
          </m:r>
          <m:r>
            <m:t>6</m:t>
          </m:r>
          <m:r>
            <m:rPr>
              <m:sty m:val="p"/>
            </m:rPr>
            <m:t>×</m:t>
          </m:r>
          <m:r>
            <m:t>6</m:t>
          </m:r>
          <m:r>
            <m:rPr>
              <m:sty m:val="p"/>
            </m:rPr>
            <m:t>=</m:t>
          </m:r>
          <m:r>
            <m:t>72</m:t>
          </m:r>
          <m:r>
            <m:rPr>
              <m:sty m:val="p"/>
            </m:rPr>
            <m:t>=</m:t>
          </m:r>
          <m:sSub>
            <m:e>
              <m:r>
                <m:t>P</m:t>
              </m:r>
            </m:e>
            <m:sub>
              <m:r>
                <m:t>Q</m:t>
              </m:r>
            </m:sub>
          </m:sSub>
          <m:r>
            <m:rPr>
              <m:sty m:val="p"/>
            </m:rPr>
            <m:t>.</m:t>
          </m:r>
        </m:oMath>
      </m:oMathPara>
    </w:p>
    <w:p>
      <w:pPr>
        <w:pStyle w:val="FirstParagraph"/>
      </w:pPr>
      <w:r>
        <w:t xml:space="preserve">Thus the quantum and classical alternatives are matched in core parameter count, input dimensionality, output dimensionality, and conditioner location. They are not claimed to be mathematically identical function classes; indeed, the experiment is designed to test whether their different inductive biases matter.</w:t>
      </w:r>
    </w:p>
    <w:p xmlns:a="http://schemas.openxmlformats.org/drawingml/2006/main" xmlns:pic="http://schemas.openxmlformats.org/drawingml/2006/picture">
      <w:pPr>
        <w:pStyle w:val="CaptionedFigure"/>
      </w:pPr>
      <w:r>
        <w:drawing>
          <wp:inline>
            <wp:extent cx="6020435" cy="3109455"/>
            <wp:effectExtent b="0" l="0" r="0" t="0"/>
            <wp:docPr descr="The quantum and classical alternatives use the same six-dimensional input and twelve-dimensional output interface and have exactly 72 trainable core parameters." title="" id="34" name="Picture"/>
            <a:graphic>
              <a:graphicData uri="http://schemas.openxmlformats.org/drawingml/2006/picture">
                <pic:pic>
                  <pic:nvPicPr>
                    <pic:cNvPr descr="qunet_paper_assets/fig2_matched_core.png" id="35" name="Picture"/>
                    <pic:cNvPicPr>
                      <a:picLocks noChangeArrowheads="1" noChangeAspect="1"/>
                    </pic:cNvPicPr>
                  </pic:nvPicPr>
                  <pic:blipFill>
                    <a:blip r:embed="rId33"/>
                    <a:stretch>
                      <a:fillRect/>
                    </a:stretch>
                  </pic:blipFill>
                  <pic:spPr bwMode="auto">
                    <a:xfrm>
                      <a:off x="0" y="0"/>
                      <a:ext cx="6020435" cy="3109455"/>
                    </a:xfrm>
                    <a:prstGeom prst="rect">
                      <a:avLst/>
                    </a:prstGeom>
                    <a:noFill/>
                    <a:ln w="9525">
                      <a:noFill/>
                      <a:headEnd/>
                      <a:tailEnd/>
                    </a:ln>
                  </pic:spPr>
                </pic:pic>
              </a:graphicData>
            </a:graphic>
          </wp:inline>
        </w:drawing>
      </w:r>
    </w:p>
    <w:p>
      <w:pPr>
        <w:pStyle w:val="ImageCaption"/>
      </w:pPr>
      <w:r>
        <w:t xml:space="preserve">The quantum and classical alternatives use the same six-dimensional input and twelve-dimensional output interface and have exactly 72 trainable core parameters.</w:t>
      </w:r>
    </w:p>
    <w:bookmarkEnd w:id="36"/>
    <w:bookmarkStart w:id="37" w:name="bottleneck-modulation"/>
    <w:p>
      <w:pPr>
        <w:pStyle w:val="Heading3"/>
      </w:pPr>
      <w:r>
        <w:t xml:space="preserve">4.5 Bottleneck modulation</w:t>
      </w:r>
    </w:p>
    <w:p>
      <w:pPr>
        <w:pStyle w:val="FirstParagraph"/>
      </w:pPr>
      <w:r>
        <w:t xml:space="preserve">For either core</w:t>
      </w:r>
      <w:r>
        <w:t xml:space="preserve"> </w:t>
      </w:r>
      <m:oMath>
        <m:r>
          <m:rPr>
            <m:sty m:val="b"/>
          </m:rPr>
          <m:t>z</m:t>
        </m:r>
        <m:r>
          <m:rPr>
            <m:sty m:val="p"/>
          </m:rPr>
          <m:t>∈</m:t>
        </m:r>
        <m:sSup>
          <m:e>
            <m:r>
              <m:rPr>
                <m:sty m:val="p"/>
                <m:scr m:val="double-struck"/>
              </m:rPr>
              <m:t>R</m:t>
            </m:r>
          </m:e>
          <m:sup>
            <m:r>
              <m:t>12</m:t>
            </m:r>
          </m:sup>
        </m:sSup>
      </m:oMath>
      <w:r>
        <w:t xml:space="preserve">, a common output projection produces 256 values. After a</w:t>
      </w:r>
      <w:r>
        <w:t xml:space="preserve"> </w:t>
      </w:r>
      <m:oMath>
        <m:r>
          <m:rPr>
            <m:sty m:val="p"/>
          </m:rPr>
          <m:t>tanh</m:t>
        </m:r>
      </m:oMath>
      <w:r>
        <w:t xml:space="preserve"> </w:t>
      </w:r>
      <w:r>
        <w:t xml:space="preserve">nonlinearity, they are divided into 128 channel-wise scale values</w:t>
      </w:r>
      <w:r>
        <w:t xml:space="preserve"> </w:t>
      </w:r>
      <m:oMath>
        <m:r>
          <m:rPr>
            <m:sty m:val="b"/>
          </m:rPr>
          <m:t>a</m:t>
        </m:r>
      </m:oMath>
      <w:r>
        <w:t xml:space="preserve"> </w:t>
      </w:r>
      <w:r>
        <w:t xml:space="preserve">and 128 bias values</w:t>
      </w:r>
      <w:r>
        <w:t xml:space="preserve"> </w:t>
      </w:r>
      <m:oMath>
        <m:r>
          <m:rPr>
            <m:sty m:val="b"/>
          </m:rPr>
          <m:t>b</m:t>
        </m:r>
      </m:oMath>
      <w:r>
        <w:t xml:space="preserve">. A learned bounded strength</w:t>
      </w:r>
    </w:p>
    <w:p>
      <w:pPr>
        <w:pStyle w:val="BodyText"/>
      </w:pPr>
      <m:oMathPara>
        <m:oMathParaPr>
          <m:jc m:val="center"/>
        </m:oMathParaPr>
        <m:oMath>
          <m:r>
            <m:t>α</m:t>
          </m:r>
          <m:r>
            <m:rPr>
              <m:sty m:val="p"/>
            </m:rPr>
            <m:t>=</m:t>
          </m:r>
          <m:r>
            <m:t>0.25</m:t>
          </m:r>
          <m:r>
            <m:t> </m:t>
          </m:r>
          <m:r>
            <m:t>σ</m:t>
          </m:r>
          <m:d>
            <m:dPr>
              <m:begChr m:val="("/>
              <m:endChr m:val=")"/>
              <m:sepChr m:val=""/>
              <m:grow/>
            </m:dPr>
            <m:e>
              <m:r>
                <m:t>κ</m:t>
              </m:r>
            </m:e>
          </m:d>
        </m:oMath>
      </m:oMathPara>
    </w:p>
    <w:p>
      <w:pPr>
        <w:pStyle w:val="FirstParagraph"/>
      </w:pPr>
      <w:r>
        <w:t xml:space="preserve">controls the modulation. If</w:t>
      </w:r>
      <w:r>
        <w:t xml:space="preserve"> </w:t>
      </w:r>
      <m:oMath>
        <m:sSup>
          <m:e>
            <m:r>
              <m:t>H</m:t>
            </m:r>
          </m:e>
          <m:sup>
            <m:d>
              <m:dPr>
                <m:begChr m:val="("/>
                <m:endChr m:val=")"/>
                <m:sepChr m:val=""/>
                <m:grow/>
              </m:dPr>
              <m:e>
                <m:r>
                  <m:t>b</m:t>
                </m:r>
              </m:e>
            </m:d>
          </m:sup>
        </m:sSup>
      </m:oMath>
      <w:r>
        <w:t xml:space="preserve"> </w:t>
      </w:r>
      <w:r>
        <w:t xml:space="preserve">is the bottleneck tensor, conditioning is</w:t>
      </w:r>
    </w:p>
    <w:p>
      <w:pPr>
        <w:pStyle w:val="BodyText"/>
      </w:pPr>
      <m:oMathPara>
        <m:oMathParaPr>
          <m:jc m:val="center"/>
        </m:oMathParaPr>
        <m:oMath>
          <m:sSubSup>
            <m:e>
              <m:acc>
                <m:accPr>
                  <m:chr m:val="̃"/>
                </m:accPr>
                <m:e>
                  <m:r>
                    <m:t>H</m:t>
                  </m:r>
                </m:e>
              </m:acc>
            </m:e>
            <m:sub>
              <m:r>
                <m:t>c</m:t>
              </m:r>
              <m:r>
                <m:rPr>
                  <m:sty m:val="p"/>
                </m:rPr>
                <m:t>,</m:t>
              </m:r>
              <m:r>
                <m:t>t</m:t>
              </m:r>
              <m:r>
                <m:rPr>
                  <m:sty m:val="p"/>
                </m:rPr>
                <m:t>,</m:t>
              </m:r>
              <m:r>
                <m:t>f</m:t>
              </m:r>
            </m:sub>
            <m:sup>
              <m:d>
                <m:dPr>
                  <m:begChr m:val="("/>
                  <m:endChr m:val=")"/>
                  <m:sepChr m:val=""/>
                  <m:grow/>
                </m:dPr>
                <m:e>
                  <m:r>
                    <m:t>b</m:t>
                  </m:r>
                </m:e>
              </m:d>
            </m:sup>
          </m:sSubSup>
          <m:r>
            <m:rPr>
              <m:sty m:val="p"/>
            </m:rPr>
            <m:t>=</m:t>
          </m:r>
          <m:sSubSup>
            <m:e>
              <m:r>
                <m:t>H</m:t>
              </m:r>
            </m:e>
            <m:sub>
              <m:r>
                <m:t>c</m:t>
              </m:r>
              <m:r>
                <m:rPr>
                  <m:sty m:val="p"/>
                </m:rPr>
                <m:t>,</m:t>
              </m:r>
              <m:r>
                <m:t>t</m:t>
              </m:r>
              <m:r>
                <m:rPr>
                  <m:sty m:val="p"/>
                </m:rPr>
                <m:t>,</m:t>
              </m:r>
              <m:r>
                <m:t>f</m:t>
              </m:r>
            </m:sub>
            <m:sup>
              <m:d>
                <m:dPr>
                  <m:begChr m:val="("/>
                  <m:endChr m:val=")"/>
                  <m:sepChr m:val=""/>
                  <m:grow/>
                </m:dPr>
                <m:e>
                  <m:r>
                    <m:t>b</m:t>
                  </m:r>
                </m:e>
              </m:d>
            </m:sup>
          </m:sSubSup>
          <m:d>
            <m:dPr>
              <m:begChr m:val="("/>
              <m:endChr m:val=")"/>
              <m:sepChr m:val=""/>
              <m:grow/>
            </m:dPr>
            <m:e>
              <m:r>
                <m:t>1</m:t>
              </m:r>
              <m:r>
                <m:rPr>
                  <m:sty m:val="p"/>
                </m:rPr>
                <m:t>+</m:t>
              </m:r>
              <m:r>
                <m:t>α</m:t>
              </m:r>
              <m:sSub>
                <m:e>
                  <m:r>
                    <m:t>a</m:t>
                  </m:r>
                </m:e>
                <m:sub>
                  <m:r>
                    <m:t>c</m:t>
                  </m:r>
                </m:sub>
              </m:sSub>
            </m:e>
          </m:d>
          <m:r>
            <m:rPr>
              <m:sty m:val="p"/>
            </m:rPr>
            <m:t>+</m:t>
          </m:r>
          <m:r>
            <m:t>α</m:t>
          </m:r>
          <m:sSub>
            <m:e>
              <m:r>
                <m:t>b</m:t>
              </m:r>
            </m:e>
            <m:sub>
              <m:r>
                <m:t>c</m:t>
              </m:r>
            </m:sub>
          </m:sSub>
          <m:r>
            <m:rPr>
              <m:sty m:val="p"/>
            </m:rPr>
            <m:t>.</m:t>
          </m:r>
        </m:oMath>
      </m:oMathPara>
    </w:p>
    <w:p>
      <w:pPr>
        <w:pStyle w:val="FirstParagraph"/>
      </w:pPr>
      <w:r>
        <w:t xml:space="preserve">This FiLM-like transformation allows the six-variable global representation to alter the complete bottleneck while keeping the VQC independent of the number of time-frequency locations.</w:t>
      </w:r>
    </w:p>
    <w:bookmarkEnd w:id="37"/>
    <w:bookmarkStart w:id="38" w:name="complex-reconstruction-head"/>
    <w:p>
      <w:pPr>
        <w:pStyle w:val="Heading3"/>
      </w:pPr>
      <w:r>
        <w:t xml:space="preserve">4.6 Complex reconstruction head</w:t>
      </w:r>
    </w:p>
    <w:p>
      <w:pPr>
        <w:pStyle w:val="FirstParagraph"/>
      </w:pPr>
      <w:r>
        <w:t xml:space="preserve">The decoder output predicts four maps</w:t>
      </w:r>
      <w:r>
        <w:t xml:space="preserve"> </w:t>
      </w: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oMath>
      <w:r>
        <w:t xml:space="preserve">. We define</w:t>
      </w:r>
    </w:p>
    <w:p>
      <w:pPr>
        <w:pStyle w:val="BodyText"/>
      </w:pPr>
      <m:oMathPara>
        <m:oMathParaPr>
          <m:jc m:val="center"/>
        </m:oMathParaPr>
        <m:oMath>
          <m:sSub>
            <m:e>
              <m:r>
                <m:t>M</m:t>
              </m:r>
            </m:e>
            <m:sub>
              <m:r>
                <m:t>f</m:t>
              </m:r>
              <m:r>
                <m:rPr>
                  <m:sty m:val="p"/>
                </m:rPr>
                <m:t>,</m:t>
              </m:r>
              <m:r>
                <m:t>k</m:t>
              </m:r>
            </m:sub>
          </m:sSub>
          <m:r>
            <m:rPr>
              <m:sty m:val="p"/>
            </m:rPr>
            <m:t>=</m:t>
          </m:r>
          <m:r>
            <m:t>2</m:t>
          </m:r>
          <m:r>
            <m:t>σ</m:t>
          </m:r>
          <m:d>
            <m:dPr>
              <m:begChr m:val="("/>
              <m:endChr m:val=")"/>
              <m:sepChr m:val=""/>
              <m:grow/>
            </m:dPr>
            <m:e>
              <m:sSub>
                <m:e>
                  <m:r>
                    <m:t>p</m:t>
                  </m:r>
                </m:e>
                <m:sub>
                  <m:r>
                    <m:t>0</m:t>
                  </m:r>
                  <m:r>
                    <m:rPr>
                      <m:sty m:val="p"/>
                    </m:rPr>
                    <m:t>,</m:t>
                  </m:r>
                  <m:r>
                    <m:t>f</m:t>
                  </m:r>
                  <m:r>
                    <m:rPr>
                      <m:sty m:val="p"/>
                    </m:rPr>
                    <m:t>,</m:t>
                  </m:r>
                  <m:r>
                    <m:t>k</m:t>
                  </m:r>
                </m:sub>
              </m:sSub>
            </m:e>
          </m:d>
          <m:r>
            <m:rPr>
              <m:sty m:val="p"/>
            </m:rPr>
            <m:t>,</m:t>
          </m:r>
          <m:r>
            <m:t>  </m:t>
          </m:r>
          <m:r>
            <m:t>Δ</m:t>
          </m:r>
          <m:sSub>
            <m:e>
              <m:r>
                <m:t>ϕ</m:t>
              </m:r>
            </m:e>
            <m:sub>
              <m:r>
                <m:t>f</m:t>
              </m:r>
              <m:r>
                <m:rPr>
                  <m:sty m:val="p"/>
                </m:rPr>
                <m:t>,</m:t>
              </m:r>
              <m:r>
                <m:t>k</m:t>
              </m:r>
            </m:sub>
          </m:sSub>
          <m:r>
            <m:rPr>
              <m:sty m:val="p"/>
            </m:rPr>
            <m:t>=</m:t>
          </m:r>
          <m:r>
            <m:t>0.75</m:t>
          </m:r>
          <m:r>
            <m:rPr>
              <m:sty m:val="p"/>
            </m:rPr>
            <m:t>tanh</m:t>
          </m:r>
          <m:d>
            <m:dPr>
              <m:begChr m:val="("/>
              <m:endChr m:val=")"/>
              <m:sepChr m:val=""/>
              <m:grow/>
            </m:dPr>
            <m:e>
              <m:sSub>
                <m:e>
                  <m:r>
                    <m:t>p</m:t>
                  </m:r>
                </m:e>
                <m:sub>
                  <m:r>
                    <m:t>1</m:t>
                  </m:r>
                  <m:r>
                    <m:rPr>
                      <m:sty m:val="p"/>
                    </m:rPr>
                    <m:t>,</m:t>
                  </m:r>
                  <m:r>
                    <m:t>f</m:t>
                  </m:r>
                  <m:r>
                    <m:rPr>
                      <m:sty m:val="p"/>
                    </m:rPr>
                    <m:t>,</m:t>
                  </m:r>
                  <m:r>
                    <m:t>k</m:t>
                  </m:r>
                </m:sub>
              </m:sSub>
            </m:e>
          </m:d>
          <m:r>
            <m:rPr>
              <m:sty m:val="p"/>
            </m:rPr>
            <m:t>,</m:t>
          </m:r>
        </m:oMath>
      </m:oMathPara>
    </w:p>
    <w:p>
      <w:pPr>
        <w:pStyle w:val="FirstParagraph"/>
      </w:pPr>
      <m:oMathPara>
        <m:oMathParaPr>
          <m:jc m:val="center"/>
        </m:oMathParaPr>
        <m:oMath>
          <m:sSubSup>
            <m:e>
              <m:r>
                <m:t>r</m:t>
              </m:r>
            </m:e>
            <m:sub>
              <m:r>
                <m:t>f</m:t>
              </m:r>
              <m:r>
                <m:rPr>
                  <m:sty m:val="p"/>
                </m:rPr>
                <m:t>,</m:t>
              </m:r>
              <m:r>
                <m:t>k</m:t>
              </m:r>
            </m:sub>
            <m:sup>
              <m:d>
                <m:dPr>
                  <m:begChr m:val="("/>
                  <m:endChr m:val=")"/>
                  <m:sepChr m:val=""/>
                  <m:grow/>
                </m:dPr>
                <m:e>
                  <m:r>
                    <m:t>R</m:t>
                  </m:r>
                </m:e>
              </m:d>
            </m:sup>
          </m:sSubSup>
          <m:r>
            <m:rPr>
              <m:sty m:val="p"/>
            </m:rPr>
            <m:t>=</m:t>
          </m:r>
          <m:r>
            <m:t>0.1</m:t>
          </m:r>
          <m:r>
            <m:rPr>
              <m:sty m:val="p"/>
            </m:rPr>
            <m:t>tanh</m:t>
          </m:r>
          <m:d>
            <m:dPr>
              <m:begChr m:val="("/>
              <m:endChr m:val=")"/>
              <m:sepChr m:val=""/>
              <m:grow/>
            </m:dPr>
            <m:e>
              <m:sSub>
                <m:e>
                  <m:r>
                    <m:t>p</m:t>
                  </m:r>
                </m:e>
                <m:sub>
                  <m:r>
                    <m:t>2</m:t>
                  </m:r>
                  <m:r>
                    <m:rPr>
                      <m:sty m:val="p"/>
                    </m:rPr>
                    <m:t>,</m:t>
                  </m:r>
                  <m:r>
                    <m:t>f</m:t>
                  </m:r>
                  <m:r>
                    <m:rPr>
                      <m:sty m:val="p"/>
                    </m:rPr>
                    <m:t>,</m:t>
                  </m:r>
                  <m:r>
                    <m:t>k</m:t>
                  </m:r>
                </m:sub>
              </m:sSub>
            </m:e>
          </m:d>
          <m:r>
            <m:rPr>
              <m:sty m:val="p"/>
            </m:rPr>
            <m:t>,</m:t>
          </m:r>
          <m:r>
            <m:t>  </m:t>
          </m:r>
          <m:sSubSup>
            <m:e>
              <m:r>
                <m:t>r</m:t>
              </m:r>
            </m:e>
            <m:sub>
              <m:r>
                <m:t>f</m:t>
              </m:r>
              <m:r>
                <m:rPr>
                  <m:sty m:val="p"/>
                </m:rPr>
                <m:t>,</m:t>
              </m:r>
              <m:r>
                <m:t>k</m:t>
              </m:r>
            </m:sub>
            <m:sup>
              <m:d>
                <m:dPr>
                  <m:begChr m:val="("/>
                  <m:endChr m:val=")"/>
                  <m:sepChr m:val=""/>
                  <m:grow/>
                </m:dPr>
                <m:e>
                  <m:r>
                    <m:t>I</m:t>
                  </m:r>
                </m:e>
              </m:d>
            </m:sup>
          </m:sSubSup>
          <m:r>
            <m:rPr>
              <m:sty m:val="p"/>
            </m:rPr>
            <m:t>=</m:t>
          </m:r>
          <m:r>
            <m:t>0.1</m:t>
          </m:r>
          <m:r>
            <m:rPr>
              <m:sty m:val="p"/>
            </m:rPr>
            <m:t>tanh</m:t>
          </m:r>
          <m:d>
            <m:dPr>
              <m:begChr m:val="("/>
              <m:endChr m:val=")"/>
              <m:sepChr m:val=""/>
              <m:grow/>
            </m:dPr>
            <m:e>
              <m:sSub>
                <m:e>
                  <m:r>
                    <m:t>p</m:t>
                  </m:r>
                </m:e>
                <m:sub>
                  <m:r>
                    <m:t>3</m:t>
                  </m:r>
                  <m:r>
                    <m:rPr>
                      <m:sty m:val="p"/>
                    </m:rPr>
                    <m:t>,</m:t>
                  </m:r>
                  <m:r>
                    <m:t>f</m:t>
                  </m:r>
                  <m:r>
                    <m:rPr>
                      <m:sty m:val="p"/>
                    </m:rPr>
                    <m:t>,</m:t>
                  </m:r>
                  <m:r>
                    <m:t>k</m:t>
                  </m:r>
                </m:sub>
              </m:sSub>
            </m:e>
          </m:d>
          <m:r>
            <m:rPr>
              <m:sty m:val="p"/>
            </m:rPr>
            <m:t>.</m:t>
          </m:r>
        </m:oMath>
      </m:oMathPara>
    </w:p>
    <w:p>
      <w:pPr>
        <w:pStyle w:val="FirstParagraph"/>
      </w:pPr>
      <w:r>
        <w:t xml:space="preserve">Using the noisy magnitude and phase, the enhanced complex spectrum is reconstructed as</w:t>
      </w:r>
    </w:p>
    <w:p>
      <w:pPr>
        <w:pStyle w:val="BodyText"/>
      </w:pPr>
      <m:oMathPara>
        <m:oMathParaPr>
          <m:jc m:val="center"/>
        </m:oMathParaPr>
        <m:oMath>
          <m:sSubSup>
            <m:e>
              <m:acc>
                <m:accPr>
                  <m:chr m:val="̂"/>
                </m:accPr>
                <m:e>
                  <m:r>
                    <m:t>S</m:t>
                  </m:r>
                </m:e>
              </m:acc>
            </m:e>
            <m:sub>
              <m:r>
                <m:t>f</m:t>
              </m:r>
              <m:r>
                <m:rPr>
                  <m:sty m:val="p"/>
                </m:rPr>
                <m:t>,</m:t>
              </m:r>
              <m:r>
                <m:t>k</m:t>
              </m:r>
            </m:sub>
            <m:sup>
              <m:d>
                <m:dPr>
                  <m:begChr m:val="("/>
                  <m:endChr m:val=")"/>
                  <m:sepChr m:val=""/>
                  <m:grow/>
                </m:dPr>
                <m:e>
                  <m:r>
                    <m:t>R</m:t>
                  </m:r>
                </m:e>
              </m:d>
            </m:sup>
          </m:sSubSup>
          <m:r>
            <m:rPr>
              <m:sty m:val="p"/>
            </m:rPr>
            <m:t>=</m:t>
          </m:r>
          <m:d>
            <m:dPr>
              <m:begChr m:val="|"/>
              <m:endChr m:val="|"/>
              <m:sepChr m:val=""/>
              <m:grow/>
            </m:dPr>
            <m:e>
              <m:sSub>
                <m:e>
                  <m:r>
                    <m:t>X</m:t>
                  </m:r>
                </m:e>
                <m:sub>
                  <m:r>
                    <m:t>f</m:t>
                  </m:r>
                  <m:r>
                    <m:rPr>
                      <m:sty m:val="p"/>
                    </m:rPr>
                    <m:t>,</m:t>
                  </m:r>
                  <m:r>
                    <m:t>k</m:t>
                  </m:r>
                </m:sub>
              </m:sSub>
            </m:e>
          </m:d>
          <m:sSub>
            <m:e>
              <m:r>
                <m:t>M</m:t>
              </m:r>
            </m:e>
            <m:sub>
              <m:r>
                <m:t>f</m:t>
              </m:r>
              <m:r>
                <m:rPr>
                  <m:sty m:val="p"/>
                </m:rPr>
                <m:t>,</m:t>
              </m:r>
              <m:r>
                <m:t>k</m:t>
              </m:r>
            </m:sub>
          </m:sSub>
          <m:r>
            <m:rPr>
              <m:sty m:val="p"/>
            </m:rPr>
            <m:t>cos</m:t>
          </m:r>
          <m:d>
            <m:dPr>
              <m:begChr m:val="("/>
              <m:endChr m:val=")"/>
              <m:sepChr m:val=""/>
              <m:grow/>
            </m:dPr>
            <m:e>
              <m:sSub>
                <m:e>
                  <m:r>
                    <m:t>ϕ</m:t>
                  </m:r>
                </m:e>
                <m:sub>
                  <m:r>
                    <m:t>f</m:t>
                  </m:r>
                  <m:r>
                    <m:rPr>
                      <m:sty m:val="p"/>
                    </m:rPr>
                    <m:t>,</m:t>
                  </m:r>
                  <m:r>
                    <m:t>k</m:t>
                  </m:r>
                </m:sub>
              </m:sSub>
              <m:r>
                <m:rPr>
                  <m:sty m:val="p"/>
                </m:rPr>
                <m:t>+</m:t>
              </m:r>
              <m:r>
                <m:t>Δ</m:t>
              </m:r>
              <m:sSub>
                <m:e>
                  <m:r>
                    <m:t>ϕ</m:t>
                  </m:r>
                </m:e>
                <m:sub>
                  <m:r>
                    <m:t>f</m:t>
                  </m:r>
                  <m:r>
                    <m:rPr>
                      <m:sty m:val="p"/>
                    </m:rPr>
                    <m:t>,</m:t>
                  </m:r>
                  <m:r>
                    <m:t>k</m:t>
                  </m:r>
                </m:sub>
              </m:sSub>
            </m:e>
          </m:d>
          <m:r>
            <m:rPr>
              <m:sty m:val="p"/>
            </m:rPr>
            <m:t>+</m:t>
          </m:r>
          <m:sSubSup>
            <m:e>
              <m:r>
                <m:t>r</m:t>
              </m:r>
            </m:e>
            <m:sub>
              <m:r>
                <m:t>f</m:t>
              </m:r>
              <m:r>
                <m:rPr>
                  <m:sty m:val="p"/>
                </m:rPr>
                <m:t>,</m:t>
              </m:r>
              <m:r>
                <m:t>k</m:t>
              </m:r>
            </m:sub>
            <m:sup>
              <m:d>
                <m:dPr>
                  <m:begChr m:val="("/>
                  <m:endChr m:val=")"/>
                  <m:sepChr m:val=""/>
                  <m:grow/>
                </m:dPr>
                <m:e>
                  <m:r>
                    <m:t>R</m:t>
                  </m:r>
                </m:e>
              </m:d>
            </m:sup>
          </m:sSubSup>
          <m:d>
            <m:dPr>
              <m:begChr m:val="|"/>
              <m:endChr m:val="|"/>
              <m:sepChr m:val=""/>
              <m:grow/>
            </m:dPr>
            <m:e>
              <m:sSub>
                <m:e>
                  <m:r>
                    <m:t>X</m:t>
                  </m:r>
                </m:e>
                <m:sub>
                  <m:r>
                    <m:t>f</m:t>
                  </m:r>
                  <m:r>
                    <m:rPr>
                      <m:sty m:val="p"/>
                    </m:rPr>
                    <m:t>,</m:t>
                  </m:r>
                  <m:r>
                    <m:t>k</m:t>
                  </m:r>
                </m:sub>
              </m:sSub>
            </m:e>
          </m:d>
          <m:r>
            <m:rPr>
              <m:sty m:val="p"/>
            </m:rPr>
            <m:t>,</m:t>
          </m:r>
        </m:oMath>
      </m:oMathPara>
    </w:p>
    <w:p>
      <w:pPr>
        <w:pStyle w:val="FirstParagraph"/>
      </w:pPr>
      <m:oMathPara>
        <m:oMathParaPr>
          <m:jc m:val="center"/>
        </m:oMathParaPr>
        <m:oMath>
          <m:sSubSup>
            <m:e>
              <m:acc>
                <m:accPr>
                  <m:chr m:val="̂"/>
                </m:accPr>
                <m:e>
                  <m:r>
                    <m:t>S</m:t>
                  </m:r>
                </m:e>
              </m:acc>
            </m:e>
            <m:sub>
              <m:r>
                <m:t>f</m:t>
              </m:r>
              <m:r>
                <m:rPr>
                  <m:sty m:val="p"/>
                </m:rPr>
                <m:t>,</m:t>
              </m:r>
              <m:r>
                <m:t>k</m:t>
              </m:r>
            </m:sub>
            <m:sup>
              <m:d>
                <m:dPr>
                  <m:begChr m:val="("/>
                  <m:endChr m:val=")"/>
                  <m:sepChr m:val=""/>
                  <m:grow/>
                </m:dPr>
                <m:e>
                  <m:r>
                    <m:t>I</m:t>
                  </m:r>
                </m:e>
              </m:d>
            </m:sup>
          </m:sSubSup>
          <m:r>
            <m:rPr>
              <m:sty m:val="p"/>
            </m:rPr>
            <m:t>=</m:t>
          </m:r>
          <m:d>
            <m:dPr>
              <m:begChr m:val="|"/>
              <m:endChr m:val="|"/>
              <m:sepChr m:val=""/>
              <m:grow/>
            </m:dPr>
            <m:e>
              <m:sSub>
                <m:e>
                  <m:r>
                    <m:t>X</m:t>
                  </m:r>
                </m:e>
                <m:sub>
                  <m:r>
                    <m:t>f</m:t>
                  </m:r>
                  <m:r>
                    <m:rPr>
                      <m:sty m:val="p"/>
                    </m:rPr>
                    <m:t>,</m:t>
                  </m:r>
                  <m:r>
                    <m:t>k</m:t>
                  </m:r>
                </m:sub>
              </m:sSub>
            </m:e>
          </m:d>
          <m:sSub>
            <m:e>
              <m:r>
                <m:t>M</m:t>
              </m:r>
            </m:e>
            <m:sub>
              <m:r>
                <m:t>f</m:t>
              </m:r>
              <m:r>
                <m:rPr>
                  <m:sty m:val="p"/>
                </m:rPr>
                <m:t>,</m:t>
              </m:r>
              <m:r>
                <m:t>k</m:t>
              </m:r>
            </m:sub>
          </m:sSub>
          <m:r>
            <m:rPr>
              <m:sty m:val="p"/>
            </m:rPr>
            <m:t>sin</m:t>
          </m:r>
          <m:d>
            <m:dPr>
              <m:begChr m:val="("/>
              <m:endChr m:val=")"/>
              <m:sepChr m:val=""/>
              <m:grow/>
            </m:dPr>
            <m:e>
              <m:sSub>
                <m:e>
                  <m:r>
                    <m:t>ϕ</m:t>
                  </m:r>
                </m:e>
                <m:sub>
                  <m:r>
                    <m:t>f</m:t>
                  </m:r>
                  <m:r>
                    <m:rPr>
                      <m:sty m:val="p"/>
                    </m:rPr>
                    <m:t>,</m:t>
                  </m:r>
                  <m:r>
                    <m:t>k</m:t>
                  </m:r>
                </m:sub>
              </m:sSub>
              <m:r>
                <m:rPr>
                  <m:sty m:val="p"/>
                </m:rPr>
                <m:t>+</m:t>
              </m:r>
              <m:r>
                <m:t>Δ</m:t>
              </m:r>
              <m:sSub>
                <m:e>
                  <m:r>
                    <m:t>ϕ</m:t>
                  </m:r>
                </m:e>
                <m:sub>
                  <m:r>
                    <m:t>f</m:t>
                  </m:r>
                  <m:r>
                    <m:rPr>
                      <m:sty m:val="p"/>
                    </m:rPr>
                    <m:t>,</m:t>
                  </m:r>
                  <m:r>
                    <m:t>k</m:t>
                  </m:r>
                </m:sub>
              </m:sSub>
            </m:e>
          </m:d>
          <m:r>
            <m:rPr>
              <m:sty m:val="p"/>
            </m:rPr>
            <m:t>+</m:t>
          </m:r>
          <m:sSubSup>
            <m:e>
              <m:r>
                <m:t>r</m:t>
              </m:r>
            </m:e>
            <m:sub>
              <m:r>
                <m:t>f</m:t>
              </m:r>
              <m:r>
                <m:rPr>
                  <m:sty m:val="p"/>
                </m:rPr>
                <m:t>,</m:t>
              </m:r>
              <m:r>
                <m:t>k</m:t>
              </m:r>
            </m:sub>
            <m:sup>
              <m:d>
                <m:dPr>
                  <m:begChr m:val="("/>
                  <m:endChr m:val=")"/>
                  <m:sepChr m:val=""/>
                  <m:grow/>
                </m:dPr>
                <m:e>
                  <m:r>
                    <m:t>I</m:t>
                  </m:r>
                </m:e>
              </m:d>
            </m:sup>
          </m:sSubSup>
          <m:d>
            <m:dPr>
              <m:begChr m:val="|"/>
              <m:endChr m:val="|"/>
              <m:sepChr m:val=""/>
              <m:grow/>
            </m:dPr>
            <m:e>
              <m:sSub>
                <m:e>
                  <m:r>
                    <m:t>X</m:t>
                  </m:r>
                </m:e>
                <m:sub>
                  <m:r>
                    <m:t>f</m:t>
                  </m:r>
                  <m:r>
                    <m:rPr>
                      <m:sty m:val="p"/>
                    </m:rPr>
                    <m:t>,</m:t>
                  </m:r>
                  <m:r>
                    <m:t>k</m:t>
                  </m:r>
                </m:sub>
              </m:sSub>
            </m:e>
          </m:d>
          <m:r>
            <m:rPr>
              <m:sty m:val="p"/>
            </m:rPr>
            <m:t>.</m:t>
          </m:r>
        </m:oMath>
      </m:oMathPara>
    </w:p>
    <w:p>
      <w:pPr>
        <w:pStyle w:val="FirstParagraph"/>
      </w:pPr>
      <w:r>
        <w:t xml:space="preserve">The enhanced waveform is obtained by inverse STFT. This head gives the network three complementary mechanisms: magnitude suppression/amplification, bounded phase correction, and small Cartesian residual refinement.</w:t>
      </w:r>
    </w:p>
    <w:bookmarkEnd w:id="38"/>
    <w:bookmarkEnd w:id="39"/>
    <w:bookmarkStart w:id="45" w:name="training-objective"/>
    <w:p>
      <w:pPr>
        <w:pStyle w:val="Heading2"/>
      </w:pPr>
      <w:r>
        <w:t xml:space="preserve">5. Training Objective</w:t>
      </w:r>
    </w:p>
    <w:p>
      <w:pPr>
        <w:pStyle w:val="FirstParagraph"/>
      </w:pPr>
      <w:r>
        <w:t xml:space="preserve">The model is trained with a weighted sum of five losses,</w:t>
      </w:r>
    </w:p>
    <w:p>
      <w:pPr>
        <w:pStyle w:val="BodyText"/>
      </w:pPr>
      <m:oMathPara>
        <m:oMathParaPr>
          <m:jc m:val="center"/>
        </m:oMathParaPr>
        <m:oMath>
          <m:r>
            <m:rPr>
              <m:sty m:val="p"/>
              <m:scr m:val="script"/>
            </m:rPr>
            <m:t>L</m:t>
          </m:r>
          <m:r>
            <m:rPr>
              <m:sty m:val="p"/>
            </m:rPr>
            <m:t>=</m:t>
          </m:r>
          <m:r>
            <m:t>0.30</m:t>
          </m:r>
          <m:sSub>
            <m:e>
              <m:r>
                <m:rPr>
                  <m:sty m:val="p"/>
                  <m:scr m:val="script"/>
                </m:rPr>
                <m:t>L</m:t>
              </m:r>
            </m:e>
            <m:sub>
              <m:r>
                <m:t>R</m:t>
              </m:r>
              <m:r>
                <m:t>I</m:t>
              </m:r>
            </m:sub>
          </m:sSub>
          <m:r>
            <m:rPr>
              <m:sty m:val="p"/>
            </m:rPr>
            <m:t>+</m:t>
          </m:r>
          <m:r>
            <m:t>0.20</m:t>
          </m:r>
          <m:sSub>
            <m:e>
              <m:r>
                <m:rPr>
                  <m:sty m:val="p"/>
                  <m:scr m:val="script"/>
                </m:rPr>
                <m:t>L</m:t>
              </m:r>
            </m:e>
            <m:sub>
              <m:r>
                <m:t>m</m:t>
              </m:r>
              <m:r>
                <m:t>a</m:t>
              </m:r>
              <m:r>
                <m:t>g</m:t>
              </m:r>
            </m:sub>
          </m:sSub>
          <m:r>
            <m:rPr>
              <m:sty m:val="p"/>
            </m:rPr>
            <m:t>+</m:t>
          </m:r>
          <m:r>
            <m:t>0.05</m:t>
          </m:r>
          <m:sSub>
            <m:e>
              <m:r>
                <m:rPr>
                  <m:sty m:val="p"/>
                  <m:scr m:val="script"/>
                </m:rPr>
                <m:t>L</m:t>
              </m:r>
            </m:e>
            <m:sub>
              <m:r>
                <m:t>p</m:t>
              </m:r>
              <m:r>
                <m:t>h</m:t>
              </m:r>
              <m:r>
                <m:t>a</m:t>
              </m:r>
              <m:r>
                <m:t>s</m:t>
              </m:r>
              <m:r>
                <m:t>e</m:t>
              </m:r>
            </m:sub>
          </m:sSub>
          <m:r>
            <m:rPr>
              <m:sty m:val="p"/>
            </m:rPr>
            <m:t>+</m:t>
          </m:r>
          <m:r>
            <m:t>0.20</m:t>
          </m:r>
          <m:sSub>
            <m:e>
              <m:r>
                <m:rPr>
                  <m:sty m:val="p"/>
                  <m:scr m:val="script"/>
                </m:rPr>
                <m:t>L</m:t>
              </m:r>
            </m:e>
            <m:sub>
              <m:r>
                <m:t>M</m:t>
              </m:r>
              <m:r>
                <m:t>R</m:t>
              </m:r>
              <m:r>
                <m:t>S</m:t>
              </m:r>
              <m:r>
                <m:t>T</m:t>
              </m:r>
              <m:r>
                <m:t>F</m:t>
              </m:r>
              <m:r>
                <m:t>T</m:t>
              </m:r>
            </m:sub>
          </m:sSub>
          <m:r>
            <m:rPr>
              <m:sty m:val="p"/>
            </m:rPr>
            <m:t>+</m:t>
          </m:r>
          <m:r>
            <m:t>0.25</m:t>
          </m:r>
          <m:sSub>
            <m:e>
              <m:r>
                <m:rPr>
                  <m:sty m:val="p"/>
                  <m:scr m:val="script"/>
                </m:rPr>
                <m:t>L</m:t>
              </m:r>
            </m:e>
            <m:sub>
              <m:r>
                <m:t>S</m:t>
              </m:r>
              <m:r>
                <m:t>I</m:t>
              </m:r>
              <m:r>
                <m:rPr>
                  <m:nor/>
                  <m:sty m:val="p"/>
                </m:rPr>
                <m:t>-</m:t>
              </m:r>
              <m:r>
                <m:t>S</m:t>
              </m:r>
              <m:r>
                <m:t>D</m:t>
              </m:r>
              <m:r>
                <m:t>R</m:t>
              </m:r>
            </m:sub>
          </m:sSub>
          <m:r>
            <m:rPr>
              <m:sty m:val="p"/>
            </m:rPr>
            <m:t>.</m:t>
          </m:r>
        </m:oMath>
      </m:oMathPara>
    </w:p>
    <w:bookmarkStart w:id="40" w:name="real-imaginary-and-magnitude-losses"/>
    <w:p>
      <w:pPr>
        <w:pStyle w:val="Heading3"/>
      </w:pPr>
      <w:r>
        <w:t xml:space="preserve">5.1 Real-imaginary and magnitude losses</w:t>
      </w:r>
    </w:p>
    <w:p>
      <w:pPr>
        <w:pStyle w:val="FirstParagraph"/>
      </w:pPr>
      <w:r>
        <w:t xml:space="preserve">The real-imaginary term applies Smooth-</w:t>
      </w:r>
      <m:oMath>
        <m:sSub>
          <m:e>
            <m:r>
              <m:t>L</m:t>
            </m:r>
          </m:e>
          <m:sub>
            <m:r>
              <m:t>1</m:t>
            </m:r>
          </m:sub>
        </m:sSub>
      </m:oMath>
      <w:r>
        <w:t xml:space="preserve"> </w:t>
      </w:r>
      <w:r>
        <w:t xml:space="preserve">loss to the estimated and clean Cartesian spectra,</w:t>
      </w:r>
    </w:p>
    <w:p>
      <w:pPr>
        <w:pStyle w:val="BodyText"/>
      </w:pPr>
      <m:oMathPara>
        <m:oMathParaPr>
          <m:jc m:val="center"/>
        </m:oMathParaPr>
        <m:oMath>
          <m:sSub>
            <m:e>
              <m:r>
                <m:rPr>
                  <m:sty m:val="p"/>
                  <m:scr m:val="script"/>
                </m:rPr>
                <m:t>L</m:t>
              </m:r>
            </m:e>
            <m:sub>
              <m:r>
                <m:t>R</m:t>
              </m:r>
              <m:r>
                <m:t>I</m:t>
              </m:r>
            </m:sub>
          </m:sSub>
          <m:r>
            <m:rPr>
              <m:sty m:val="p"/>
            </m:rPr>
            <m:t>=</m:t>
          </m:r>
          <m:r>
            <m:rPr>
              <m:sty m:val="p"/>
            </m:rPr>
            <m:t>SL1</m:t>
          </m:r>
          <m:d>
            <m:dPr>
              <m:begChr m:val="("/>
              <m:endChr m:val=")"/>
              <m:sepChr m:val=""/>
              <m:grow/>
            </m:dPr>
            <m:e>
              <m:sSup>
                <m:e>
                  <m:acc>
                    <m:accPr>
                      <m:chr m:val="̂"/>
                    </m:accPr>
                    <m:e>
                      <m:r>
                        <m:t>S</m:t>
                      </m:r>
                    </m:e>
                  </m:acc>
                </m:e>
                <m:sup>
                  <m:d>
                    <m:dPr>
                      <m:begChr m:val="("/>
                      <m:endChr m:val=")"/>
                      <m:sepChr m:val=""/>
                      <m:grow/>
                    </m:dPr>
                    <m:e>
                      <m:r>
                        <m:t>R</m:t>
                      </m:r>
                    </m:e>
                  </m:d>
                </m:sup>
              </m:sSup>
              <m:r>
                <m:rPr>
                  <m:sty m:val="p"/>
                </m:rPr>
                <m:t>,</m:t>
              </m:r>
              <m:sSup>
                <m:e>
                  <m:r>
                    <m:t>S</m:t>
                  </m:r>
                </m:e>
                <m:sup>
                  <m:d>
                    <m:dPr>
                      <m:begChr m:val="("/>
                      <m:endChr m:val=")"/>
                      <m:sepChr m:val=""/>
                      <m:grow/>
                    </m:dPr>
                    <m:e>
                      <m:r>
                        <m:t>R</m:t>
                      </m:r>
                    </m:e>
                  </m:d>
                </m:sup>
              </m:sSup>
            </m:e>
          </m:d>
          <m:r>
            <m:rPr>
              <m:sty m:val="p"/>
            </m:rPr>
            <m:t>+</m:t>
          </m:r>
          <m:r>
            <m:rPr>
              <m:sty m:val="p"/>
            </m:rPr>
            <m:t>SL1</m:t>
          </m:r>
          <m:d>
            <m:dPr>
              <m:begChr m:val="("/>
              <m:endChr m:val=")"/>
              <m:sepChr m:val=""/>
              <m:grow/>
            </m:dPr>
            <m:e>
              <m:sSup>
                <m:e>
                  <m:acc>
                    <m:accPr>
                      <m:chr m:val="̂"/>
                    </m:accPr>
                    <m:e>
                      <m:r>
                        <m:t>S</m:t>
                      </m:r>
                    </m:e>
                  </m:acc>
                </m:e>
                <m:sup>
                  <m:d>
                    <m:dPr>
                      <m:begChr m:val="("/>
                      <m:endChr m:val=")"/>
                      <m:sepChr m:val=""/>
                      <m:grow/>
                    </m:dPr>
                    <m:e>
                      <m:r>
                        <m:t>I</m:t>
                      </m:r>
                    </m:e>
                  </m:d>
                </m:sup>
              </m:sSup>
              <m:r>
                <m:rPr>
                  <m:sty m:val="p"/>
                </m:rPr>
                <m:t>,</m:t>
              </m:r>
              <m:sSup>
                <m:e>
                  <m:r>
                    <m:t>S</m:t>
                  </m:r>
                </m:e>
                <m:sup>
                  <m:d>
                    <m:dPr>
                      <m:begChr m:val="("/>
                      <m:endChr m:val=")"/>
                      <m:sepChr m:val=""/>
                      <m:grow/>
                    </m:dPr>
                    <m:e>
                      <m:r>
                        <m:t>I</m:t>
                      </m:r>
                    </m:e>
                  </m:d>
                </m:sup>
              </m:sSup>
            </m:e>
          </m:d>
          <m:r>
            <m:rPr>
              <m:sty m:val="p"/>
            </m:rPr>
            <m:t>.</m:t>
          </m:r>
        </m:oMath>
      </m:oMathPara>
    </w:p>
    <w:p>
      <w:pPr>
        <w:pStyle w:val="FirstParagraph"/>
      </w:pPr>
      <w:r>
        <w:t xml:space="preserve">The magnitude term is</w:t>
      </w:r>
    </w:p>
    <w:p>
      <w:pPr>
        <w:pStyle w:val="BodyText"/>
      </w:pPr>
      <m:oMathPara>
        <m:oMathParaPr>
          <m:jc m:val="center"/>
        </m:oMathParaPr>
        <m:oMath>
          <m:sSub>
            <m:e>
              <m:r>
                <m:rPr>
                  <m:sty m:val="p"/>
                  <m:scr m:val="script"/>
                </m:rPr>
                <m:t>L</m:t>
              </m:r>
            </m:e>
            <m:sub>
              <m:r>
                <m:t>m</m:t>
              </m:r>
              <m:r>
                <m:t>a</m:t>
              </m:r>
              <m:r>
                <m:t>g</m:t>
              </m:r>
            </m:sub>
          </m:sSub>
          <m:r>
            <m:rPr>
              <m:sty m:val="p"/>
            </m:rPr>
            <m:t>=</m:t>
          </m:r>
          <m:r>
            <m:rPr>
              <m:sty m:val="p"/>
            </m:rPr>
            <m:t>SL1</m:t>
          </m:r>
          <m:d>
            <m:dPr>
              <m:begChr m:val="("/>
              <m:endChr m:val=")"/>
              <m:sepChr m:val=""/>
              <m:grow/>
            </m:dPr>
            <m:e>
              <m:d>
                <m:dPr>
                  <m:begChr m:val="|"/>
                  <m:endChr m:val="|"/>
                  <m:sepChr m:val=""/>
                  <m:grow/>
                </m:dPr>
                <m:e>
                  <m:acc>
                    <m:accPr>
                      <m:chr m:val="̂"/>
                    </m:accPr>
                    <m:e>
                      <m:r>
                        <m:t>S</m:t>
                      </m:r>
                    </m:e>
                  </m:acc>
                </m:e>
              </m:d>
              <m:r>
                <m:rPr>
                  <m:sty m:val="p"/>
                </m:rPr>
                <m:t>,</m:t>
              </m:r>
              <m:d>
                <m:dPr>
                  <m:begChr m:val="|"/>
                  <m:endChr m:val="|"/>
                  <m:sepChr m:val=""/>
                  <m:grow/>
                </m:dPr>
                <m:e>
                  <m:r>
                    <m:t>S</m:t>
                  </m:r>
                </m:e>
              </m:d>
            </m:e>
          </m:d>
          <m:r>
            <m:rPr>
              <m:sty m:val="p"/>
            </m:rPr>
            <m:t>.</m:t>
          </m:r>
        </m:oMath>
      </m:oMathPara>
    </w:p>
    <w:bookmarkEnd w:id="40"/>
    <w:bookmarkStart w:id="41" w:name="magnitude-weighted-phase-loss"/>
    <w:p>
      <w:pPr>
        <w:pStyle w:val="Heading3"/>
      </w:pPr>
      <w:r>
        <w:t xml:space="preserve">5.2 Magnitude-weighted phase loss</w:t>
      </w:r>
    </w:p>
    <w:p>
      <w:pPr>
        <w:pStyle w:val="FirstParagraph"/>
      </w:pPr>
      <w:r>
        <w:t xml:space="preserve">For phase error</w:t>
      </w:r>
      <w:r>
        <w:t xml:space="preserve"> </w:t>
      </w:r>
      <m:oMath>
        <m:sSub>
          <m:e>
            <m:r>
              <m:t>Δ</m:t>
            </m:r>
          </m:e>
          <m:sub>
            <m:r>
              <m:t>f</m:t>
            </m:r>
            <m:r>
              <m:rPr>
                <m:sty m:val="p"/>
              </m:rPr>
              <m:t>,</m:t>
            </m:r>
            <m:r>
              <m:t>k</m:t>
            </m:r>
          </m:sub>
        </m:sSub>
        <m:r>
          <m:rPr>
            <m:sty m:val="p"/>
          </m:rPr>
          <m:t>=</m:t>
        </m:r>
        <m:r>
          <m:rPr>
            <m:sty m:val="p"/>
          </m:rPr>
          <m:t>∠</m:t>
        </m:r>
        <m:sSub>
          <m:e>
            <m:acc>
              <m:accPr>
                <m:chr m:val="̂"/>
              </m:accPr>
              <m:e>
                <m:r>
                  <m:t>S</m:t>
                </m:r>
              </m:e>
            </m:acc>
          </m:e>
          <m:sub>
            <m:r>
              <m:t>f</m:t>
            </m:r>
            <m:r>
              <m:rPr>
                <m:sty m:val="p"/>
              </m:rPr>
              <m:t>,</m:t>
            </m:r>
            <m:r>
              <m:t>k</m:t>
            </m:r>
          </m:sub>
        </m:sSub>
        <m:r>
          <m:rPr>
            <m:sty m:val="p"/>
          </m:rPr>
          <m:t>−</m:t>
        </m:r>
        <m:r>
          <m:rPr>
            <m:sty m:val="p"/>
          </m:rPr>
          <m:t>∠</m:t>
        </m:r>
        <m:sSub>
          <m:e>
            <m:r>
              <m:t>S</m:t>
            </m:r>
          </m:e>
          <m:sub>
            <m:r>
              <m:t>f</m:t>
            </m:r>
            <m:r>
              <m:rPr>
                <m:sty m:val="p"/>
              </m:rPr>
              <m:t>,</m:t>
            </m:r>
            <m:r>
              <m:t>k</m:t>
            </m:r>
          </m:sub>
        </m:sSub>
      </m:oMath>
      <w:r>
        <w:t xml:space="preserve">, the phase loss is</w:t>
      </w:r>
    </w:p>
    <w:p>
      <w:pPr>
        <w:pStyle w:val="BodyText"/>
      </w:pPr>
      <m:oMathPara>
        <m:oMathParaPr>
          <m:jc m:val="center"/>
        </m:oMathParaPr>
        <m:oMath>
          <m:sSub>
            <m:e>
              <m:r>
                <m:rPr>
                  <m:sty m:val="p"/>
                  <m:scr m:val="script"/>
                </m:rPr>
                <m:t>L</m:t>
              </m:r>
            </m:e>
            <m:sub>
              <m:r>
                <m:t>p</m:t>
              </m:r>
              <m:r>
                <m:t>h</m:t>
              </m:r>
              <m:r>
                <m:t>a</m:t>
              </m:r>
              <m:r>
                <m:t>s</m:t>
              </m:r>
              <m:r>
                <m:t>e</m:t>
              </m:r>
            </m:sub>
          </m:sSub>
          <m:r>
            <m:rPr>
              <m:sty m:val="p"/>
            </m:rPr>
            <m:t>=</m:t>
          </m:r>
          <m:f>
            <m:fPr>
              <m:type m:val="bar"/>
            </m:fPr>
            <m:num>
              <m:r>
                <m:t>1</m:t>
              </m:r>
            </m:num>
            <m:den>
              <m:r>
                <m:t>T</m:t>
              </m:r>
              <m:r>
                <m:t>F</m:t>
              </m:r>
            </m:den>
          </m:f>
          <m:nary>
            <m:naryPr>
              <m:chr m:val="∑"/>
              <m:limLoc m:val="undOvr"/>
              <m:subHide m:val="off"/>
              <m:supHide m:val="on"/>
            </m:naryPr>
            <m:sub>
              <m:r>
                <m:t>f</m:t>
              </m:r>
              <m:r>
                <m:rPr>
                  <m:sty m:val="p"/>
                </m:rPr>
                <m:t>,</m:t>
              </m:r>
              <m:r>
                <m:t>k</m:t>
              </m:r>
            </m:sub>
            <m:sup>
              <m:r>
                <m:t>​</m:t>
              </m:r>
            </m:sup>
            <m:e>
              <m:sSub>
                <m:e>
                  <m:r>
                    <m:t>w</m:t>
                  </m:r>
                </m:e>
                <m:sub>
                  <m:r>
                    <m:t>f</m:t>
                  </m:r>
                  <m:r>
                    <m:rPr>
                      <m:sty m:val="p"/>
                    </m:rPr>
                    <m:t>,</m:t>
                  </m:r>
                  <m:r>
                    <m:t>k</m:t>
                  </m:r>
                </m:sub>
              </m:sSub>
            </m:e>
          </m:nary>
          <m:d>
            <m:dPr>
              <m:begChr m:val="["/>
              <m:endChr m:val="]"/>
              <m:sepChr m:val=""/>
              <m:grow/>
            </m:dPr>
            <m:e>
              <m:r>
                <m:t>1</m:t>
              </m:r>
              <m:r>
                <m:rPr>
                  <m:sty m:val="p"/>
                </m:rPr>
                <m:t>−</m:t>
              </m:r>
              <m:r>
                <m:rPr>
                  <m:sty m:val="p"/>
                </m:rPr>
                <m:t>cos</m:t>
              </m:r>
              <m:d>
                <m:dPr>
                  <m:begChr m:val="("/>
                  <m:endChr m:val=")"/>
                  <m:sepChr m:val=""/>
                  <m:grow/>
                </m:dPr>
                <m:e>
                  <m:sSub>
                    <m:e>
                      <m:r>
                        <m:t>Δ</m:t>
                      </m:r>
                    </m:e>
                    <m:sub>
                      <m:r>
                        <m:t>f</m:t>
                      </m:r>
                      <m:r>
                        <m:rPr>
                          <m:sty m:val="p"/>
                        </m:rPr>
                        <m:t>,</m:t>
                      </m:r>
                      <m:r>
                        <m:t>k</m:t>
                      </m:r>
                    </m:sub>
                  </m:sSub>
                </m:e>
              </m:d>
            </m:e>
          </m:d>
          <m:r>
            <m:rPr>
              <m:sty m:val="p"/>
            </m:rPr>
            <m:t>,</m:t>
          </m:r>
        </m:oMath>
      </m:oMathPara>
    </w:p>
    <w:p>
      <w:pPr>
        <w:pStyle w:val="FirstParagraph"/>
      </w:pPr>
      <w:r>
        <w:t xml:space="preserve">where the clean-magnitude weight is normalized by the utterance mean and clipped to</w:t>
      </w:r>
      <w:r>
        <w:t xml:space="preserve"> </w:t>
      </w:r>
      <m:oMath>
        <m:d>
          <m:dPr>
            <m:begChr m:val="["/>
            <m:endChr m:val="]"/>
            <m:sepChr m:val=""/>
            <m:grow/>
          </m:dPr>
          <m:e>
            <m:r>
              <m:t>0</m:t>
            </m:r>
            <m:r>
              <m:rPr>
                <m:sty m:val="p"/>
              </m:rPr>
              <m:t>,</m:t>
            </m:r>
            <m:r>
              <m:t>2</m:t>
            </m:r>
          </m:e>
        </m:d>
      </m:oMath>
      <w:r>
        <w:t xml:space="preserve">. This emphasizes phase accuracy in energetic regions without allowing very large bins to dominate.</w:t>
      </w:r>
    </w:p>
    <w:bookmarkEnd w:id="41"/>
    <w:bookmarkStart w:id="42" w:name="multi-resolution-stft-loss"/>
    <w:p>
      <w:pPr>
        <w:pStyle w:val="Heading3"/>
      </w:pPr>
      <w:r>
        <w:t xml:space="preserve">5.3 Multi-resolution STFT loss</w:t>
      </w:r>
    </w:p>
    <w:p>
      <w:pPr>
        <w:pStyle w:val="FirstParagraph"/>
      </w:pPr>
      <w:r>
        <w:t xml:space="preserve">Three STFT resolutions are used:</w:t>
      </w:r>
      <w:r>
        <w:t xml:space="preserve"> </w:t>
      </w:r>
      <m:oMath>
        <m:d>
          <m:dPr>
            <m:begChr m:val="("/>
            <m:endChr m:val=")"/>
            <m:sepChr m:val=""/>
            <m:grow/>
          </m:dPr>
          <m:e>
            <m:r>
              <m:t>N</m:t>
            </m:r>
            <m:r>
              <m:rPr>
                <m:sty m:val="p"/>
              </m:rPr>
              <m:t>,</m:t>
            </m:r>
            <m:r>
              <m:t>H</m:t>
            </m:r>
          </m:e>
        </m:d>
        <m:r>
          <m:rPr>
            <m:sty m:val="p"/>
          </m:rPr>
          <m:t>∈</m:t>
        </m:r>
        <m:r>
          <m:rPr>
            <m:sty m:val="p"/>
          </m:rPr>
          <m:t>{</m:t>
        </m:r>
        <m:d>
          <m:dPr>
            <m:begChr m:val="("/>
            <m:endChr m:val=")"/>
            <m:sepChr m:val=""/>
            <m:grow/>
          </m:dPr>
          <m:e>
            <m:r>
              <m:t>256</m:t>
            </m:r>
            <m:r>
              <m:rPr>
                <m:sty m:val="p"/>
              </m:rPr>
              <m:t>,</m:t>
            </m:r>
            <m:r>
              <m:t>64</m:t>
            </m:r>
          </m:e>
        </m:d>
        <m:r>
          <m:rPr>
            <m:sty m:val="p"/>
          </m:rPr>
          <m:t>,</m:t>
        </m:r>
        <m:d>
          <m:dPr>
            <m:begChr m:val="("/>
            <m:endChr m:val=")"/>
            <m:sepChr m:val=""/>
            <m:grow/>
          </m:dPr>
          <m:e>
            <m:r>
              <m:t>512</m:t>
            </m:r>
            <m:r>
              <m:rPr>
                <m:sty m:val="p"/>
              </m:rPr>
              <m:t>,</m:t>
            </m:r>
            <m:r>
              <m:t>128</m:t>
            </m:r>
          </m:e>
        </m:d>
        <m:r>
          <m:rPr>
            <m:sty m:val="p"/>
          </m:rPr>
          <m:t>,</m:t>
        </m:r>
        <m:d>
          <m:dPr>
            <m:begChr m:val="("/>
            <m:endChr m:val=")"/>
            <m:sepChr m:val=""/>
            <m:grow/>
          </m:dPr>
          <m:e>
            <m:r>
              <m:t>1024</m:t>
            </m:r>
            <m:r>
              <m:rPr>
                <m:sty m:val="p"/>
              </m:rPr>
              <m:t>,</m:t>
            </m:r>
            <m:r>
              <m:t>256</m:t>
            </m:r>
          </m:e>
        </m:d>
        <m:r>
          <m:rPr>
            <m:sty m:val="p"/>
          </m:rPr>
          <m:t>}</m:t>
        </m:r>
      </m:oMath>
      <w:r>
        <w:t xml:space="preserve">. For each resolution</w:t>
      </w:r>
      <w:r>
        <w:t xml:space="preserve"> </w:t>
      </w:r>
      <m:oMath>
        <m:r>
          <m:t>r</m:t>
        </m:r>
      </m:oMath>
      <w:r>
        <w:t xml:space="preserve">, the spectral convergence term is</w:t>
      </w:r>
    </w:p>
    <w:p>
      <w:pPr>
        <w:pStyle w:val="BodyText"/>
      </w:pPr>
      <m:oMathPara>
        <m:oMathParaPr>
          <m:jc m:val="center"/>
        </m:oMathParaPr>
        <m:oMath>
          <m:sSubSup>
            <m:e>
              <m:r>
                <m:rPr>
                  <m:sty m:val="p"/>
                  <m:scr m:val="script"/>
                </m:rPr>
                <m:t>L</m:t>
              </m:r>
            </m:e>
            <m:sub>
              <m:r>
                <m:t>s</m:t>
              </m:r>
              <m:r>
                <m:t>c</m:t>
              </m:r>
            </m:sub>
            <m:sup>
              <m:d>
                <m:dPr>
                  <m:begChr m:val="("/>
                  <m:endChr m:val=")"/>
                  <m:sepChr m:val=""/>
                  <m:grow/>
                </m:dPr>
                <m:e>
                  <m:r>
                    <m:t>r</m:t>
                  </m:r>
                </m:e>
              </m:d>
            </m:sup>
          </m:sSubSup>
          <m:r>
            <m:rPr>
              <m:sty m:val="p"/>
            </m:rPr>
            <m:t>=</m:t>
          </m:r>
          <m:f>
            <m:fPr>
              <m:type m:val="bar"/>
            </m:fPr>
            <m:num>
              <m:r>
                <m:rPr>
                  <m:sty m:val="p"/>
                </m:rPr>
                <m:t>∥</m:t>
              </m:r>
              <m:d>
                <m:dPr>
                  <m:begChr m:val="|"/>
                  <m:endChr m:val="|"/>
                  <m:sepChr m:val=""/>
                  <m:grow/>
                </m:dPr>
                <m:e>
                  <m:sSub>
                    <m:e>
                      <m:acc>
                        <m:accPr>
                          <m:chr m:val="̂"/>
                        </m:accPr>
                        <m:e>
                          <m:r>
                            <m:t>S</m:t>
                          </m:r>
                        </m:e>
                      </m:acc>
                    </m:e>
                    <m:sub>
                      <m:r>
                        <m:t>r</m:t>
                      </m:r>
                    </m:sub>
                  </m:sSub>
                </m:e>
              </m:d>
              <m:r>
                <m:rPr>
                  <m:sty m:val="p"/>
                </m:rPr>
                <m:t>−</m:t>
              </m:r>
              <m:d>
                <m:dPr>
                  <m:begChr m:val="|"/>
                  <m:endChr m:val="|"/>
                  <m:sepChr m:val=""/>
                  <m:grow/>
                </m:dPr>
                <m:e>
                  <m:sSub>
                    <m:e>
                      <m:r>
                        <m:t>S</m:t>
                      </m:r>
                    </m:e>
                    <m:sub>
                      <m:r>
                        <m:t>r</m:t>
                      </m:r>
                    </m:sub>
                  </m:sSub>
                </m:e>
              </m:d>
              <m:sSub>
                <m:e>
                  <m:r>
                    <m:rPr>
                      <m:sty m:val="p"/>
                    </m:rPr>
                    <m:t>∥</m:t>
                  </m:r>
                </m:e>
                <m:sub>
                  <m:r>
                    <m:t>F</m:t>
                  </m:r>
                </m:sub>
              </m:sSub>
            </m:num>
            <m:den>
              <m:r>
                <m:rPr>
                  <m:sty m:val="p"/>
                </m:rPr>
                <m:t>∥</m:t>
              </m:r>
              <m:d>
                <m:dPr>
                  <m:begChr m:val="|"/>
                  <m:endChr m:val="|"/>
                  <m:sepChr m:val=""/>
                  <m:grow/>
                </m:dPr>
                <m:e>
                  <m:sSub>
                    <m:e>
                      <m:r>
                        <m:t>S</m:t>
                      </m:r>
                    </m:e>
                    <m:sub>
                      <m:r>
                        <m:t>r</m:t>
                      </m:r>
                    </m:sub>
                  </m:sSub>
                </m:e>
              </m:d>
              <m:sSub>
                <m:e>
                  <m:r>
                    <m:rPr>
                      <m:sty m:val="p"/>
                    </m:rPr>
                    <m:t>∥</m:t>
                  </m:r>
                </m:e>
                <m:sub>
                  <m:r>
                    <m:t>F</m:t>
                  </m:r>
                </m:sub>
              </m:sSub>
              <m:r>
                <m:rPr>
                  <m:sty m:val="p"/>
                </m:rPr>
                <m:t>+</m:t>
              </m:r>
              <m:r>
                <m:t>ϵ</m:t>
              </m:r>
            </m:den>
          </m:f>
          <m:r>
            <m:rPr>
              <m:sty m:val="p"/>
            </m:rPr>
            <m:t>,</m:t>
          </m:r>
        </m:oMath>
      </m:oMathPara>
    </w:p>
    <w:p>
      <w:pPr>
        <w:pStyle w:val="FirstParagraph"/>
      </w:pPr>
      <w:r>
        <w:t xml:space="preserve">and the log-magnitude term is</w:t>
      </w:r>
    </w:p>
    <w:p>
      <w:pPr>
        <w:pStyle w:val="BodyText"/>
      </w:pPr>
      <m:oMathPara>
        <m:oMathParaPr>
          <m:jc m:val="center"/>
        </m:oMathParaPr>
        <m:oMath>
          <m:sSubSup>
            <m:e>
              <m:r>
                <m:rPr>
                  <m:sty m:val="p"/>
                  <m:scr m:val="script"/>
                </m:rPr>
                <m:t>L</m:t>
              </m:r>
            </m:e>
            <m:sub>
              <m:r>
                <m:t>l</m:t>
              </m:r>
              <m:r>
                <m:t>o</m:t>
              </m:r>
              <m:r>
                <m:t>g</m:t>
              </m:r>
            </m:sub>
            <m:sup>
              <m:d>
                <m:dPr>
                  <m:begChr m:val="("/>
                  <m:endChr m:val=")"/>
                  <m:sepChr m:val=""/>
                  <m:grow/>
                </m:dPr>
                <m:e>
                  <m:r>
                    <m:t>r</m:t>
                  </m:r>
                </m:e>
              </m:d>
            </m:sup>
          </m:sSubSup>
          <m:r>
            <m:rPr>
              <m:sty m:val="p"/>
            </m:rPr>
            <m:t>=</m:t>
          </m:r>
          <m:f>
            <m:fPr>
              <m:type m:val="bar"/>
            </m:fPr>
            <m:num>
              <m:r>
                <m:t>1</m:t>
              </m:r>
            </m:num>
            <m:den>
              <m:r>
                <m:t>T</m:t>
              </m:r>
              <m:r>
                <m:t>F</m:t>
              </m:r>
            </m:den>
          </m:f>
          <m:r>
            <m:rPr>
              <m:sty m:val="p"/>
            </m:rPr>
            <m:t>∥</m:t>
          </m:r>
          <m:r>
            <m:rPr>
              <m:sty m:val="p"/>
            </m:rPr>
            <m:t>log</m:t>
          </m:r>
          <m:d>
            <m:dPr>
              <m:begChr m:val="("/>
              <m:endChr m:val=")"/>
              <m:sepChr m:val=""/>
              <m:grow/>
            </m:dPr>
            <m:e>
              <m:d>
                <m:dPr>
                  <m:begChr m:val="|"/>
                  <m:endChr m:val="|"/>
                  <m:sepChr m:val=""/>
                  <m:grow/>
                </m:dPr>
                <m:e>
                  <m:sSub>
                    <m:e>
                      <m:acc>
                        <m:accPr>
                          <m:chr m:val="̂"/>
                        </m:accPr>
                        <m:e>
                          <m:r>
                            <m:t>S</m:t>
                          </m:r>
                        </m:e>
                      </m:acc>
                    </m:e>
                    <m:sub>
                      <m:r>
                        <m:t>r</m:t>
                      </m:r>
                    </m:sub>
                  </m:sSub>
                </m:e>
              </m:d>
              <m:r>
                <m:rPr>
                  <m:sty m:val="p"/>
                </m:rPr>
                <m:t>+</m:t>
              </m:r>
              <m:r>
                <m:t>ϵ</m:t>
              </m:r>
            </m:e>
          </m:d>
          <m:r>
            <m:rPr>
              <m:sty m:val="p"/>
            </m:rPr>
            <m:t>−</m:t>
          </m:r>
          <m:r>
            <m:rPr>
              <m:sty m:val="p"/>
            </m:rPr>
            <m:t>log</m:t>
          </m:r>
          <m:d>
            <m:dPr>
              <m:begChr m:val="("/>
              <m:endChr m:val=")"/>
              <m:sepChr m:val=""/>
              <m:grow/>
            </m:dPr>
            <m:e>
              <m:d>
                <m:dPr>
                  <m:begChr m:val="|"/>
                  <m:endChr m:val="|"/>
                  <m:sepChr m:val=""/>
                  <m:grow/>
                </m:dPr>
                <m:e>
                  <m:sSub>
                    <m:e>
                      <m:r>
                        <m:t>S</m:t>
                      </m:r>
                    </m:e>
                    <m:sub>
                      <m:r>
                        <m:t>r</m:t>
                      </m:r>
                    </m:sub>
                  </m:sSub>
                </m:e>
              </m:d>
              <m:r>
                <m:rPr>
                  <m:sty m:val="p"/>
                </m:rPr>
                <m:t>+</m:t>
              </m:r>
              <m:r>
                <m:t>ϵ</m:t>
              </m:r>
            </m:e>
          </m:d>
          <m:sSub>
            <m:e>
              <m:r>
                <m:rPr>
                  <m:sty m:val="p"/>
                </m:rPr>
                <m:t>∥</m:t>
              </m:r>
            </m:e>
            <m:sub>
              <m:r>
                <m:t>1</m:t>
              </m:r>
            </m:sub>
          </m:sSub>
          <m:r>
            <m:rPr>
              <m:sty m:val="p"/>
            </m:rPr>
            <m:t>.</m:t>
          </m:r>
        </m:oMath>
      </m:oMathPara>
    </w:p>
    <w:p>
      <w:pPr>
        <w:pStyle w:val="FirstParagraph"/>
      </w:pPr>
      <w:r>
        <w:t xml:space="preserve">We average</w:t>
      </w:r>
      <w:r>
        <w:t xml:space="preserve"> </w:t>
      </w:r>
      <m:oMath>
        <m:sSubSup>
          <m:e>
            <m:r>
              <m:rPr>
                <m:sty m:val="p"/>
                <m:scr m:val="script"/>
              </m:rPr>
              <m:t>L</m:t>
            </m:r>
          </m:e>
          <m:sub>
            <m:r>
              <m:t>s</m:t>
            </m:r>
            <m:r>
              <m:t>c</m:t>
            </m:r>
          </m:sub>
          <m:sup>
            <m:d>
              <m:dPr>
                <m:begChr m:val="("/>
                <m:endChr m:val=")"/>
                <m:sepChr m:val=""/>
                <m:grow/>
              </m:dPr>
              <m:e>
                <m:r>
                  <m:t>r</m:t>
                </m:r>
              </m:e>
            </m:d>
          </m:sup>
        </m:sSubSup>
        <m:r>
          <m:rPr>
            <m:sty m:val="p"/>
          </m:rPr>
          <m:t>+</m:t>
        </m:r>
        <m:sSubSup>
          <m:e>
            <m:r>
              <m:rPr>
                <m:sty m:val="p"/>
                <m:scr m:val="script"/>
              </m:rPr>
              <m:t>L</m:t>
            </m:r>
          </m:e>
          <m:sub>
            <m:r>
              <m:t>l</m:t>
            </m:r>
            <m:r>
              <m:t>o</m:t>
            </m:r>
            <m:r>
              <m:t>g</m:t>
            </m:r>
          </m:sub>
          <m:sup>
            <m:d>
              <m:dPr>
                <m:begChr m:val="("/>
                <m:endChr m:val=")"/>
                <m:sepChr m:val=""/>
                <m:grow/>
              </m:dPr>
              <m:e>
                <m:r>
                  <m:t>r</m:t>
                </m:r>
              </m:e>
            </m:d>
          </m:sup>
        </m:sSubSup>
      </m:oMath>
      <w:r>
        <w:t xml:space="preserve"> </w:t>
      </w:r>
      <w:r>
        <w:t xml:space="preserve">over the three resolutions.</w:t>
      </w:r>
    </w:p>
    <w:bookmarkEnd w:id="42"/>
    <w:bookmarkStart w:id="43" w:name="si-sdr-loss"/>
    <w:p>
      <w:pPr>
        <w:pStyle w:val="Heading3"/>
      </w:pPr>
      <w:r>
        <w:t xml:space="preserve">5.4 SI-SDR loss</w:t>
      </w:r>
    </w:p>
    <w:p>
      <w:pPr>
        <w:pStyle w:val="FirstParagraph"/>
      </w:pPr>
      <w:r>
        <w:t xml:space="preserve">After mean centering, let</w:t>
      </w:r>
    </w:p>
    <w:p>
      <w:pPr>
        <w:pStyle w:val="BodyText"/>
      </w:pPr>
      <m:oMathPara>
        <m:oMathParaPr>
          <m:jc m:val="center"/>
        </m:oMathParaPr>
        <m:oMath>
          <m:sSub>
            <m:e>
              <m:r>
                <m:t>s</m:t>
              </m:r>
            </m:e>
            <m:sub>
              <m:r>
                <m:t>t</m:t>
              </m:r>
              <m:r>
                <m:t>a</m:t>
              </m:r>
              <m:r>
                <m:t>r</m:t>
              </m:r>
              <m:r>
                <m:t>g</m:t>
              </m:r>
              <m:r>
                <m:t>e</m:t>
              </m:r>
              <m:r>
                <m:t>t</m:t>
              </m:r>
            </m:sub>
          </m:sSub>
          <m:r>
            <m:rPr>
              <m:sty m:val="p"/>
            </m:rPr>
            <m:t>=</m:t>
          </m:r>
          <m:f>
            <m:fPr>
              <m:type m:val="bar"/>
            </m:fPr>
            <m:num>
              <m:r>
                <m:rPr>
                  <m:sty m:val="p"/>
                </m:rPr>
                <m:t>⟨</m:t>
              </m:r>
              <m:acc>
                <m:accPr>
                  <m:chr m:val="̂"/>
                </m:accPr>
                <m:e>
                  <m:r>
                    <m:t>s</m:t>
                  </m:r>
                </m:e>
              </m:acc>
              <m:r>
                <m:rPr>
                  <m:sty m:val="p"/>
                </m:rPr>
                <m:t>,</m:t>
              </m:r>
              <m:r>
                <m:t>s</m:t>
              </m:r>
              <m:r>
                <m:rPr>
                  <m:sty m:val="p"/>
                </m:rPr>
                <m:t>⟩</m:t>
              </m:r>
            </m:num>
            <m:den>
              <m:r>
                <m:rPr>
                  <m:sty m:val="p"/>
                </m:rPr>
                <m:t>∥</m:t>
              </m:r>
              <m:r>
                <m:t>s</m:t>
              </m:r>
              <m:sSubSup>
                <m:e>
                  <m:r>
                    <m:rPr>
                      <m:sty m:val="p"/>
                    </m:rPr>
                    <m:t>∥</m:t>
                  </m:r>
                </m:e>
                <m:sub>
                  <m:r>
                    <m:t>2</m:t>
                  </m:r>
                </m:sub>
                <m:sup>
                  <m:r>
                    <m:t>2</m:t>
                  </m:r>
                </m:sup>
              </m:sSubSup>
              <m:r>
                <m:rPr>
                  <m:sty m:val="p"/>
                </m:rPr>
                <m:t>+</m:t>
              </m:r>
              <m:r>
                <m:t>ϵ</m:t>
              </m:r>
            </m:den>
          </m:f>
          <m:r>
            <m:t>s</m:t>
          </m:r>
          <m:r>
            <m:rPr>
              <m:sty m:val="p"/>
            </m:rPr>
            <m:t>,</m:t>
          </m:r>
          <m:r>
            <m:t>  </m:t>
          </m:r>
          <m:r>
            <m:t>e</m:t>
          </m:r>
          <m:r>
            <m:rPr>
              <m:sty m:val="p"/>
            </m:rPr>
            <m:t>=</m:t>
          </m:r>
          <m:acc>
            <m:accPr>
              <m:chr m:val="̂"/>
            </m:accPr>
            <m:e>
              <m:r>
                <m:t>s</m:t>
              </m:r>
            </m:e>
          </m:acc>
          <m:r>
            <m:rPr>
              <m:sty m:val="p"/>
            </m:rPr>
            <m:t>−</m:t>
          </m:r>
          <m:sSub>
            <m:e>
              <m:r>
                <m:t>s</m:t>
              </m:r>
            </m:e>
            <m:sub>
              <m:r>
                <m:t>t</m:t>
              </m:r>
              <m:r>
                <m:t>a</m:t>
              </m:r>
              <m:r>
                <m:t>r</m:t>
              </m:r>
              <m:r>
                <m:t>g</m:t>
              </m:r>
              <m:r>
                <m:t>e</m:t>
              </m:r>
              <m:r>
                <m:t>t</m:t>
              </m:r>
            </m:sub>
          </m:sSub>
          <m:r>
            <m:rPr>
              <m:sty m:val="p"/>
            </m:rPr>
            <m:t>.</m:t>
          </m:r>
        </m:oMath>
      </m:oMathPara>
    </w:p>
    <w:p>
      <w:pPr>
        <w:pStyle w:val="FirstParagraph"/>
      </w:pPr>
      <w:r>
        <w:t xml:space="preserve">Then</w:t>
      </w:r>
    </w:p>
    <w:p>
      <w:pPr>
        <w:pStyle w:val="BodyText"/>
      </w:pPr>
      <m:oMathPara>
        <m:oMathParaPr>
          <m:jc m:val="center"/>
        </m:oMathParaPr>
        <m:oMath>
          <m:r>
            <m:rPr>
              <m:sty m:val="p"/>
            </m:rPr>
            <m:t>SI-SDR</m:t>
          </m:r>
          <m:r>
            <m:rPr>
              <m:sty m:val="p"/>
            </m:rPr>
            <m:t>=</m:t>
          </m:r>
          <m:r>
            <m:t>10</m:t>
          </m:r>
          <m:sSub>
            <m:e>
              <m:r>
                <m:rPr>
                  <m:sty m:val="p"/>
                </m:rPr>
                <m:t>log</m:t>
              </m:r>
            </m:e>
            <m:sub>
              <m:r>
                <m:t>10</m:t>
              </m:r>
            </m:sub>
          </m:sSub>
          <m:f>
            <m:fPr>
              <m:type m:val="bar"/>
            </m:fPr>
            <m:num>
              <m:r>
                <m:rPr>
                  <m:sty m:val="p"/>
                </m:rPr>
                <m:t>∥</m:t>
              </m:r>
              <m:sSub>
                <m:e>
                  <m:r>
                    <m:t>s</m:t>
                  </m:r>
                </m:e>
                <m:sub>
                  <m:r>
                    <m:t>t</m:t>
                  </m:r>
                  <m:r>
                    <m:t>a</m:t>
                  </m:r>
                  <m:r>
                    <m:t>r</m:t>
                  </m:r>
                  <m:r>
                    <m:t>g</m:t>
                  </m:r>
                  <m:r>
                    <m:t>e</m:t>
                  </m:r>
                  <m:r>
                    <m:t>t</m:t>
                  </m:r>
                </m:sub>
              </m:sSub>
              <m:sSubSup>
                <m:e>
                  <m:r>
                    <m:rPr>
                      <m:sty m:val="p"/>
                    </m:rPr>
                    <m:t>∥</m:t>
                  </m:r>
                </m:e>
                <m:sub>
                  <m:r>
                    <m:t>2</m:t>
                  </m:r>
                </m:sub>
                <m:sup>
                  <m:r>
                    <m:t>2</m:t>
                  </m:r>
                </m:sup>
              </m:sSubSup>
              <m:r>
                <m:rPr>
                  <m:sty m:val="p"/>
                </m:rPr>
                <m:t>+</m:t>
              </m:r>
              <m:r>
                <m:t>ϵ</m:t>
              </m:r>
            </m:num>
            <m:den>
              <m:r>
                <m:rPr>
                  <m:sty m:val="p"/>
                </m:rPr>
                <m:t>∥</m:t>
              </m:r>
              <m:r>
                <m:t>e</m:t>
              </m:r>
              <m:sSubSup>
                <m:e>
                  <m:r>
                    <m:rPr>
                      <m:sty m:val="p"/>
                    </m:rPr>
                    <m:t>∥</m:t>
                  </m:r>
                </m:e>
                <m:sub>
                  <m:r>
                    <m:t>2</m:t>
                  </m:r>
                </m:sub>
                <m:sup>
                  <m:r>
                    <m:t>2</m:t>
                  </m:r>
                </m:sup>
              </m:sSubSup>
              <m:r>
                <m:rPr>
                  <m:sty m:val="p"/>
                </m:rPr>
                <m:t>+</m:t>
              </m:r>
              <m:r>
                <m:t>ϵ</m:t>
              </m:r>
            </m:den>
          </m:f>
          <m:r>
            <m:rPr>
              <m:sty m:val="p"/>
            </m:rPr>
            <m:t>,</m:t>
          </m:r>
          <m:r>
            <m:t>  </m:t>
          </m:r>
          <m:sSub>
            <m:e>
              <m:r>
                <m:rPr>
                  <m:sty m:val="p"/>
                  <m:scr m:val="script"/>
                </m:rPr>
                <m:t>L</m:t>
              </m:r>
            </m:e>
            <m:sub>
              <m:r>
                <m:t>S</m:t>
              </m:r>
              <m:r>
                <m:t>I</m:t>
              </m:r>
              <m:r>
                <m:rPr>
                  <m:nor/>
                  <m:sty m:val="p"/>
                </m:rPr>
                <m:t>-</m:t>
              </m:r>
              <m:r>
                <m:t>S</m:t>
              </m:r>
              <m:r>
                <m:t>D</m:t>
              </m:r>
              <m:r>
                <m:t>R</m:t>
              </m:r>
            </m:sub>
          </m:sSub>
          <m:r>
            <m:rPr>
              <m:sty m:val="p"/>
            </m:rPr>
            <m:t>=</m:t>
          </m:r>
          <m:r>
            <m:rPr>
              <m:sty m:val="p"/>
            </m:rPr>
            <m:t>−</m:t>
          </m:r>
          <m:r>
            <m:rPr>
              <m:sty m:val="p"/>
            </m:rPr>
            <m:t>SI-SDR</m:t>
          </m:r>
          <m:r>
            <m:rPr>
              <m:sty m:val="p"/>
            </m:rPr>
            <m:t>.</m:t>
          </m:r>
        </m:oMath>
      </m:oMathPara>
    </w:p>
    <w:p>
      <w:pPr>
        <w:pStyle w:val="FirstParagraph"/>
      </w:pPr>
      <w:r>
        <w:t xml:space="preserve">SI-SDR follows the scale-invariant formulation advocated for speech separation/enhancement evaluation [18].</w:t>
      </w:r>
    </w:p>
    <w:bookmarkEnd w:id="43"/>
    <w:bookmarkStart w:id="44" w:name="low-snr-importance-weighting"/>
    <w:p>
      <w:pPr>
        <w:pStyle w:val="Heading3"/>
      </w:pPr>
      <w:r>
        <w:t xml:space="preserve">5.5 Low-SNR importance weighting</w:t>
      </w:r>
    </w:p>
    <w:p>
      <w:pPr>
        <w:pStyle w:val="FirstParagraph"/>
      </w:pPr>
      <w:r>
        <w:t xml:space="preserve">To prevent the many easy high-SNR examples from dominating optimization, per-sample losses are multiplied by fixed weights: 1.50 at -5 dB, 1.30 at 0 dB, 1.15 at 5 dB, and 1.00 at 10, 15, and 20 dB. Sampling is additionally balanced by inverse SNR frequency in the training manifest. The weighting is identical for all three variants.</w:t>
      </w:r>
    </w:p>
    <w:bookmarkEnd w:id="44"/>
    <w:bookmarkEnd w:id="45"/>
    <w:bookmarkStart w:id="53" w:name="experimental-methodology"/>
    <w:p>
      <w:pPr>
        <w:pStyle w:val="Heading2"/>
      </w:pPr>
      <w:r>
        <w:t xml:space="preserve">6. Experimental Methodology</w:t>
      </w:r>
    </w:p>
    <w:bookmarkStart w:id="46" w:name="data-construction"/>
    <w:p>
      <w:pPr>
        <w:pStyle w:val="Heading3"/>
      </w:pPr>
      <w:r>
        <w:t xml:space="preserve">6.1 Data construction</w:t>
      </w:r>
    </w:p>
    <w:p>
      <w:pPr>
        <w:pStyle w:val="FirstParagraph"/>
      </w:pPr>
      <w:r>
        <w:t xml:space="preserve">A controlled mixture corpus was generated from clean VCTK speech [19] and environmental recordings from ESC-50 [20]. Audio was resampled to 16 kHz. The generated corpus contains 23 clean speakers and eleven selected environmental noise categories: rain, wind, sea waves, crackling fire, helicopter, train, engine, vacuum cleaner, washing machine, clock tick, and siren. Mixtures were created at SNRs</w:t>
      </w:r>
      <w:r>
        <w:t xml:space="preserve"> </w:t>
      </w:r>
      <m:oMath>
        <m:r>
          <m:rPr>
            <m:sty m:val="p"/>
          </m:rPr>
          <m:t>{</m:t>
        </m:r>
        <m:r>
          <m:rPr>
            <m:sty m:val="p"/>
          </m:rPr>
          <m:t>−</m:t>
        </m:r>
        <m:r>
          <m:t>5</m:t>
        </m:r>
        <m:r>
          <m:rPr>
            <m:sty m:val="p"/>
          </m:rPr>
          <m:t>,</m:t>
        </m:r>
        <m:r>
          <m:t>0</m:t>
        </m:r>
        <m:r>
          <m:rPr>
            <m:sty m:val="p"/>
          </m:rPr>
          <m:t>,</m:t>
        </m:r>
        <m:r>
          <m:t>5</m:t>
        </m:r>
        <m:r>
          <m:rPr>
            <m:sty m:val="p"/>
          </m:rPr>
          <m:t>,</m:t>
        </m:r>
        <m:r>
          <m:t>10</m:t>
        </m:r>
        <m:r>
          <m:rPr>
            <m:sty m:val="p"/>
          </m:rPr>
          <m:t>,</m:t>
        </m:r>
        <m:r>
          <m:t>15</m:t>
        </m:r>
        <m:r>
          <m:rPr>
            <m:sty m:val="p"/>
          </m:rPr>
          <m:t>,</m:t>
        </m:r>
        <m:r>
          <m:t>20</m:t>
        </m:r>
        <m:r>
          <m:rPr>
            <m:sty m:val="p"/>
          </m:rPr>
          <m:t>}</m:t>
        </m:r>
      </m:oMath>
      <w:r>
        <w:t xml:space="preserve"> </w:t>
      </w:r>
      <w:r>
        <w:t xml:space="preserve">dB.</w:t>
      </w:r>
    </w:p>
    <w:p>
      <w:pPr>
        <w:pStyle w:val="BodyText"/>
      </w:pPr>
      <w:r>
        <w:t xml:space="preserve">Clean and noise files were peak normalized before mixing and received small random gains. Noise was then scaled to the target SNR using the power-normalization rule above; if the mixture exceeded the peak limit, the noisy and paired clean signals were jointly rescaled. Each training example was cropped or padded to 8 s. Training crops were deterministic functions of seed, stage, epoch, and sample identifier; validation crops used a center rule. Additional training-only augmentation consisted of a uniform gain in</w:t>
      </w:r>
      <w:r>
        <w:t xml:space="preserve"> </w:t>
      </w:r>
      <m:oMath>
        <m:d>
          <m:dPr>
            <m:begChr m:val="["/>
            <m:endChr m:val="]"/>
            <m:sepChr m:val=""/>
            <m:grow/>
          </m:dPr>
          <m:e>
            <m:r>
              <m:t>0.8</m:t>
            </m:r>
            <m:r>
              <m:rPr>
                <m:sty m:val="p"/>
              </m:rPr>
              <m:t>,</m:t>
            </m:r>
            <m:r>
              <m:t>1.2</m:t>
            </m:r>
          </m:e>
        </m:d>
      </m:oMath>
      <w:r>
        <w:t xml:space="preserve"> </w:t>
      </w:r>
      <w:r>
        <w:t xml:space="preserve">and random polarity.</w:t>
      </w:r>
    </w:p>
    <w:p>
      <w:pPr>
        <w:keepNext/>
        <w:spacing w:before="100" w:after="60"/>
        <w:jc w:val="center"/>
      </w:pPr>
      <w:r>
        <w:rPr>
          <w:rFonts w:ascii="Times New Roman" w:hAnsi="Times New Roman"/>
          <w:b/>
          <w:bCs/>
          <w:sz w:val="17"/>
        </w:rPr>
        <w:t xml:space="preserve">Table 1. Fixed mixture corpus used in the present study.</w:t>
      </w:r>
    </w:p>
    <w:tbl>
      <w:tblPr>
        <w:tblStyle w:val="TableGrid"/>
        <w:tblW w:type="dxa" w:w="9072"/>
        <w:jc w:val="center"/>
        <w:tblLayout w:type="fixed"/>
        <w:tblLook w:firstRow="1" w:lastRow="0" w:firstColumn="0" w:lastColumn="0" w:noHBand="0" w:noVBand="0" w:val="0020"/>
      </w:tblPr>
      <w:tblGrid>
        <w:gridCol w:w="1584"/>
        <w:gridCol w:w="1368"/>
        <w:gridCol w:w="2160"/>
        <w:gridCol w:w="2015"/>
        <w:gridCol w:w="1944"/>
      </w:tblGrid>
      <w:tr>
        <w:trPr>
          <w:tblHeader w:val="on"/>
          <w:cantSplit/>
          <w:tblHeader w:val="true"/>
        </w:trPr>
        <w:tc>
          <w:tcPr>
            <w:tcW w:type="dxa" w:w="158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Split</w:t>
            </w:r>
          </w:p>
        </w:tc>
        <w:tc>
          <w:tcPr>
            <w:tcW w:type="dxa" w:w="1368"/>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Mixtures</w:t>
            </w:r>
          </w:p>
        </w:tc>
        <w:tc>
          <w:tcPr>
            <w:tcW w:type="dxa" w:w="216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Speakers represented</w:t>
            </w:r>
          </w:p>
        </w:tc>
        <w:tc>
          <w:tcPr>
            <w:tcW w:type="dxa" w:w="2015"/>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Noise categories</w:t>
            </w:r>
          </w:p>
        </w:tc>
        <w:tc>
          <w:tcPr>
            <w:tcW w:type="dxa" w:w="194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Approx. duration</w:t>
            </w:r>
          </w:p>
        </w:tc>
      </w:tr>
      <w:tr>
        <w:trPr>
          <w:cantSplit/>
        </w:trPr>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Train</w:t>
            </w:r>
          </w:p>
        </w:tc>
        <w:tc>
          <w:tcPr>
            <w:tcW w:type="dxa" w:w="136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15,000</w:t>
            </w:r>
          </w:p>
        </w:tc>
        <w:tc>
          <w:tcPr>
            <w:tcW w:type="dxa" w:w="21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23</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11</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5"/>
              </w:rPr>
              <w:t xml:space="preserve">11.37 h</w:t>
            </w:r>
          </w:p>
        </w:tc>
      </w:tr>
      <w:tr>
        <w:trPr>
          <w:cantSplit/>
        </w:trPr>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Validation</w:t>
            </w:r>
          </w:p>
        </w:tc>
        <w:tc>
          <w:tcPr>
            <w:tcW w:type="dxa" w:w="136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2,000</w:t>
            </w:r>
          </w:p>
        </w:tc>
        <w:tc>
          <w:tcPr>
            <w:tcW w:type="dxa" w:w="21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23</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11</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5"/>
              </w:rPr>
              <w:t xml:space="preserve">1.52 h</w:t>
            </w:r>
          </w:p>
        </w:tc>
      </w:tr>
      <w:tr>
        <w:trPr>
          <w:cantSplit/>
        </w:trPr>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Locked test</w:t>
            </w:r>
          </w:p>
        </w:tc>
        <w:tc>
          <w:tcPr>
            <w:tcW w:type="dxa" w:w="136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2,000</w:t>
            </w:r>
          </w:p>
        </w:tc>
        <w:tc>
          <w:tcPr>
            <w:tcW w:type="dxa" w:w="21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23</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11</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5"/>
              </w:rPr>
              <w:t xml:space="preserve">1.53 h</w:t>
            </w:r>
          </w:p>
        </w:tc>
      </w:tr>
    </w:tbl>
    <w:p>
      <w:pPr>
        <w:pStyle w:val="BodyText"/>
      </w:pPr>
      <w:r>
        <w:t xml:space="preserve">An automated split audit found</w:t>
      </w:r>
      <w:r>
        <w:t xml:space="preserve"> </w:t>
      </w:r>
      <w:r>
        <w:rPr>
          <w:b/>
          <w:bCs/>
        </w:rPr>
        <w:t xml:space="preserve">zero sample-ID, clean-file-path, or noisy-file-path overlap</w:t>
      </w:r>
      <w:r>
        <w:t xml:space="preserve"> </w:t>
      </w:r>
      <w:r>
        <w:t xml:space="preserve">between train, validation, and test. However, all 23 speaker identities and all 11 noise-category labels occur in every split. The present benchmark is therefore file-disjoint but</w:t>
      </w:r>
      <w:r>
        <w:t xml:space="preserve"> </w:t>
      </w:r>
      <w:r>
        <w:rPr>
          <w:b/>
          <w:bCs/>
        </w:rPr>
        <w:t xml:space="preserve">not speaker-independent and not an unseen-noise-category test</w:t>
      </w:r>
      <w:r>
        <w:t xml:space="preserve">. We report this explicitly because it limits claims about out-of-distribution generalization.</w:t>
      </w:r>
    </w:p>
    <w:bookmarkEnd w:id="46"/>
    <w:bookmarkStart w:id="47" w:name="Xb769b32bf9b92212c47a55d1a52dc02ec4dc23d"/>
    <w:p>
      <w:pPr>
        <w:pStyle w:val="Heading3"/>
      </w:pPr>
      <w:r>
        <w:t xml:space="preserve">6.2 Signal processing and architecture settings</w:t>
      </w:r>
    </w:p>
    <w:p>
      <w:pPr>
        <w:pStyle w:val="FirstParagraph"/>
      </w:pPr>
      <w:r>
        <w:t xml:space="preserve">The analysis STFT uses a 320-sample (20 ms) window, 160-sample (10 ms) hop, and 320-point FFT. An 8 s segment therefore produces 161 positive-frequency bins and approximately 801 frames. The encoder channel sequence is 32/64/96/128, with two blocks per scale. The bottleneck contains three dilated blocks. The selected conditioner uses six qubits, depth four, ring entanglement, data re-uploading, and bottleneck-only modulation.</w:t>
      </w:r>
    </w:p>
    <w:p>
      <w:pPr>
        <w:keepNext/>
        <w:spacing w:before="100" w:after="60"/>
        <w:jc w:val="center"/>
      </w:pPr>
      <w:r>
        <w:rPr>
          <w:rFonts w:ascii="Times New Roman" w:hAnsi="Times New Roman"/>
          <w:b/>
          <w:bCs/>
          <w:sz w:val="17"/>
        </w:rPr>
        <w:t xml:space="preserve">Table 2. Frozen hyperparameters.</w:t>
      </w:r>
    </w:p>
    <w:tbl>
      <w:tblPr>
        <w:tblStyle w:val="TableGrid"/>
        <w:tblW w:type="dxa" w:w="9360"/>
        <w:jc w:val="center"/>
        <w:tblLayout w:type="fixed"/>
        <w:tblLook w:firstRow="1" w:lastRow="0" w:firstColumn="0" w:lastColumn="0" w:noHBand="0" w:noVBand="0" w:val="0020"/>
      </w:tblPr>
      <w:tblGrid>
        <w:gridCol w:w="2951"/>
        <w:gridCol w:w="6408"/>
      </w:tblGrid>
      <w:tr>
        <w:trPr>
          <w:tblHeader w:val="on"/>
          <w:cantSplit/>
          <w:tblHeader w:val="true"/>
        </w:trPr>
        <w:tc>
          <w:tcPr>
            <w:tcW w:type="dxa" w:w="2951"/>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Component</w:t>
            </w:r>
          </w:p>
        </w:tc>
        <w:tc>
          <w:tcPr>
            <w:tcW w:type="dxa" w:w="6408"/>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Setting</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Sampling rate</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16 kHz</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Training segment</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8 s</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STFT</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FFT 320, window 320, hop 160</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Batch size</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8</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Encoder channels</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32, 64, 96, 128</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Bottleneck</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3 DS-GLU residual blocks, dilations 1/2/4</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Dropout</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0.08</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Quantum core</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6 qubits, depth 4, ring CNOT, data re-uploading</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Quantum core parameters</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72</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Classical core parameters</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72</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Shared backbone LR</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m:oMath>
              <m:r>
                <m:t>1</m:t>
              </m:r>
              <m:r>
                <m:rPr>
                  <m:sty m:val="p"/>
                </m:rPr>
                <m:t>×</m:t>
              </m:r>
              <m:sSup>
                <m:e>
                  <m:r>
                    <m:t>10</m:t>
                  </m:r>
                </m:e>
                <m:sup>
                  <m:r>
                    <m:rPr>
                      <m:sty m:val="p"/>
                    </m:rPr>
                    <m:t>−</m:t>
                  </m:r>
                  <m:r>
                    <m:t>4</m:t>
                  </m:r>
                </m:sup>
              </m:sSup>
            </m:oMath>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Projection LR</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m:oMath>
              <m:r>
                <m:t>2</m:t>
              </m:r>
              <m:r>
                <m:rPr>
                  <m:sty m:val="p"/>
                </m:rPr>
                <m:t>×</m:t>
              </m:r>
              <m:sSup>
                <m:e>
                  <m:r>
                    <m:t>10</m:t>
                  </m:r>
                </m:e>
                <m:sup>
                  <m:r>
                    <m:rPr>
                      <m:sty m:val="p"/>
                    </m:rPr>
                    <m:t>−</m:t>
                  </m:r>
                  <m:r>
                    <m:t>4</m:t>
                  </m:r>
                </m:sup>
              </m:sSup>
            </m:oMath>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Selected QNN-core LR</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m:oMath>
              <m:r>
                <m:t>6.5</m:t>
              </m:r>
              <m:r>
                <m:rPr>
                  <m:sty m:val="p"/>
                </m:rPr>
                <m:t>×</m:t>
              </m:r>
              <m:sSup>
                <m:e>
                  <m:r>
                    <m:t>10</m:t>
                  </m:r>
                </m:e>
                <m:sup>
                  <m:r>
                    <m:rPr>
                      <m:sty m:val="p"/>
                    </m:rPr>
                    <m:t>−</m:t>
                  </m:r>
                  <m:r>
                    <m:t>4</m:t>
                  </m:r>
                </m:sup>
              </m:sSup>
            </m:oMath>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Selected MLP-core LR</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m:oMath>
              <m:r>
                <m:t>8</m:t>
              </m:r>
              <m:r>
                <m:rPr>
                  <m:sty m:val="p"/>
                </m:rPr>
                <m:t>×</m:t>
              </m:r>
              <m:sSup>
                <m:e>
                  <m:r>
                    <m:t>10</m:t>
                  </m:r>
                </m:e>
                <m:sup>
                  <m:r>
                    <m:rPr>
                      <m:sty m:val="p"/>
                    </m:rPr>
                    <m:t>−</m:t>
                  </m:r>
                  <m:r>
                    <m:t>4</m:t>
                  </m:r>
                </m:sup>
              </m:sSup>
            </m:oMath>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Weight decay</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m:oMath>
              <m:r>
                <m:t>1</m:t>
              </m:r>
              <m:r>
                <m:rPr>
                  <m:sty m:val="p"/>
                </m:rPr>
                <m:t>×</m:t>
              </m:r>
              <m:sSup>
                <m:e>
                  <m:r>
                    <m:t>10</m:t>
                  </m:r>
                </m:e>
                <m:sup>
                  <m:r>
                    <m:rPr>
                      <m:sty m:val="p"/>
                    </m:rPr>
                    <m:t>−</m:t>
                  </m:r>
                  <m:r>
                    <m:t>4</m:t>
                  </m:r>
                </m:sup>
              </m:sSup>
            </m:oMath>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Gradient clipping</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5.0</w:t>
            </w:r>
          </w:p>
        </w:tc>
      </w:tr>
      <w:tr>
        <w:trPr>
          <w:cantSplit/>
        </w:trPr>
        <w:tc>
          <w:tcPr>
            <w:tcW w:type="dxa" w:w="295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Confirmation seeds</w:t>
            </w:r>
          </w:p>
        </w:tc>
        <w:tc>
          <w:tcPr>
            <w:tcW w:type="dxa" w:w="6408"/>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17, 42, 123</w:t>
            </w:r>
          </w:p>
        </w:tc>
      </w:tr>
    </w:tbl>
    <w:bookmarkEnd w:id="47"/>
    <w:bookmarkStart w:id="48" w:name="three-stage-controlled-training"/>
    <w:p>
      <w:pPr>
        <w:pStyle w:val="Heading3"/>
      </w:pPr>
      <w:r>
        <w:t xml:space="preserve">6.3 Three-stage controlled training</w:t>
      </w:r>
    </w:p>
    <w:p>
      <w:pPr>
        <w:pStyle w:val="FirstParagraph"/>
      </w:pPr>
      <w:r>
        <w:t xml:space="preserve">Training is intentionally staged so that the two conditioned alternatives start from the same speech representation.</w:t>
      </w:r>
    </w:p>
    <w:p>
      <w:pPr>
        <w:pStyle w:val="BodyText"/>
      </w:pPr>
      <w:r>
        <w:rPr>
          <w:b/>
          <w:bCs/>
        </w:rPr>
        <w:t xml:space="preserve">Stage 1 - shared baseline pretraining.</w:t>
      </w:r>
      <w:r>
        <w:t xml:space="preserve"> </w:t>
      </w:r>
      <w:r>
        <w:t xml:space="preserve">For each random seed, the unconditioned backbone is trained for at most 20 epochs with early-stopping patience 6.</w:t>
      </w:r>
    </w:p>
    <w:p>
      <w:pPr>
        <w:pStyle w:val="BodyText"/>
      </w:pPr>
      <w:r>
        <w:rPr>
          <w:b/>
          <w:bCs/>
        </w:rPr>
        <w:t xml:space="preserve">Stage 2 - conditioner warm-up.</w:t>
      </w:r>
      <w:r>
        <w:t xml:space="preserve"> </w:t>
      </w:r>
      <w:r>
        <w:t xml:space="preserve">The best baseline checkpoint for that seed initializes both the classical and quantum arms. The shared backbone is frozen and only the matched conditioner is trained for at most 8 epochs (patience 4). The conditioner shells are initialized under a matched protocol and automated assertions verify equality of total and conditioner parameter counts.</w:t>
      </w:r>
    </w:p>
    <w:p>
      <w:pPr>
        <w:pStyle w:val="BodyText"/>
      </w:pPr>
      <w:r>
        <w:rPr>
          <w:b/>
          <w:bCs/>
        </w:rPr>
        <w:t xml:space="preserve">Stage 3 - joint fine-tuning.</w:t>
      </w:r>
      <w:r>
        <w:t xml:space="preserve"> </w:t>
      </w:r>
      <w:r>
        <w:t xml:space="preserve">Backbone and conditioner are jointly optimized for at most 35 epochs (patience 7). Architecture and learning-rate choices are made on validation data. The final configuration is then frozen before the locked test is accessed. Strict deterministic execution is enabled where supported.</w:t>
      </w:r>
    </w:p>
    <w:p>
      <w:pPr>
        <w:pStyle w:val="BodyText"/>
      </w:pPr>
      <w:r>
        <w:t xml:space="preserve">This protocol is designed to reduce a common confound in quantum/classical comparisons: one model accidentally receiving a stronger initial backbone or a larger parameter budget.</w:t>
      </w:r>
    </w:p>
    <w:bookmarkEnd w:id="48"/>
    <w:bookmarkStart w:id="49" w:name="X3d4731627eb4f1e106a4d42b97bfd2d5cc782ec"/>
    <w:p>
      <w:pPr>
        <w:pStyle w:val="Heading3"/>
      </w:pPr>
      <w:r>
        <w:t xml:space="preserve">6.4 Compared variants and parameter accounting</w:t>
      </w:r>
    </w:p>
    <w:p>
      <w:pPr>
        <w:keepNext/>
        <w:spacing w:before="100" w:after="60"/>
        <w:jc w:val="center"/>
      </w:pPr>
      <w:r>
        <w:rPr>
          <w:rFonts w:ascii="Times New Roman" w:hAnsi="Times New Roman"/>
          <w:b/>
          <w:bCs/>
          <w:sz w:val="17"/>
        </w:rPr>
        <w:t xml:space="preserve">Table 3. Parameter-matched variants.</w:t>
      </w:r>
    </w:p>
    <w:tbl>
      <w:tblPr>
        <w:tblStyle w:val="TableGrid"/>
        <w:tblW w:type="dxa" w:w="9792"/>
        <w:jc w:val="center"/>
        <w:tblLayout w:type="fixed"/>
        <w:tblLook w:firstRow="1" w:lastRow="0" w:firstColumn="0" w:lastColumn="0" w:noHBand="0" w:noVBand="0" w:val="0020"/>
      </w:tblPr>
      <w:tblGrid>
        <w:gridCol w:w="1800"/>
        <w:gridCol w:w="1584"/>
        <w:gridCol w:w="2088"/>
        <w:gridCol w:w="1512"/>
        <w:gridCol w:w="2808"/>
      </w:tblGrid>
      <w:tr>
        <w:trPr>
          <w:tblHeader w:val="on"/>
          <w:cantSplit/>
          <w:tblHeader w:val="true"/>
        </w:trPr>
        <w:tc>
          <w:tcPr>
            <w:tcW w:type="dxa" w:w="180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Variant</w:t>
            </w:r>
          </w:p>
        </w:tc>
        <w:tc>
          <w:tcPr>
            <w:tcW w:type="dxa" w:w="158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Total parameters</w:t>
            </w:r>
          </w:p>
        </w:tc>
        <w:tc>
          <w:tcPr>
            <w:tcW w:type="dxa" w:w="2088"/>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Conditioner parameters</w:t>
            </w:r>
          </w:p>
        </w:tc>
        <w:tc>
          <w:tcPr>
            <w:tcW w:type="dxa" w:w="1512"/>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Core parameters</w:t>
            </w:r>
          </w:p>
        </w:tc>
        <w:tc>
          <w:tcPr>
            <w:tcW w:type="dxa" w:w="2808"/>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Quantum resources</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Baseline</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521,028</w:t>
            </w:r>
          </w:p>
        </w:tc>
        <w:tc>
          <w:tcPr>
            <w:tcW w:type="dxa" w:w="20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w:t>
            </w:r>
          </w:p>
        </w:tc>
        <w:tc>
          <w:tcPr>
            <w:tcW w:type="dxa" w:w="1512"/>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w:t>
            </w:r>
          </w:p>
        </w:tc>
        <w:tc>
          <w:tcPr>
            <w:tcW w:type="dxa" w:w="280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None</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Matched classical</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529,823</w:t>
            </w:r>
          </w:p>
        </w:tc>
        <w:tc>
          <w:tcPr>
            <w:tcW w:type="dxa" w:w="20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8,795</w:t>
            </w:r>
          </w:p>
        </w:tc>
        <w:tc>
          <w:tcPr>
            <w:tcW w:type="dxa" w:w="1512"/>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72</w:t>
            </w:r>
          </w:p>
        </w:tc>
        <w:tc>
          <w:tcPr>
            <w:tcW w:type="dxa" w:w="280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None</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Quantum-conditioned</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529,823</w:t>
            </w:r>
          </w:p>
        </w:tc>
        <w:tc>
          <w:tcPr>
            <w:tcW w:type="dxa" w:w="20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8,795</w:t>
            </w:r>
          </w:p>
        </w:tc>
        <w:tc>
          <w:tcPr>
            <w:tcW w:type="dxa" w:w="1512"/>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72</w:t>
            </w:r>
          </w:p>
        </w:tc>
        <w:tc>
          <w:tcPr>
            <w:tcW w:type="dxa" w:w="280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6 qubits, depth 4</w:t>
            </w:r>
          </w:p>
        </w:tc>
      </w:tr>
    </w:tbl>
    <w:p>
      <w:pPr>
        <w:pStyle w:val="BodyText"/>
      </w:pPr>
      <w:r>
        <w:t xml:space="preserve">The conditioner increases the baseline parameter count by only about 1.69%. The comparison of primary interest is therefore quantum-conditioned versus matched classical, because both add the same parameter budget and interface to the same pretrained backbone.</w:t>
      </w:r>
    </w:p>
    <w:bookmarkEnd w:id="49"/>
    <w:bookmarkStart w:id="50" w:name="evaluation-metrics"/>
    <w:p>
      <w:pPr>
        <w:pStyle w:val="Heading3"/>
      </w:pPr>
      <w:r>
        <w:t xml:space="preserve">6.5 Evaluation metrics</w:t>
      </w:r>
    </w:p>
    <w:p>
      <w:pPr>
        <w:pStyle w:val="FirstParagraph"/>
      </w:pPr>
      <w:r>
        <w:t xml:space="preserve">We report SI-SDR [18], wideband PESQ [21], and ESTOI [22]. SI-SDR measures waveform reconstruction quality under scale invariance; PESQ is a conventional objective proxy for perceptual speech quality; ESTOI estimates intelligibility while modeling dependencies across spectral bands. All three metrics are evaluated on exactly the same 2,000 locked-test utterances for each of the three seeds.</w:t>
      </w:r>
    </w:p>
    <w:bookmarkEnd w:id="50"/>
    <w:bookmarkStart w:id="51" w:name="paired-statistical-analysis"/>
    <w:p>
      <w:pPr>
        <w:pStyle w:val="Heading3"/>
      </w:pPr>
      <w:r>
        <w:t xml:space="preserve">6.6 Paired statistical analysis</w:t>
      </w:r>
    </w:p>
    <w:p>
      <w:pPr>
        <w:pStyle w:val="FirstParagraph"/>
      </w:pPr>
      <w:r>
        <w:t xml:space="preserve">For each test utterance, the metric is first averaged across the three trained seeds separately for the QNN and classical variants. The paired difference is then</w:t>
      </w:r>
    </w:p>
    <w:p>
      <w:pPr>
        <w:pStyle w:val="BodyText"/>
      </w:pPr>
      <m:oMathPara>
        <m:oMathParaPr>
          <m:jc m:val="center"/>
        </m:oMathParaPr>
        <m:oMath>
          <m:sSub>
            <m:e>
              <m:r>
                <m:t>d</m:t>
              </m:r>
            </m:e>
            <m:sub>
              <m:r>
                <m:t>i</m:t>
              </m:r>
            </m:sub>
          </m:sSub>
          <m:r>
            <m:rPr>
              <m:sty m:val="p"/>
            </m:rPr>
            <m:t>=</m:t>
          </m:r>
          <m:sSubSup>
            <m:e>
              <m:r>
                <m:t>m</m:t>
              </m:r>
            </m:e>
            <m:sub>
              <m:r>
                <m:t>i</m:t>
              </m:r>
            </m:sub>
            <m:sup>
              <m:r>
                <m:t>Q</m:t>
              </m:r>
              <m:r>
                <m:t>N</m:t>
              </m:r>
              <m:r>
                <m:t>N</m:t>
              </m:r>
            </m:sup>
          </m:sSubSup>
          <m:r>
            <m:rPr>
              <m:sty m:val="p"/>
            </m:rPr>
            <m:t>−</m:t>
          </m:r>
          <m:sSubSup>
            <m:e>
              <m:r>
                <m:t>m</m:t>
              </m:r>
            </m:e>
            <m:sub>
              <m:r>
                <m:t>i</m:t>
              </m:r>
            </m:sub>
            <m:sup>
              <m:r>
                <m:t>M</m:t>
              </m:r>
              <m:r>
                <m:t>L</m:t>
              </m:r>
              <m:r>
                <m:t>P</m:t>
              </m:r>
            </m:sup>
          </m:sSubSup>
          <m:r>
            <m:rPr>
              <m:sty m:val="p"/>
            </m:rPr>
            <m:t>,</m:t>
          </m:r>
          <m:r>
            <m:t>  </m:t>
          </m:r>
          <m:r>
            <m:t>i</m:t>
          </m:r>
          <m:r>
            <m:rPr>
              <m:sty m:val="p"/>
            </m:rPr>
            <m:t>=</m:t>
          </m:r>
          <m:r>
            <m:t>1</m:t>
          </m:r>
          <m:r>
            <m:rPr>
              <m:sty m:val="p"/>
            </m:rPr>
            <m:t>,</m:t>
          </m:r>
          <m:r>
            <m:rPr>
              <m:sty m:val="p"/>
            </m:rPr>
            <m:t>…</m:t>
          </m:r>
          <m:r>
            <m:rPr>
              <m:sty m:val="p"/>
            </m:rPr>
            <m:t>,</m:t>
          </m:r>
          <m:r>
            <m:t>2000</m:t>
          </m:r>
          <m:r>
            <m:rPr>
              <m:sty m:val="p"/>
            </m:rPr>
            <m:t>.</m:t>
          </m:r>
        </m:oMath>
      </m:oMathPara>
    </w:p>
    <w:p>
      <w:pPr>
        <w:pStyle w:val="FirstParagraph"/>
      </w:pPr>
      <w:r>
        <w:t xml:space="preserve">We report the paired mean</w:t>
      </w:r>
      <w:r>
        <w:t xml:space="preserve"> </w:t>
      </w:r>
      <m:oMath>
        <m:acc>
          <m:accPr>
            <m:chr m:val="‾"/>
          </m:accPr>
          <m:e>
            <m:r>
              <m:t>d</m:t>
            </m:r>
          </m:e>
        </m:acc>
      </m:oMath>
      <w:r>
        <w:t xml:space="preserve"> </w:t>
      </w:r>
      <w:r>
        <w:t xml:space="preserve">and a nonparametric 95% bootstrap confidence interval using 2,000 resamples. We additionally perform a one-sided Wilcoxon signed-rank test with alternative</w:t>
      </w:r>
      <w:r>
        <w:t xml:space="preserve"> </w:t>
      </w:r>
      <m:oMath>
        <m:r>
          <m:t>d</m:t>
        </m:r>
        <m:r>
          <m:rPr>
            <m:sty m:val="p"/>
          </m:rPr>
          <m:t>&gt;</m:t>
        </m:r>
        <m:r>
          <m:t>0</m:t>
        </m:r>
      </m:oMath>
      <w:r>
        <w:t xml:space="preserve"> </w:t>
      </w:r>
      <w:r>
        <w:t xml:space="preserve">and report two-sided values for auditability. Holm correction is applied across the three metrics within each analysis group. Cohen’s paired</w:t>
      </w:r>
      <w:r>
        <w:t xml:space="preserve"> </w:t>
      </w:r>
      <m:oMath>
        <m:sSub>
          <m:e>
            <m:r>
              <m:t>d</m:t>
            </m:r>
          </m:e>
          <m:sub>
            <m:r>
              <m:t>z</m:t>
            </m:r>
          </m:sub>
        </m:sSub>
      </m:oMath>
      <w:r>
        <w:t xml:space="preserve"> </w:t>
      </w:r>
      <w:r>
        <w:t xml:space="preserve">and rank-biserial correlation are included as effect-size summaries. The tests quantify utterance-level consistency under this fixed benchmark; because utterances share speakers and noise categories, they should not be interpreted as a substitute for a speaker-clustered or unseen-condition generalization analysis.</w:t>
      </w:r>
    </w:p>
    <w:bookmarkEnd w:id="51"/>
    <w:bookmarkStart w:id="52" w:name="quantum-stress-tests-and-latency"/>
    <w:p>
      <w:pPr>
        <w:pStyle w:val="Heading3"/>
      </w:pPr>
      <w:r>
        <w:t xml:space="preserve">6.7 Quantum stress tests and latency</w:t>
      </w:r>
    </w:p>
    <w:p>
      <w:pPr>
        <w:pStyle w:val="FirstParagraph"/>
      </w:pPr>
      <w:r>
        <w:t xml:space="preserve">The main QNN evaluation uses exact statevector expectation values. A separate robustness subset evaluates 25 examples per SNR per seed, totaling 450 utterance-seed evaluations per mode. We test finite-shot sampling at 128, 512, 1,024, and 4,096 shots, multiplicative expectation attenuation representing 1% and 3% readout error, and an approximate 1% depolarizing attenuation. These are</w:t>
      </w:r>
      <w:r>
        <w:t xml:space="preserve"> </w:t>
      </w:r>
      <w:r>
        <w:rPr>
          <w:b/>
          <w:bCs/>
        </w:rPr>
        <w:t xml:space="preserve">simulation-level stress tests, not hardware-calibrated noise experiments</w:t>
      </w:r>
      <w:r>
        <w:t xml:space="preserve">.</w:t>
      </w:r>
    </w:p>
    <w:p>
      <w:pPr>
        <w:pStyle w:val="BodyText"/>
      </w:pPr>
      <w:r>
        <w:t xml:space="preserve">Latency is measured after warm-up with repeated GPU inference. Because the current implementation evaluates the six-qubit statevector classically, a slower QNN is expected; the goal is to quantify the cost rather than imply speed advantage.</w:t>
      </w:r>
    </w:p>
    <w:bookmarkEnd w:id="52"/>
    <w:bookmarkEnd w:id="53"/>
    <w:bookmarkStart w:id="66" w:name="results"/>
    <w:p>
      <w:pPr>
        <w:pStyle w:val="Heading2"/>
      </w:pPr>
      <w:r>
        <w:t xml:space="preserve">7. Results</w:t>
      </w:r>
    </w:p>
    <w:bookmarkStart w:id="54" w:name="locked-test-enhancement-performance"/>
    <w:p>
      <w:pPr>
        <w:pStyle w:val="Heading3"/>
      </w:pPr>
      <w:r>
        <w:t xml:space="preserve">7.1 Locked-test enhancement performance</w:t>
      </w:r>
    </w:p>
    <w:p>
      <w:pPr>
        <w:keepNext/>
        <w:spacing w:before="0" w:after="80"/>
        <w:jc w:val="left"/>
      </w:pPr>
      <w:r>
        <w:rPr>
          <w:rFonts w:ascii="Times New Roman" w:hAnsi="Times New Roman"/>
          <w:b w:val="0"/>
          <w:i w:val="0"/>
          <w:sz w:val="17"/>
        </w:rPr>
        <w:t xml:space="preserve">Table 4 summarizes the three-seed locked-test means. Both conditioned models substantially improve over the unconditioned baseline, showing that global bottleneck modulation itself is useful. The quantum-conditioned system then gives a smaller incremental gain over the exactly matched MLP on all three metrics.</w:t>
      </w:r>
    </w:p>
    <w:p>
      <w:pPr>
        <w:keepNext/>
        <w:spacing w:before="100" w:after="60"/>
        <w:jc w:val="center"/>
      </w:pPr>
      <w:r>
        <w:rPr>
          <w:rFonts w:ascii="Times New Roman" w:hAnsi="Times New Roman"/>
          <w:b/>
          <w:bCs/>
          <w:sz w:val="17"/>
        </w:rPr>
        <w:t xml:space="preserve">Table 4. Three-seed locked-test performance (mean across seeds; higher is better).</w:t>
      </w:r>
    </w:p>
    <w:tbl>
      <w:tblPr>
        <w:tblStyle w:val="TableGrid"/>
        <w:tblW w:type="dxa" w:w="9216"/>
        <w:jc w:val="center"/>
        <w:tblLayout w:type="fixed"/>
        <w:tblLook w:firstRow="1" w:lastRow="0" w:firstColumn="0" w:lastColumn="0" w:noHBand="0" w:noVBand="0" w:val="0020"/>
      </w:tblPr>
      <w:tblGrid>
        <w:gridCol w:w="2880"/>
        <w:gridCol w:w="2304"/>
        <w:gridCol w:w="2015"/>
        <w:gridCol w:w="2015"/>
      </w:tblGrid>
      <w:tr>
        <w:trPr>
          <w:tblHeader w:val="on"/>
          <w:cantSplit/>
          <w:tblHeader w:val="true"/>
        </w:trPr>
        <w:tc>
          <w:tcPr>
            <w:tcW w:type="dxa" w:w="288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Variant</w:t>
            </w:r>
          </w:p>
        </w:tc>
        <w:tc>
          <w:tcPr>
            <w:tcW w:type="dxa" w:w="230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SI-SDR (dB)</w:t>
            </w:r>
          </w:p>
        </w:tc>
        <w:tc>
          <w:tcPr>
            <w:tcW w:type="dxa" w:w="2015"/>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PESQ</w:t>
            </w:r>
          </w:p>
        </w:tc>
        <w:tc>
          <w:tcPr>
            <w:tcW w:type="dxa" w:w="2015"/>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ESTOI</w:t>
            </w:r>
          </w:p>
        </w:tc>
      </w:tr>
      <w:tr>
        <w:trPr>
          <w:cantSplit/>
        </w:trPr>
        <w:tc>
          <w:tcPr>
            <w:tcW w:type="dxa" w:w="28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Baseline</w:t>
            </w:r>
          </w:p>
        </w:tc>
        <w:tc>
          <w:tcPr>
            <w:tcW w:type="dxa" w:w="230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14.9815</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1.9447</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0.72680</w:t>
            </w:r>
          </w:p>
        </w:tc>
      </w:tr>
      <w:tr>
        <w:trPr>
          <w:cantSplit/>
        </w:trPr>
        <w:tc>
          <w:tcPr>
            <w:tcW w:type="dxa" w:w="28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Matched classical</w:t>
            </w:r>
          </w:p>
        </w:tc>
        <w:tc>
          <w:tcPr>
            <w:tcW w:type="dxa" w:w="230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15.8237</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2.0969</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0.74276</w:t>
            </w:r>
          </w:p>
        </w:tc>
      </w:tr>
      <w:tr>
        <w:trPr>
          <w:cantSplit/>
        </w:trPr>
        <w:tc>
          <w:tcPr>
            <w:tcW w:type="dxa" w:w="28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6"/>
              </w:rPr>
              <w:t xml:space="preserve">Quantum-conditioned</w:t>
            </w:r>
          </w:p>
        </w:tc>
        <w:tc>
          <w:tcPr>
            <w:tcW w:type="dxa" w:w="230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6"/>
              </w:rPr>
              <w:t xml:space="preserve">15.8649</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6"/>
              </w:rPr>
              <w:t xml:space="preserve">2.1133</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6"/>
              </w:rPr>
              <w:t xml:space="preserve">0.74320</w:t>
            </w:r>
          </w:p>
        </w:tc>
      </w:tr>
      <w:tr>
        <w:trPr>
          <w:cantSplit/>
        </w:trPr>
        <w:tc>
          <w:tcPr>
            <w:tcW w:type="dxa" w:w="28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QNN - classical</w:t>
            </w:r>
          </w:p>
        </w:tc>
        <w:tc>
          <w:tcPr>
            <w:tcW w:type="dxa" w:w="230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6"/>
              </w:rPr>
              <w:t xml:space="preserve">+0.0411</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6"/>
              </w:rPr>
              <w:t xml:space="preserve">+0.01640</w:t>
            </w:r>
          </w:p>
        </w:tc>
        <w:tc>
          <w:tcPr>
            <w:tcW w:type="dxa" w:w="201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6"/>
              </w:rPr>
              <w:t xml:space="preserve">+0.000434</w:t>
            </w:r>
          </w:p>
        </w:tc>
      </w:tr>
    </w:tbl>
    <w:p>
      <w:pPr>
        <w:pStyle w:val="BodyText"/>
      </w:pPr>
      <w:r>
        <w:t xml:space="preserve">Relative to the baseline, the classical conditioner contributes +0.8423 dB SI-SDR, +0.1522 PESQ, and +0.01597 ESTOI. The quantum system contributes +0.8834 dB, +0.1686, and +0.01640, respectively. Thus, most of the absolute improvement comes from adding global conditioning; the scientific question addressed by the matched comparison is whether the</w:t>
      </w:r>
      <w:r>
        <w:t xml:space="preserve"> </w:t>
      </w:r>
      <w:r>
        <w:rPr>
          <w:b/>
          <w:bCs/>
        </w:rPr>
        <w:t xml:space="preserve">type</w:t>
      </w:r>
      <w:r>
        <w:t xml:space="preserve"> </w:t>
      </w:r>
      <w:r>
        <w:t xml:space="preserve">of 72-parameter nonlinearity produces a repeatable additional effect.</w:t>
      </w:r>
    </w:p>
    <w:bookmarkEnd w:id="54"/>
    <w:bookmarkStart w:id="58" w:name="paired-significance-and-effect-size"/>
    <w:p>
      <w:pPr>
        <w:pStyle w:val="Heading3"/>
      </w:pPr>
      <w:r>
        <w:t xml:space="preserve">7.2 Paired significance and effect size</w:t>
      </w:r>
    </w:p>
    <w:p>
      <w:pPr>
        <w:keepNext/>
        <w:spacing w:before="100" w:after="60"/>
        <w:jc w:val="center"/>
      </w:pPr>
      <w:r>
        <w:rPr>
          <w:rFonts w:ascii="Times New Roman" w:hAnsi="Times New Roman"/>
          <w:b/>
          <w:bCs/>
          <w:sz w:val="17"/>
        </w:rPr>
        <w:t xml:space="preserve">Table 5. Paired QNN-minus-classical analysis after averaging each test utterance over the three seeds.</w:t>
      </w:r>
    </w:p>
    <w:tbl>
      <w:tblPr>
        <w:tblStyle w:val="TableGrid"/>
        <w:tblW w:type="dxa" w:w="9676"/>
        <w:jc w:val="center"/>
        <w:tblLayout w:type="fixed"/>
        <w:tblLook w:firstRow="1" w:lastRow="0" w:firstColumn="0" w:lastColumn="0" w:noHBand="0" w:noVBand="0" w:val="0020"/>
      </w:tblPr>
      <w:tblGrid>
        <w:gridCol w:w="1036"/>
        <w:gridCol w:w="1180"/>
        <w:gridCol w:w="1411"/>
        <w:gridCol w:w="2188"/>
        <w:gridCol w:w="1483"/>
        <w:gridCol w:w="1036"/>
        <w:gridCol w:w="1339"/>
      </w:tblGrid>
      <w:tr>
        <w:trPr>
          <w:tblHeader w:val="on"/>
          <w:cantSplit/>
          <w:tblHeader w:val="true"/>
        </w:trPr>
        <w:tc>
          <w:tcPr>
            <w:tcW w:type="dxa" w:w="1036"/>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Group</w:t>
            </w:r>
          </w:p>
        </w:tc>
        <w:tc>
          <w:tcPr>
            <w:tcW w:type="dxa" w:w="118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Metric</w:t>
            </w:r>
          </w:p>
        </w:tc>
        <w:tc>
          <w:tcPr>
            <w:tcW w:type="dxa" w:w="1411"/>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Mean difference</w:t>
            </w:r>
          </w:p>
        </w:tc>
        <w:tc>
          <w:tcPr>
            <w:tcW w:type="dxa" w:w="2188"/>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95% bootstrap CI</w:t>
            </w:r>
          </w:p>
        </w:tc>
        <w:tc>
          <w:tcPr>
            <w:tcW w:type="dxa" w:w="1483"/>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Holm one-sided</w:t>
            </w:r>
            <w:r>
              <w:rPr>
                <w:rFonts w:ascii="Times New Roman" w:hAnsi="Times New Roman" w:eastAsia="Times New Roman"/>
                <w:b/>
                <w:sz w:val="14"/>
              </w:rPr>
              <w:t xml:space="preserve"> </w:t>
            </w:r>
            <m:oMath>
              <m:r>
                <m:t>p</m:t>
              </m:r>
            </m:oMath>
          </w:p>
        </w:tc>
        <w:tc>
          <w:tcPr>
            <w:tcW w:type="dxa" w:w="1036"/>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Cohen</w:t>
            </w:r>
            <w:r>
              <w:rPr>
                <w:rFonts w:ascii="Times New Roman" w:hAnsi="Times New Roman" w:eastAsia="Times New Roman"/>
                <w:b/>
                <w:sz w:val="14"/>
              </w:rPr>
              <w:t xml:space="preserve"> </w:t>
            </w:r>
            <m:oMath>
              <m:sSub>
                <m:e>
                  <m:r>
                    <m:t>d</m:t>
                  </m:r>
                </m:e>
                <m:sub>
                  <m:r>
                    <m:t>z</m:t>
                  </m:r>
                </m:sub>
              </m:sSub>
            </m:oMath>
          </w:p>
        </w:tc>
        <w:tc>
          <w:tcPr>
            <w:tcW w:type="dxa" w:w="1339"/>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Rank-biserial</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Overall</w:t>
            </w:r>
          </w:p>
        </w:tc>
        <w:tc>
          <w:tcPr>
            <w:tcW w:type="dxa" w:w="11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SI-SDR (dB)</w:t>
            </w:r>
          </w:p>
        </w:tc>
        <w:tc>
          <w:tcPr>
            <w:tcW w:type="dxa" w:w="141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+0.041108</w:t>
            </w:r>
          </w:p>
        </w:tc>
        <w:tc>
          <w:tcPr>
            <w:tcW w:type="dxa" w:w="21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[0.029526, 0.052842]</w:t>
            </w:r>
          </w:p>
        </w:tc>
        <w:tc>
          <w:tcPr>
            <w:tcW w:type="dxa" w:w="1483"/>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0.1788</w:t>
            </w:r>
          </w:p>
        </w:tc>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0.148</w:t>
            </w:r>
          </w:p>
        </w:tc>
        <w:tc>
          <w:tcPr>
            <w:tcW w:type="dxa" w:w="133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0.024</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Overall</w:t>
            </w:r>
          </w:p>
        </w:tc>
        <w:tc>
          <w:tcPr>
            <w:tcW w:type="dxa" w:w="11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PESQ</w:t>
            </w:r>
          </w:p>
        </w:tc>
        <w:tc>
          <w:tcPr>
            <w:tcW w:type="dxa" w:w="141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+0.016403</w:t>
            </w:r>
          </w:p>
        </w:tc>
        <w:tc>
          <w:tcPr>
            <w:tcW w:type="dxa" w:w="21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[0.014861, 0.018048]</w:t>
            </w:r>
          </w:p>
        </w:tc>
        <w:tc>
          <w:tcPr>
            <w:tcW w:type="dxa" w:w="1483"/>
            <w:vAlign w:val="center"/>
            <w:tcMar>
              <w:top w:w="45" w:type="dxa"/>
              <w:start w:w="45" w:type="dxa"/>
              <w:bottom w:w="45" w:type="dxa"/>
              <w:end w:w="45" w:type="dxa"/>
            </w:tcMar>
          </w:tcPr>
          <w:p>
            <w:pPr>
              <w:keepNext w:val="0"/>
              <w:keepLines w:val="0"/>
              <w:pageBreakBefore w:val="0"/>
              <w:widowControl w:val="0"/>
              <w:spacing w:before="0" w:after="0" w:line="240" w:lineRule="auto"/>
              <w:jc w:val="center"/>
            </w:pPr>
            <m:oMath>
              <m:r>
                <m:t>1.74</m:t>
              </m:r>
              <m:r>
                <m:rPr>
                  <m:sty m:val="p"/>
                </m:rPr>
                <m:t>×</m:t>
              </m:r>
              <m:sSup>
                <m:e>
                  <m:r>
                    <m:t>10</m:t>
                  </m:r>
                </m:e>
                <m:sup>
                  <m:r>
                    <m:rPr>
                      <m:sty m:val="p"/>
                    </m:rPr>
                    <m:t>−</m:t>
                  </m:r>
                  <m:r>
                    <m:t>98</m:t>
                  </m:r>
                </m:sup>
              </m:sSup>
            </m:oMath>
          </w:p>
        </w:tc>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0.440</w:t>
            </w:r>
          </w:p>
        </w:tc>
        <w:tc>
          <w:tcPr>
            <w:tcW w:type="dxa" w:w="133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0.544</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Overall</w:t>
            </w:r>
          </w:p>
        </w:tc>
        <w:tc>
          <w:tcPr>
            <w:tcW w:type="dxa" w:w="11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ESTOI</w:t>
            </w:r>
          </w:p>
        </w:tc>
        <w:tc>
          <w:tcPr>
            <w:tcW w:type="dxa" w:w="141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+0.000434</w:t>
            </w:r>
          </w:p>
        </w:tc>
        <w:tc>
          <w:tcPr>
            <w:tcW w:type="dxa" w:w="21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[0.000278, 0.000582]</w:t>
            </w:r>
          </w:p>
        </w:tc>
        <w:tc>
          <w:tcPr>
            <w:tcW w:type="dxa" w:w="1483"/>
            <w:vAlign w:val="center"/>
            <w:tcMar>
              <w:top w:w="45" w:type="dxa"/>
              <w:start w:w="45" w:type="dxa"/>
              <w:bottom w:w="45" w:type="dxa"/>
              <w:end w:w="45" w:type="dxa"/>
            </w:tcMar>
          </w:tcPr>
          <w:p>
            <w:pPr>
              <w:keepNext w:val="0"/>
              <w:keepLines w:val="0"/>
              <w:pageBreakBefore w:val="0"/>
              <w:widowControl w:val="0"/>
              <w:spacing w:before="0" w:after="0" w:line="240" w:lineRule="auto"/>
              <w:jc w:val="center"/>
            </w:pPr>
            <m:oMath>
              <m:r>
                <m:t>6.31</m:t>
              </m:r>
              <m:r>
                <m:rPr>
                  <m:sty m:val="p"/>
                </m:rPr>
                <m:t>×</m:t>
              </m:r>
              <m:sSup>
                <m:e>
                  <m:r>
                    <m:t>10</m:t>
                  </m:r>
                </m:e>
                <m:sup>
                  <m:r>
                    <m:rPr>
                      <m:sty m:val="p"/>
                    </m:rPr>
                    <m:t>−</m:t>
                  </m:r>
                  <m:r>
                    <m:t>4</m:t>
                  </m:r>
                </m:sup>
              </m:sSup>
            </m:oMath>
          </w:p>
        </w:tc>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0.122</w:t>
            </w:r>
          </w:p>
        </w:tc>
        <w:tc>
          <w:tcPr>
            <w:tcW w:type="dxa" w:w="133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0.088</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Low SNR</w:t>
            </w:r>
          </w:p>
        </w:tc>
        <w:tc>
          <w:tcPr>
            <w:tcW w:type="dxa" w:w="11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SI-SDR (dB)</w:t>
            </w:r>
          </w:p>
        </w:tc>
        <w:tc>
          <w:tcPr>
            <w:tcW w:type="dxa" w:w="141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+0.052632</w:t>
            </w:r>
          </w:p>
        </w:tc>
        <w:tc>
          <w:tcPr>
            <w:tcW w:type="dxa" w:w="21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[0.035398, 0.071418]</w:t>
            </w:r>
          </w:p>
        </w:tc>
        <w:tc>
          <w:tcPr>
            <w:tcW w:type="dxa" w:w="1483"/>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0.00653</w:t>
            </w:r>
          </w:p>
        </w:tc>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0.176</w:t>
            </w:r>
          </w:p>
        </w:tc>
        <w:tc>
          <w:tcPr>
            <w:tcW w:type="dxa" w:w="133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0.091</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Low SNR</w:t>
            </w:r>
          </w:p>
        </w:tc>
        <w:tc>
          <w:tcPr>
            <w:tcW w:type="dxa" w:w="11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PESQ</w:t>
            </w:r>
          </w:p>
        </w:tc>
        <w:tc>
          <w:tcPr>
            <w:tcW w:type="dxa" w:w="141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+0.015192</w:t>
            </w:r>
          </w:p>
        </w:tc>
        <w:tc>
          <w:tcPr>
            <w:tcW w:type="dxa" w:w="21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[0.013207, 0.017208]</w:t>
            </w:r>
          </w:p>
        </w:tc>
        <w:tc>
          <w:tcPr>
            <w:tcW w:type="dxa" w:w="1483"/>
            <w:vAlign w:val="center"/>
            <w:tcMar>
              <w:top w:w="45" w:type="dxa"/>
              <w:start w:w="45" w:type="dxa"/>
              <w:bottom w:w="45" w:type="dxa"/>
              <w:end w:w="45" w:type="dxa"/>
            </w:tcMar>
          </w:tcPr>
          <w:p>
            <w:pPr>
              <w:keepNext w:val="0"/>
              <w:keepLines w:val="0"/>
              <w:pageBreakBefore w:val="0"/>
              <w:widowControl w:val="0"/>
              <w:spacing w:before="0" w:after="0" w:line="240" w:lineRule="auto"/>
              <w:jc w:val="center"/>
            </w:pPr>
            <m:oMath>
              <m:r>
                <m:t>2.71</m:t>
              </m:r>
              <m:r>
                <m:rPr>
                  <m:sty m:val="p"/>
                </m:rPr>
                <m:t>×</m:t>
              </m:r>
              <m:sSup>
                <m:e>
                  <m:r>
                    <m:t>10</m:t>
                  </m:r>
                </m:e>
                <m:sup>
                  <m:r>
                    <m:rPr>
                      <m:sty m:val="p"/>
                    </m:rPr>
                    <m:t>−</m:t>
                  </m:r>
                  <m:r>
                    <m:t>62</m:t>
                  </m:r>
                </m:sup>
              </m:sSup>
            </m:oMath>
          </w:p>
        </w:tc>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0.471</w:t>
            </w:r>
          </w:p>
        </w:tc>
        <w:tc>
          <w:tcPr>
            <w:tcW w:type="dxa" w:w="133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0.610</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Low SNR</w:t>
            </w:r>
          </w:p>
        </w:tc>
        <w:tc>
          <w:tcPr>
            <w:tcW w:type="dxa" w:w="118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ESTOI</w:t>
            </w:r>
          </w:p>
        </w:tc>
        <w:tc>
          <w:tcPr>
            <w:tcW w:type="dxa" w:w="1411"/>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+0.000469</w:t>
            </w:r>
          </w:p>
        </w:tc>
        <w:tc>
          <w:tcPr>
            <w:tcW w:type="dxa" w:w="218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[0.000216, 0.000706]</w:t>
            </w:r>
          </w:p>
        </w:tc>
        <w:tc>
          <w:tcPr>
            <w:tcW w:type="dxa" w:w="1483"/>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0.00229</w:t>
            </w:r>
          </w:p>
        </w:tc>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0.117</w:t>
            </w:r>
          </w:p>
        </w:tc>
        <w:tc>
          <w:tcPr>
            <w:tcW w:type="dxa" w:w="133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0.112</w:t>
            </w:r>
          </w:p>
        </w:tc>
      </w:tr>
    </w:tbl>
    <w:p>
      <w:pPr>
        <w:pStyle w:val="BodyText"/>
      </w:pPr>
      <w:r>
        <w:t xml:space="preserve">The overall PESQ result is the strongest effect: the mean improvement is 0.01640 and the confidence interval excludes zero by a wide margin. Its paired effect size is moderate (</w:t>
      </w:r>
      <m:oMath>
        <m:sSub>
          <m:e>
            <m:r>
              <m:t>d</m:t>
            </m:r>
          </m:e>
          <m:sub>
            <m:r>
              <m:t>z</m:t>
            </m:r>
          </m:sub>
        </m:sSub>
        <m:r>
          <m:rPr>
            <m:sty m:val="p"/>
          </m:rPr>
          <m:t>=</m:t>
        </m:r>
        <m:r>
          <m:t>0.44</m:t>
        </m:r>
      </m:oMath>
      <w:r>
        <w:t xml:space="preserve">) and the rank-biserial statistic is 0.544. ESTOI also has a positive confidence interval and survives Holm correction, although its absolute effect is very small.</w:t>
      </w:r>
    </w:p>
    <w:p>
      <w:pPr>
        <w:pStyle w:val="BodyText"/>
      </w:pPr>
      <w:r>
        <w:t xml:space="preserve">The SI-SDR result requires more careful interpretation. Its</w:t>
      </w:r>
      <w:r>
        <w:t xml:space="preserve"> </w:t>
      </w:r>
      <w:r>
        <w:rPr>
          <w:b/>
          <w:bCs/>
        </w:rPr>
        <w:t xml:space="preserve">mean bootstrap interval is positive</w:t>
      </w:r>
      <w:r>
        <w:t xml:space="preserve">, but the one-sided Wilcoxon-Holm value is 0.1788 because the median paired difference is slightly negative (-0.0014 dB) and the positive mean is driven by the magnitude distribution of utterance-level gains rather than a simple majority shift. We therefore do</w:t>
      </w:r>
      <w:r>
        <w:t xml:space="preserve"> </w:t>
      </w:r>
      <w:r>
        <w:rPr>
          <w:b/>
          <w:bCs/>
        </w:rPr>
        <w:t xml:space="preserve">not</w:t>
      </w:r>
      <w:r>
        <w:t xml:space="preserve"> </w:t>
      </w:r>
      <w:r>
        <w:t xml:space="preserve">claim an overall statistically significant SI-SDR advantage under the prespecified rank test. This distinction is important: a positive mean effect and a rank-based significance statement are not interchangeable.</w:t>
      </w:r>
    </w:p>
    <w:p>
      <w:pPr>
        <w:pStyle w:val="BodyText"/>
      </w:pPr>
      <w:r>
        <w:t xml:space="preserve">The pooled low-SNR analysis is more coherent. For the -5, 0, and 5 dB utterances (</w:t>
      </w:r>
      <m:oMath>
        <m:r>
          <m:t>n</m:t>
        </m:r>
        <m:r>
          <m:rPr>
            <m:sty m:val="p"/>
          </m:rPr>
          <m:t>=</m:t>
        </m:r>
        <m:r>
          <m:t>996</m:t>
        </m:r>
      </m:oMath>
      <w:r>
        <w:t xml:space="preserve">), all three metrics favor the QNN after Holm correction. This is the main evidence that the VQC contribution may be most useful when speech-noise separation is difficult.</w:t>
      </w:r>
    </w:p>
    <w:p xmlns:a="http://schemas.openxmlformats.org/drawingml/2006/main" xmlns:pic="http://schemas.openxmlformats.org/drawingml/2006/picture">
      <w:pPr>
        <w:pStyle w:val="CaptionedFigure"/>
      </w:pPr>
      <w:r>
        <w:drawing>
          <wp:inline>
            <wp:extent cx="6020435" cy="2450907"/>
            <wp:effectExtent b="0" l="0" r="0" t="0"/>
            <wp:docPr descr="Paired effects. The overall SI-SDR mean confidence interval is positive, but its Holm-corrected Wilcoxon test is not significant; the low-SNR pooled group favors the QNN on all three metrics." title="" id="56" name="Picture"/>
            <a:graphic>
              <a:graphicData uri="http://schemas.openxmlformats.org/drawingml/2006/picture">
                <pic:pic>
                  <pic:nvPicPr>
                    <pic:cNvPr descr="qunet_paper_assets/fig4_paired_effects.png" id="57" name="Picture"/>
                    <pic:cNvPicPr>
                      <a:picLocks noChangeArrowheads="1" noChangeAspect="1"/>
                    </pic:cNvPicPr>
                  </pic:nvPicPr>
                  <pic:blipFill>
                    <a:blip r:embed="rId55"/>
                    <a:stretch>
                      <a:fillRect/>
                    </a:stretch>
                  </pic:blipFill>
                  <pic:spPr bwMode="auto">
                    <a:xfrm>
                      <a:off x="0" y="0"/>
                      <a:ext cx="6020435" cy="2450907"/>
                    </a:xfrm>
                    <a:prstGeom prst="rect">
                      <a:avLst/>
                    </a:prstGeom>
                    <a:noFill/>
                    <a:ln w="9525">
                      <a:noFill/>
                      <a:headEnd/>
                      <a:tailEnd/>
                    </a:ln>
                  </pic:spPr>
                </pic:pic>
              </a:graphicData>
            </a:graphic>
          </wp:inline>
        </w:drawing>
      </w:r>
    </w:p>
    <w:p>
      <w:pPr>
        <w:pStyle w:val="ImageCaption"/>
      </w:pPr>
      <w:r>
        <w:t xml:space="preserve">Paired effects. The overall SI-SDR mean confidence interval is positive, but its Holm-corrected Wilcoxon test is not significant; the low-SNR pooled group favors the QNN on all three metrics.</w:t>
      </w:r>
    </w:p>
    <w:bookmarkEnd w:id="58"/>
    <w:bookmarkStart w:id="62" w:name="performance-as-a-function-of-snr"/>
    <w:p>
      <w:pPr>
        <w:pStyle w:val="Heading3"/>
      </w:pPr>
      <w:r>
        <w:t xml:space="preserve">7.3 Performance as a function of SNR</w:t>
      </w:r>
    </w:p>
    <w:p>
      <w:pPr>
        <w:pStyle w:val="FirstParagraph"/>
      </w:pPr>
      <w:r>
        <w:t xml:space="preserve">The quantum-conditioned model has the highest mean SI-SDR, PESQ, and ESTOI at every tested SNR (Table 6 and Fig. 3). The QNN-minus-classical SI-SDR improvement peaks at 5 dB (+0.0665 dB), while PESQ gains range from +0.0083 to +0.0219. Individual SNR bins have smaller sample sizes than the pooled low/high analyses, so the consistency of the mean trend is more informative than claiming significance in every bin.</w:t>
      </w:r>
    </w:p>
    <w:p>
      <w:pPr>
        <w:keepNext/>
        <w:spacing w:before="100" w:after="60"/>
        <w:jc w:val="center"/>
      </w:pPr>
      <w:r>
        <w:rPr>
          <w:rFonts w:ascii="Times New Roman" w:hAnsi="Times New Roman"/>
          <w:b/>
          <w:bCs/>
          <w:sz w:val="17"/>
        </w:rPr>
        <w:t xml:space="preserve">Table 6. Mean locked-test scores by input SNR.</w:t>
      </w:r>
    </w:p>
    <w:tbl>
      <w:tblPr>
        <w:tblStyle w:val="TableGrid"/>
        <w:tblW w:type="dxa" w:w="8035"/>
        <w:jc w:val="center"/>
        <w:tblLayout w:type="fixed"/>
        <w:tblLook w:firstRow="1" w:lastRow="0" w:firstColumn="0" w:lastColumn="0" w:noHBand="0" w:noVBand="0" w:val="0020"/>
      </w:tblPr>
      <w:tblGrid>
        <w:gridCol w:w="835"/>
        <w:gridCol w:w="1944"/>
        <w:gridCol w:w="1944"/>
        <w:gridCol w:w="1655"/>
        <w:gridCol w:w="1655"/>
      </w:tblGrid>
      <w:tr>
        <w:trPr>
          <w:tblHeader w:val="on"/>
          <w:cantSplit/>
          <w:tblHeader w:val="true"/>
        </w:trPr>
        <w:tc>
          <w:tcPr>
            <w:tcW w:type="dxa" w:w="835"/>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SNR</w:t>
            </w:r>
          </w:p>
        </w:tc>
        <w:tc>
          <w:tcPr>
            <w:tcW w:type="dxa" w:w="194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Model</w:t>
            </w:r>
          </w:p>
        </w:tc>
        <w:tc>
          <w:tcPr>
            <w:tcW w:type="dxa" w:w="194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SI-SDR (dB)</w:t>
            </w:r>
          </w:p>
        </w:tc>
        <w:tc>
          <w:tcPr>
            <w:tcW w:type="dxa" w:w="1655"/>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PESQ</w:t>
            </w:r>
          </w:p>
        </w:tc>
        <w:tc>
          <w:tcPr>
            <w:tcW w:type="dxa" w:w="1655"/>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5"/>
              </w:rPr>
              <w:t xml:space="preserve">ESTOI</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Baseline</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6.1854</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1.3109</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0.50856</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Classical</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7.2700</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1.4035</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0.53484</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QNN</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7.3131</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1.4118</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0.53530</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Baseline</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10.2074</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1.5217</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0.64208</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Classical</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11.1642</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1.6569</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0.66480</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QNN</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11.2121</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1.6721</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0.66523</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Baseline</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13.4070</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1.7743</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0.72521</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Classical</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14.3140</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1.9255</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0.74175</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QNN</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14.3806</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1.9473</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0.74225</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Baseline</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16.7198</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2.0236</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0.77860</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Classical</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17.4913</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2.1971</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0.79176</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QNN</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17.5246</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2.2168</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0.79196</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Baseline</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19.9198</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2.3817</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0.83738</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Classical</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20.6490</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2.5646</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0.84665</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15</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QNN</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20.6752</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2.5834</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0.84713</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Baseline</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23.4435</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2.6656</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0.86595</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Classical</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24.0510</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2.8418</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0.87383</w:t>
            </w:r>
          </w:p>
        </w:tc>
      </w:tr>
      <w:tr>
        <w:trPr>
          <w:cantSplit/>
        </w:trPr>
        <w:tc>
          <w:tcPr>
            <w:tcW w:type="dxa" w:w="83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5"/>
              </w:rPr>
              <w:t xml:space="preserve">20</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QNN</w:t>
            </w:r>
          </w:p>
        </w:tc>
        <w:tc>
          <w:tcPr>
            <w:tcW w:type="dxa" w:w="194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24.0801</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2.8559</w:t>
            </w:r>
          </w:p>
        </w:tc>
        <w:tc>
          <w:tcPr>
            <w:tcW w:type="dxa" w:w="165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b/>
                <w:bCs/>
                <w:sz w:val="15"/>
              </w:rPr>
              <w:t xml:space="preserve">0.87437</w:t>
            </w:r>
          </w:p>
        </w:tc>
      </w:tr>
    </w:tbl>
    <w:p xmlns:a="http://schemas.openxmlformats.org/drawingml/2006/main" xmlns:pic="http://schemas.openxmlformats.org/drawingml/2006/picture">
      <w:pPr>
        <w:pStyle w:val="CaptionedFigure"/>
      </w:pPr>
      <w:r>
        <w:drawing>
          <wp:inline>
            <wp:extent cx="6020435" cy="1868238"/>
            <wp:effectExtent b="0" l="0" r="0" t="0"/>
            <wp:docPr descr="Mean enhancement performance by input SNR. The QNN has the highest mean score for every metric at all six SNR levels, although the magnitude of the incremental gain is small." title="" id="60" name="Picture"/>
            <a:graphic>
              <a:graphicData uri="http://schemas.openxmlformats.org/drawingml/2006/picture">
                <pic:pic>
                  <pic:nvPicPr>
                    <pic:cNvPr descr="qunet_paper_assets/fig3_snr_performance.png" id="61" name="Picture"/>
                    <pic:cNvPicPr>
                      <a:picLocks noChangeArrowheads="1" noChangeAspect="1"/>
                    </pic:cNvPicPr>
                  </pic:nvPicPr>
                  <pic:blipFill>
                    <a:blip r:embed="rId59"/>
                    <a:stretch>
                      <a:fillRect/>
                    </a:stretch>
                  </pic:blipFill>
                  <pic:spPr bwMode="auto">
                    <a:xfrm>
                      <a:off x="0" y="0"/>
                      <a:ext cx="6020435" cy="1868238"/>
                    </a:xfrm>
                    <a:prstGeom prst="rect">
                      <a:avLst/>
                    </a:prstGeom>
                    <a:noFill/>
                    <a:ln w="9525">
                      <a:noFill/>
                      <a:headEnd/>
                      <a:tailEnd/>
                    </a:ln>
                  </pic:spPr>
                </pic:pic>
              </a:graphicData>
            </a:graphic>
          </wp:inline>
        </w:drawing>
      </w:r>
    </w:p>
    <w:p>
      <w:pPr>
        <w:pStyle w:val="ImageCaption"/>
      </w:pPr>
      <w:r>
        <w:t xml:space="preserve">Mean enhancement performance by input SNR. The QNN has the highest mean score for every metric at all six SNR levels, although the magnitude of the incremental gain is small.</w:t>
      </w:r>
    </w:p>
    <w:p>
      <w:pPr>
        <w:pStyle w:val="BodyText"/>
      </w:pPr>
      <w:r>
        <w:t xml:space="preserve">One plausible interpretation is that the bottleneck conditioner matters most when the backbone must make a global decision about ambiguous speech/noise structure. Re-uploaded rotations and ring entanglement create bounded trigonometric interactions among the six compressed statistics, while the matched MLP creates nested hyperbolic-tangent interactions. The experiment shows that these two 72-parameter function families are not empirically interchangeable. It does</w:t>
      </w:r>
      <w:r>
        <w:t xml:space="preserve"> </w:t>
      </w:r>
      <w:r>
        <w:rPr>
          <w:b/>
          <w:bCs/>
        </w:rPr>
        <w:t xml:space="preserve">not</w:t>
      </w:r>
      <w:r>
        <w:t xml:space="preserve">, however, prove that entanglement itself causes the improvement; targeted circuit ablations would be required for that causal claim.</w:t>
      </w:r>
    </w:p>
    <w:bookmarkEnd w:id="62"/>
    <w:bookmarkStart w:id="63" w:name="Xa20c2efacb5a6fd1ce8d7e2033f2dfca501de5b"/>
    <w:p>
      <w:pPr>
        <w:pStyle w:val="Heading3"/>
      </w:pPr>
      <w:r>
        <w:t xml:space="preserve">7.4 Finite-shot and approximate quantum-noise stress tests</w:t>
      </w:r>
    </w:p>
    <w:p>
      <w:pPr>
        <w:keepNext/>
        <w:spacing w:before="0" w:after="80"/>
        <w:jc w:val="left"/>
      </w:pPr>
      <w:r>
        <w:rPr>
          <w:rFonts w:ascii="Times New Roman" w:hAnsi="Times New Roman"/>
          <w:b w:val="0"/>
          <w:i w:val="0"/>
          <w:sz w:val="17"/>
        </w:rPr>
        <w:t xml:space="preserve">Table 7 reports the robustness subset. Relative to ideal statevector expectations, all evaluated perturbations change SI-SDR by roughly one thousandth of a decibel and PESQ/ESTOI by similarly small amounts. In particular, 128-shot sampling does not produce a systematic quality collapse.</w:t>
      </w:r>
    </w:p>
    <w:p>
      <w:pPr>
        <w:keepNext/>
        <w:spacing w:before="100" w:after="60"/>
        <w:jc w:val="center"/>
      </w:pPr>
      <w:r>
        <w:rPr>
          <w:rFonts w:ascii="Times New Roman" w:hAnsi="Times New Roman"/>
          <w:b/>
          <w:bCs/>
          <w:sz w:val="17"/>
        </w:rPr>
        <w:t xml:space="preserve">Table 7. Quantum robustness subset (450 utterance-seed evaluations per mode).</w:t>
      </w:r>
    </w:p>
    <w:tbl>
      <w:tblPr>
        <w:tblStyle w:val="TableGrid"/>
        <w:tblW w:type="dxa" w:w="8640"/>
        <w:jc w:val="center"/>
        <w:tblLayout w:type="fixed"/>
        <w:tblLook w:firstRow="1" w:lastRow="0" w:firstColumn="0" w:lastColumn="0" w:noHBand="0" w:noVBand="0" w:val="0020"/>
      </w:tblPr>
      <w:tblGrid>
        <w:gridCol w:w="3671"/>
        <w:gridCol w:w="1800"/>
        <w:gridCol w:w="1584"/>
        <w:gridCol w:w="1584"/>
      </w:tblGrid>
      <w:tr>
        <w:trPr>
          <w:tblHeader w:val="on"/>
          <w:cantSplit/>
          <w:tblHeader w:val="true"/>
        </w:trPr>
        <w:tc>
          <w:tcPr>
            <w:tcW w:type="dxa" w:w="3671"/>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VQC evaluation mode</w:t>
            </w:r>
          </w:p>
        </w:tc>
        <w:tc>
          <w:tcPr>
            <w:tcW w:type="dxa" w:w="180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SI-SDR (dB)</w:t>
            </w:r>
          </w:p>
        </w:tc>
        <w:tc>
          <w:tcPr>
            <w:tcW w:type="dxa" w:w="158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PESQ</w:t>
            </w:r>
          </w:p>
        </w:tc>
        <w:tc>
          <w:tcPr>
            <w:tcW w:type="dxa" w:w="158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ESTOI</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Ideal statevector</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15.65112</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2.10762</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0.745531</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128 shots</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15.65162</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2.10753</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0.745541</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512 shots</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15.65138</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2.10755</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0.745537</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1,024 shots</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15.65089</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2.10770</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0.745539</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4,096 shots</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15.65086</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2.10758</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0.745524</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1% readout attenuation</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15.65004</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2.10729</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0.745522</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3% readout attenuation</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15.65005</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2.10739</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0.745521</w:t>
            </w:r>
          </w:p>
        </w:tc>
      </w:tr>
      <w:tr>
        <w:trPr>
          <w:cantSplit/>
        </w:trPr>
        <w:tc>
          <w:tcPr>
            <w:tcW w:type="dxa" w:w="3671"/>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Approx. 1% depolarizing attenuation</w:t>
            </w:r>
          </w:p>
        </w:tc>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15.65037</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2.10845</w:t>
            </w:r>
          </w:p>
        </w:tc>
        <w:tc>
          <w:tcPr>
            <w:tcW w:type="dxa" w:w="158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0.745527</w:t>
            </w:r>
          </w:p>
        </w:tc>
      </w:tr>
    </w:tbl>
    <w:p>
      <w:pPr>
        <w:pStyle w:val="BodyText"/>
      </w:pPr>
      <w:r>
        <w:t xml:space="preserve">These results support a limited claim:</w:t>
      </w:r>
      <w:r>
        <w:t xml:space="preserve"> </w:t>
      </w:r>
      <w:r>
        <w:rPr>
          <w:b/>
          <w:bCs/>
        </w:rPr>
        <w:t xml:space="preserve">the trained conditioning map is numerically insensitive to the particular finite-shot and expectation-attenuation perturbations tested in simulation</w:t>
      </w:r>
      <w:r>
        <w:t xml:space="preserve">. They do not demonstrate robustness on a physical quantum processor, where device-specific gate errors, correlated noise, compilation, drift, and measurement calibration would all matter.</w:t>
      </w:r>
    </w:p>
    <w:bookmarkEnd w:id="63"/>
    <w:bookmarkStart w:id="64" w:name="inference-cost-and-memory"/>
    <w:p>
      <w:pPr>
        <w:pStyle w:val="Heading3"/>
      </w:pPr>
      <w:r>
        <w:t xml:space="preserve">7.5 Inference cost and memory</w:t>
      </w:r>
    </w:p>
    <w:p>
      <w:pPr>
        <w:pStyle w:val="FirstParagraph"/>
      </w:pPr>
      <w:r>
        <w:t xml:space="preserve">The statevector VQC is slower than the matched MLP, as expected. Table 8 reports warm-up-controlled means across three seeds. For an 8 s segment, classical conditioning takes approximately 16.98 ms and quantum-conditioned inference approximately 29.88 ms. Both remain much faster than real time. GPU memory is essentially identical because the statevector has only</w:t>
      </w:r>
      <w:r>
        <w:t xml:space="preserve"> </w:t>
      </w:r>
      <m:oMath>
        <m:sSup>
          <m:e>
            <m:r>
              <m:t>2</m:t>
            </m:r>
          </m:e>
          <m:sup>
            <m:r>
              <m:t>6</m:t>
            </m:r>
          </m:sup>
        </m:sSup>
        <m:r>
          <m:rPr>
            <m:sty m:val="p"/>
          </m:rPr>
          <m:t>=</m:t>
        </m:r>
        <m:r>
          <m:t>64</m:t>
        </m:r>
      </m:oMath>
      <w:r>
        <w:t xml:space="preserve"> </w:t>
      </w:r>
      <w:r>
        <w:t xml:space="preserve">complex amplitudes and the shared U-Net dominates memory use.</w:t>
      </w:r>
    </w:p>
    <w:p>
      <w:pPr>
        <w:keepNext/>
        <w:spacing w:before="100" w:after="60"/>
        <w:jc w:val="center"/>
      </w:pPr>
      <w:r>
        <w:rPr>
          <w:rFonts w:ascii="Times New Roman" w:hAnsi="Times New Roman"/>
          <w:b/>
          <w:bCs/>
          <w:sz w:val="17"/>
        </w:rPr>
        <w:t xml:space="preserve">Table 8. Mean measured inference cost across the three seeds.</w:t>
      </w:r>
    </w:p>
    <w:tbl>
      <w:tblPr>
        <w:tblStyle w:val="TableGrid"/>
        <w:tblW w:type="dxa" w:w="8856"/>
        <w:jc w:val="center"/>
        <w:tblLayout w:type="fixed"/>
        <w:tblLook w:firstRow="1" w:lastRow="0" w:firstColumn="0" w:lastColumn="0" w:noHBand="0" w:noVBand="0" w:val="0020"/>
      </w:tblPr>
      <w:tblGrid>
        <w:gridCol w:w="1036"/>
        <w:gridCol w:w="1324"/>
        <w:gridCol w:w="1324"/>
        <w:gridCol w:w="1195"/>
        <w:gridCol w:w="1267"/>
        <w:gridCol w:w="979"/>
        <w:gridCol w:w="1728"/>
      </w:tblGrid>
      <w:tr>
        <w:trPr>
          <w:tblHeader w:val="on"/>
          <w:cantSplit/>
          <w:tblHeader w:val="true"/>
        </w:trPr>
        <w:tc>
          <w:tcPr>
            <w:tcW w:type="dxa" w:w="1036"/>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Audio duration</w:t>
            </w:r>
          </w:p>
        </w:tc>
        <w:tc>
          <w:tcPr>
            <w:tcW w:type="dxa" w:w="132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Baseline latency</w:t>
            </w:r>
          </w:p>
        </w:tc>
        <w:tc>
          <w:tcPr>
            <w:tcW w:type="dxa" w:w="1324"/>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Classical latency</w:t>
            </w:r>
          </w:p>
        </w:tc>
        <w:tc>
          <w:tcPr>
            <w:tcW w:type="dxa" w:w="1195"/>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QNN latency</w:t>
            </w:r>
          </w:p>
        </w:tc>
        <w:tc>
          <w:tcPr>
            <w:tcW w:type="dxa" w:w="1267"/>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QNN/classical</w:t>
            </w:r>
          </w:p>
        </w:tc>
        <w:tc>
          <w:tcPr>
            <w:tcW w:type="dxa" w:w="979"/>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QNN RTF</w:t>
            </w:r>
          </w:p>
        </w:tc>
        <w:tc>
          <w:tcPr>
            <w:tcW w:type="dxa" w:w="1728"/>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4"/>
              </w:rPr>
              <w:t xml:space="preserve">QNN peak GPU memory</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1 s</w:t>
            </w:r>
          </w:p>
        </w:tc>
        <w:tc>
          <w:tcPr>
            <w:tcW w:type="dxa" w:w="132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5.17 ms</w:t>
            </w:r>
          </w:p>
        </w:tc>
        <w:tc>
          <w:tcPr>
            <w:tcW w:type="dxa" w:w="132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5.54 ms</w:t>
            </w:r>
          </w:p>
        </w:tc>
        <w:tc>
          <w:tcPr>
            <w:tcW w:type="dxa" w:w="119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20.46 ms</w:t>
            </w:r>
          </w:p>
        </w:tc>
        <w:tc>
          <w:tcPr>
            <w:tcW w:type="dxa" w:w="1267"/>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3.70x</w:t>
            </w:r>
          </w:p>
        </w:tc>
        <w:tc>
          <w:tcPr>
            <w:tcW w:type="dxa" w:w="97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0.02046</w:t>
            </w:r>
          </w:p>
        </w:tc>
        <w:tc>
          <w:tcPr>
            <w:tcW w:type="dxa" w:w="172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51.94 MB</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4 s</w:t>
            </w:r>
          </w:p>
        </w:tc>
        <w:tc>
          <w:tcPr>
            <w:tcW w:type="dxa" w:w="132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9.33 ms</w:t>
            </w:r>
          </w:p>
        </w:tc>
        <w:tc>
          <w:tcPr>
            <w:tcW w:type="dxa" w:w="132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9.49 ms</w:t>
            </w:r>
          </w:p>
        </w:tc>
        <w:tc>
          <w:tcPr>
            <w:tcW w:type="dxa" w:w="119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22.87 ms</w:t>
            </w:r>
          </w:p>
        </w:tc>
        <w:tc>
          <w:tcPr>
            <w:tcW w:type="dxa" w:w="1267"/>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2.41x</w:t>
            </w:r>
          </w:p>
        </w:tc>
        <w:tc>
          <w:tcPr>
            <w:tcW w:type="dxa" w:w="97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0.00572</w:t>
            </w:r>
          </w:p>
        </w:tc>
        <w:tc>
          <w:tcPr>
            <w:tcW w:type="dxa" w:w="172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148.77 MB</w:t>
            </w:r>
          </w:p>
        </w:tc>
      </w:tr>
      <w:tr>
        <w:trPr>
          <w:cantSplit/>
        </w:trPr>
        <w:tc>
          <w:tcPr>
            <w:tcW w:type="dxa" w:w="1036"/>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8 s</w:t>
            </w:r>
          </w:p>
        </w:tc>
        <w:tc>
          <w:tcPr>
            <w:tcW w:type="dxa" w:w="132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16.81 ms</w:t>
            </w:r>
          </w:p>
        </w:tc>
        <w:tc>
          <w:tcPr>
            <w:tcW w:type="dxa" w:w="1324"/>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16.98 ms</w:t>
            </w:r>
          </w:p>
        </w:tc>
        <w:tc>
          <w:tcPr>
            <w:tcW w:type="dxa" w:w="1195"/>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29.88 ms</w:t>
            </w:r>
          </w:p>
        </w:tc>
        <w:tc>
          <w:tcPr>
            <w:tcW w:type="dxa" w:w="1267"/>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1.76x</w:t>
            </w:r>
          </w:p>
        </w:tc>
        <w:tc>
          <w:tcPr>
            <w:tcW w:type="dxa" w:w="979"/>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0.00374</w:t>
            </w:r>
          </w:p>
        </w:tc>
        <w:tc>
          <w:tcPr>
            <w:tcW w:type="dxa" w:w="1728"/>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4"/>
              </w:rPr>
              <w:t xml:space="preserve">281.59 MB</w:t>
            </w:r>
          </w:p>
        </w:tc>
      </w:tr>
    </w:tbl>
    <w:p>
      <w:pPr>
        <w:pStyle w:val="BodyText"/>
      </w:pPr>
      <w:r>
        <w:t xml:space="preserve">The roughly fixed circuit overhead becomes a smaller fraction of total inference time as audio duration grows because the circuit is invoked once per segment rather than once per time-frequency bin. Nevertheless, these are</w:t>
      </w:r>
      <w:r>
        <w:t xml:space="preserve"> </w:t>
      </w:r>
      <w:r>
        <w:rPr>
          <w:b/>
          <w:bCs/>
        </w:rPr>
        <w:t xml:space="preserve">classical simulator timings</w:t>
      </w:r>
      <w:r>
        <w:t xml:space="preserve">; the present work makes no quantum speedup claim.</w:t>
      </w:r>
    </w:p>
    <w:bookmarkEnd w:id="64"/>
    <w:bookmarkStart w:id="65" w:name="X31ac16bc6125647682ecd90f7f35e73ce3995b9"/>
    <w:p>
      <w:pPr>
        <w:pStyle w:val="Heading3"/>
      </w:pPr>
      <w:r>
        <w:t xml:space="preserve">7.6 Relationship to the existing HQCSE method</w:t>
      </w:r>
    </w:p>
    <w:p>
      <w:pPr>
        <w:pStyle w:val="FirstParagraph"/>
      </w:pPr>
      <w:r>
        <w:t xml:space="preserve">The closest existing enhancement method, HQCSE [15], and the present work make different design choices. Table 9 summarizes the methodological distinction rather than comparing incompatible absolute scores.</w:t>
      </w:r>
    </w:p>
    <w:p>
      <w:pPr>
        <w:keepNext/>
        <w:spacing w:before="100" w:after="60"/>
        <w:jc w:val="center"/>
      </w:pPr>
      <w:r>
        <w:rPr>
          <w:rFonts w:ascii="Times New Roman" w:hAnsi="Times New Roman"/>
          <w:b/>
          <w:bCs/>
          <w:sz w:val="17"/>
        </w:rPr>
        <w:t xml:space="preserve">Table 9. Methodological comparison with the published HQCSE framework. Absolute performance numbers are not directly comparable because the datasets and protocols differ.</w:t>
      </w:r>
    </w:p>
    <w:tbl>
      <w:tblPr>
        <w:tblStyle w:val="TableGrid"/>
        <w:tblW w:type="dxa" w:w="9360"/>
        <w:jc w:val="center"/>
        <w:tblLayout w:type="fixed"/>
        <w:tblLook w:firstRow="1" w:lastRow="0" w:firstColumn="0" w:lastColumn="0" w:noHBand="0" w:noVBand="0" w:val="0020"/>
      </w:tblPr>
      <w:tblGrid>
        <w:gridCol w:w="1800"/>
        <w:gridCol w:w="3600"/>
        <w:gridCol w:w="3960"/>
      </w:tblGrid>
      <w:tr>
        <w:trPr>
          <w:tblHeader w:val="on"/>
          <w:cantSplit/>
          <w:tblHeader w:val="true"/>
        </w:trPr>
        <w:tc>
          <w:tcPr>
            <w:tcW w:type="dxa" w:w="180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Property</w:t>
            </w:r>
          </w:p>
        </w:tc>
        <w:tc>
          <w:tcPr>
            <w:tcW w:type="dxa" w:w="360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HQCSE [15]</w:t>
            </w:r>
          </w:p>
        </w:tc>
        <w:tc>
          <w:tcPr>
            <w:tcW w:type="dxa" w:w="3960"/>
            <w:vAlign w:val="center"/>
            <w:tcMar>
              <w:top w:w="45" w:type="dxa"/>
              <w:start w:w="45" w:type="dxa"/>
              <w:bottom w:w="45" w:type="dxa"/>
              <w:end w:w="45" w:type="dxa"/>
            </w:tcMar>
            <w:shd w:fill="E7E6E6"/>
          </w:tcPr>
          <w:p>
            <w:pPr>
              <w:keepNext w:val="0"/>
              <w:keepLines w:val="0"/>
              <w:pageBreakBefore w:val="0"/>
              <w:widowControl w:val="0"/>
              <w:spacing w:before="0" w:after="0" w:line="240" w:lineRule="auto"/>
              <w:jc w:val="center"/>
            </w:pPr>
            <w:r>
              <w:rPr>
                <w:rFonts w:ascii="Times New Roman" w:hAnsi="Times New Roman" w:eastAsia="Times New Roman"/>
                <w:b/>
                <w:sz w:val="16"/>
              </w:rPr>
              <w:t xml:space="preserve">Present study</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Main architecture</w:t>
            </w:r>
          </w:p>
        </w:tc>
        <w:tc>
          <w:tcPr>
            <w:tcW w:type="dxa" w:w="3600"/>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Two-stage QNN + LSTM hybrid</w:t>
            </w:r>
          </w:p>
        </w:tc>
        <w:tc>
          <w:tcPr>
            <w:tcW w:type="dxa" w:w="39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Phase-aware lightweight U-Net + bottleneck conditioner</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Reported total parameters</w:t>
            </w:r>
          </w:p>
        </w:tc>
        <w:tc>
          <w:tcPr>
            <w:tcW w:type="dxa" w:w="3600"/>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4.82 M</w:t>
            </w:r>
          </w:p>
        </w:tc>
        <w:tc>
          <w:tcPr>
            <w:tcW w:type="dxa" w:w="39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0.5298 M</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Quantum/classical ablation</w:t>
            </w:r>
          </w:p>
        </w:tc>
        <w:tc>
          <w:tcPr>
            <w:tcW w:type="dxa" w:w="3600"/>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QNN vs</w:t>
            </w:r>
            <w:r>
              <w:rPr>
                <w:rFonts w:ascii="Times New Roman" w:hAnsi="Times New Roman" w:eastAsia="Times New Roman"/>
                <w:sz w:val="16"/>
              </w:rPr>
              <w:t xml:space="preserve"> </w:t>
            </w:r>
            <w:r>
              <w:rPr>
                <w:rFonts w:ascii="Times New Roman" w:hAnsi="Times New Roman" w:eastAsia="Times New Roman"/>
                <w:i/>
                <w:iCs/>
                <w:sz w:val="16"/>
              </w:rPr>
              <w:t xml:space="preserve">slightly larger</w:t>
            </w:r>
            <w:r>
              <w:rPr>
                <w:rFonts w:ascii="Times New Roman" w:hAnsi="Times New Roman" w:eastAsia="Times New Roman"/>
                <w:sz w:val="16"/>
              </w:rPr>
              <w:t xml:space="preserve"> </w:t>
            </w:r>
            <w:r>
              <w:rPr>
                <w:rFonts w:ascii="Times New Roman" w:hAnsi="Times New Roman" w:eastAsia="Times New Roman"/>
                <w:sz w:val="16"/>
              </w:rPr>
              <w:t xml:space="preserve">MLP</w:t>
            </w:r>
          </w:p>
        </w:tc>
        <w:tc>
          <w:tcPr>
            <w:tcW w:type="dxa" w:w="39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QNN vs</w:t>
            </w:r>
            <w:r>
              <w:rPr>
                <w:rFonts w:ascii="Times New Roman" w:hAnsi="Times New Roman" w:eastAsia="Times New Roman"/>
                <w:sz w:val="16"/>
              </w:rPr>
              <w:t xml:space="preserve"> </w:t>
            </w:r>
            <w:r>
              <w:rPr>
                <w:rFonts w:ascii="Times New Roman" w:hAnsi="Times New Roman" w:eastAsia="Times New Roman"/>
                <w:b/>
                <w:bCs/>
                <w:sz w:val="16"/>
              </w:rPr>
              <w:t xml:space="preserve">exactly 72-parameter</w:t>
            </w:r>
            <w:r>
              <w:rPr>
                <w:rFonts w:ascii="Times New Roman" w:hAnsi="Times New Roman" w:eastAsia="Times New Roman"/>
                <w:sz w:val="16"/>
              </w:rPr>
              <w:t xml:space="preserve"> </w:t>
            </w:r>
            <w:r>
              <w:rPr>
                <w:rFonts w:ascii="Times New Roman" w:hAnsi="Times New Roman" w:eastAsia="Times New Roman"/>
                <w:sz w:val="16"/>
              </w:rPr>
              <w:t xml:space="preserve">MLP core</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Quantum placement</w:t>
            </w:r>
          </w:p>
        </w:tc>
        <w:tc>
          <w:tcPr>
            <w:tcW w:type="dxa" w:w="3600"/>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Preprocessing in two-stage model</w:t>
            </w:r>
          </w:p>
        </w:tc>
        <w:tc>
          <w:tcPr>
            <w:tcW w:type="dxa" w:w="39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Single global bottleneck conditioning call</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Classical/quantum total count matched</w:t>
            </w:r>
          </w:p>
        </w:tc>
        <w:tc>
          <w:tcPr>
            <w:tcW w:type="dxa" w:w="3600"/>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Not exact in reported MLP ablation</w:t>
            </w:r>
          </w:p>
        </w:tc>
        <w:tc>
          <w:tcPr>
            <w:tcW w:type="dxa" w:w="39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Yes: 529,823 vs 529,823</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Seeds/locked paired statistics</w:t>
            </w:r>
          </w:p>
        </w:tc>
        <w:tc>
          <w:tcPr>
            <w:tcW w:type="dxa" w:w="3600"/>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Different protocol</w:t>
            </w:r>
          </w:p>
        </w:tc>
        <w:tc>
          <w:tcPr>
            <w:tcW w:type="dxa" w:w="39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3 seeds, locked 2,000-utterance test, paired bootstrap/Wilcoxon/Holm</w:t>
            </w:r>
          </w:p>
        </w:tc>
      </w:tr>
      <w:tr>
        <w:trPr>
          <w:cantSplit/>
        </w:trPr>
        <w:tc>
          <w:tcPr>
            <w:tcW w:type="dxa" w:w="180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Hardware claim</w:t>
            </w:r>
          </w:p>
        </w:tc>
        <w:tc>
          <w:tcPr>
            <w:tcW w:type="dxa" w:w="3600"/>
            <w:vAlign w:val="center"/>
            <w:tcMar>
              <w:top w:w="45" w:type="dxa"/>
              <w:start w:w="45" w:type="dxa"/>
              <w:bottom w:w="45" w:type="dxa"/>
              <w:end w:w="45" w:type="dxa"/>
            </w:tcMar>
          </w:tcPr>
          <w:p>
            <w:pPr>
              <w:keepNext w:val="0"/>
              <w:keepLines w:val="0"/>
              <w:pageBreakBefore w:val="0"/>
              <w:widowControl w:val="0"/>
              <w:spacing w:before="0" w:after="0" w:line="240" w:lineRule="auto"/>
              <w:jc w:val="left"/>
            </w:pPr>
            <w:r>
              <w:rPr>
                <w:rFonts w:ascii="Times New Roman" w:hAnsi="Times New Roman" w:eastAsia="Times New Roman"/>
                <w:sz w:val="16"/>
              </w:rPr>
              <w:t xml:space="preserve">Simulated noise analysis</w:t>
            </w:r>
          </w:p>
        </w:tc>
        <w:tc>
          <w:tcPr>
            <w:tcW w:type="dxa" w:w="3960"/>
            <w:vAlign w:val="center"/>
            <w:tcMar>
              <w:top w:w="45" w:type="dxa"/>
              <w:start w:w="45" w:type="dxa"/>
              <w:bottom w:w="45" w:type="dxa"/>
              <w:end w:w="45" w:type="dxa"/>
            </w:tcMar>
          </w:tcPr>
          <w:p>
            <w:pPr>
              <w:keepNext w:val="0"/>
              <w:keepLines w:val="0"/>
              <w:pageBreakBefore w:val="0"/>
              <w:widowControl w:val="0"/>
              <w:spacing w:before="0" w:after="0" w:line="240" w:lineRule="auto"/>
              <w:jc w:val="center"/>
            </w:pPr>
            <w:r>
              <w:rPr>
                <w:rFonts w:ascii="Times New Roman" w:hAnsi="Times New Roman" w:eastAsia="Times New Roman"/>
                <w:sz w:val="16"/>
              </w:rPr>
              <w:t xml:space="preserve">Statevector + simulated shot/noise stress tests; no hardware claim</w:t>
            </w:r>
          </w:p>
        </w:tc>
      </w:tr>
    </w:tbl>
    <w:p>
      <w:pPr>
        <w:pStyle w:val="BodyText"/>
      </w:pPr>
      <w:r>
        <w:t xml:space="preserve">At the parameter-count level, the present model uses approximately 89% fewer trainable parameters than the 4.82 M reported for HQCSE. This should be interpreted only as an architectural compactness comparison. A direct performance claim would require running both methods under the same canonical dataset, split, preprocessing, and metrics.</w:t>
      </w:r>
    </w:p>
    <w:bookmarkEnd w:id="65"/>
    <w:bookmarkEnd w:id="66"/>
    <w:bookmarkStart w:id="71" w:name="discussion"/>
    <w:p>
      <w:pPr>
        <w:pStyle w:val="Heading2"/>
      </w:pPr>
      <w:r>
        <w:t xml:space="preserve">8. Discussion</w:t>
      </w:r>
    </w:p>
    <w:bookmarkStart w:id="67" w:name="what-has-actually-been-demonstrated"/>
    <w:p>
      <w:pPr>
        <w:pStyle w:val="Heading3"/>
      </w:pPr>
      <w:r>
        <w:t xml:space="preserve">8.1 What has actually been demonstrated?</w:t>
      </w:r>
    </w:p>
    <w:p>
      <w:pPr>
        <w:pStyle w:val="FirstParagraph"/>
      </w:pPr>
      <w:r>
        <w:t xml:space="preserve">The main result is narrower than the phrase</w:t>
      </w:r>
      <w:r>
        <w:t xml:space="preserve"> </w:t>
      </w:r>
      <w:r>
        <w:t xml:space="preserve">“</w:t>
      </w:r>
      <w:r>
        <w:t xml:space="preserve">quantum enhancement is better than classical enhancement.</w:t>
      </w:r>
      <w:r>
        <w:t xml:space="preserve">”</w:t>
      </w:r>
      <w:r>
        <w:t xml:space="preserve"> </w:t>
      </w:r>
      <w:r>
        <w:t xml:space="preserve">The data support the following statement:</w:t>
      </w:r>
    </w:p>
    <w:p>
      <w:pPr>
        <w:pStyle w:val="BlockText"/>
      </w:pPr>
      <w:r>
        <w:t xml:space="preserve">Under a fixed lightweight speech-enhancement backbone, identical global conditioning shell, exact 72-parameter core matching, shared initialization protocol, and a frozen locked-test design, the selected six-qubit VQC produces a small but reproducible improvement over the matched MLP in perceptual quality (PESQ) and intelligibility (ESTOI), with the clearest multi-metric advantage in the pooled low-SNR regime.</w:t>
      </w:r>
    </w:p>
    <w:p>
      <w:pPr>
        <w:pStyle w:val="FirstParagraph"/>
      </w:pPr>
      <w:r>
        <w:t xml:space="preserve">The magnitude of the improvement matters. A +0.0164 PESQ gain is not a transformation of the overall enhancement task; it is an incremental advantage over a strong parameter-controlled baseline. The paper’s contribution is therefore methodological as much as numerical: the experiment removes several confounders that commonly make it difficult to interpret quantum/classical comparisons.</w:t>
      </w:r>
    </w:p>
    <w:bookmarkEnd w:id="67"/>
    <w:bookmarkStart w:id="68" w:name="X3ec085c22b165f155d8d5f10f6fd70ce4df8fc7"/>
    <w:p>
      <w:pPr>
        <w:pStyle w:val="Heading3"/>
      </w:pPr>
      <w:r>
        <w:t xml:space="preserve">8.2 Why might the low-SNR regime be different?</w:t>
      </w:r>
    </w:p>
    <w:p>
      <w:pPr>
        <w:pStyle w:val="FirstParagraph"/>
      </w:pPr>
      <w:r>
        <w:t xml:space="preserve">The six inputs to the nonlinear core are not raw waveform samples; they are learned projections of 896 global first/second-order feature statistics. At low SNR, these statistics reflect more ambiguous interactions between speech and noise across multiple encoder scales. The VQC maps the six angles through repeated trigonometric rotations and entangling operations, and the measured</w:t>
      </w:r>
      <w:r>
        <w:t xml:space="preserve"> </w:t>
      </w:r>
      <m:oMath>
        <m:r>
          <m:t>Z</m:t>
        </m:r>
      </m:oMath>
      <w:r>
        <w:t xml:space="preserve">/</w:t>
      </w:r>
      <m:oMath>
        <m:r>
          <m:t>Z</m:t>
        </m:r>
        <m:r>
          <m:t>Z</m:t>
        </m:r>
      </m:oMath>
      <w:r>
        <w:t xml:space="preserve"> </w:t>
      </w:r>
      <w:r>
        <w:t xml:space="preserve">observables capture both single-coordinate and pairwise quantum correlations. This may provide a useful structured nonlinear map for the bottleneck modulation.</w:t>
      </w:r>
    </w:p>
    <w:p>
      <w:pPr>
        <w:pStyle w:val="BodyText"/>
      </w:pPr>
      <w:r>
        <w:t xml:space="preserve">However, this interpretation remains a hypothesis. Parameter matching controls model size but does not make the two function classes isomorphic, nor does it isolate entanglement, data re-uploading, periodicity, or measurement choice individually. Future ablations should compare ring entanglement with no-entanglement circuits, remove</w:t>
      </w:r>
      <w:r>
        <w:t xml:space="preserve"> </w:t>
      </w:r>
      <m:oMath>
        <m:r>
          <m:t>Z</m:t>
        </m:r>
        <m:r>
          <m:t>Z</m:t>
        </m:r>
      </m:oMath>
      <w:r>
        <w:t xml:space="preserve"> </w:t>
      </w:r>
      <w:r>
        <w:t xml:space="preserve">observables, alter depth, and include additional matched classical bases such as Fourier-feature MLPs. Such tests would help identify</w:t>
      </w:r>
      <w:r>
        <w:t xml:space="preserve"> </w:t>
      </w:r>
      <w:r>
        <w:rPr>
          <w:i/>
          <w:iCs/>
        </w:rPr>
        <w:t xml:space="preserve">which</w:t>
      </w:r>
      <w:r>
        <w:t xml:space="preserve"> </w:t>
      </w:r>
      <w:r>
        <w:t xml:space="preserve">VQC property is associated with the observed low-SNR behavior.</w:t>
      </w:r>
    </w:p>
    <w:bookmarkEnd w:id="68"/>
    <w:bookmarkStart w:id="69" w:name="Xa5c57848507b54a87d3d3c057290724b273f9a2"/>
    <w:p>
      <w:pPr>
        <w:pStyle w:val="Heading3"/>
      </w:pPr>
      <w:r>
        <w:t xml:space="preserve">8.3 Parameter efficiency versus quantum advantage</w:t>
      </w:r>
    </w:p>
    <w:p>
      <w:pPr>
        <w:pStyle w:val="FirstParagraph"/>
      </w:pPr>
      <w:r>
        <w:t xml:space="preserve">The complete QNN and classical-conditioned models have identical parameter counts, and both are only about 1.69% larger than the baseline. This makes the experiment useful for studying</w:t>
      </w:r>
      <w:r>
        <w:t xml:space="preserve"> </w:t>
      </w:r>
      <w:r>
        <w:rPr>
          <w:b/>
          <w:bCs/>
        </w:rPr>
        <w:t xml:space="preserve">parameter-efficient inductive bias</w:t>
      </w:r>
      <w:r>
        <w:t xml:space="preserve">. It does not demonstrate computational quantum advantage. In the present implementation, the VQC is simulated by a classical statevector and is slower than the MLP. A future hardware implementation would add communication, queueing, compilation, and shot costs. Conversely, the small six-qubit circuit and one-call-per-segment design keep the quantum workload bounded and make physical execution more plausible than a circuit-per-bin architecture.</w:t>
      </w:r>
    </w:p>
    <w:bookmarkEnd w:id="69"/>
    <w:bookmarkStart w:id="70" w:name="statistical-interpretation"/>
    <w:p>
      <w:pPr>
        <w:pStyle w:val="Heading3"/>
      </w:pPr>
      <w:r>
        <w:t xml:space="preserve">8.4 Statistical interpretation</w:t>
      </w:r>
    </w:p>
    <w:p>
      <w:pPr>
        <w:pStyle w:val="FirstParagraph"/>
      </w:pPr>
      <w:r>
        <w:t xml:space="preserve">The study intentionally reports both mean confidence intervals and a rank-based test. The apparent tension for SI-SDR - positive mean CI but nonsignificant Wilcoxon-Holm result - is scientifically useful. It shows that the mean gain is not distributed as a uniform positive shift across utterances. The PESQ result is substantially more consistent. This pattern argues against collapsing all evidence into a single</w:t>
      </w:r>
      <w:r>
        <w:t xml:space="preserve"> </w:t>
      </w:r>
      <w:r>
        <w:t xml:space="preserve">“</w:t>
      </w:r>
      <w:r>
        <w:t xml:space="preserve">win/loss</w:t>
      </w:r>
      <w:r>
        <w:t xml:space="preserve">”</w:t>
      </w:r>
      <w:r>
        <w:t xml:space="preserve"> </w:t>
      </w:r>
      <w:r>
        <w:t xml:space="preserve">label.</w:t>
      </w:r>
    </w:p>
    <w:p>
      <w:pPr>
        <w:pStyle w:val="BodyText"/>
      </w:pPr>
      <w:r>
        <w:t xml:space="preserve">There is also a hierarchy in the experimental units. The 2,000 paired test utterances are not 2,000 independent speakers or 2,000 independent noise processes. Consequently, the very small PESQ</w:t>
      </w:r>
      <w:r>
        <w:t xml:space="preserve"> </w:t>
      </w:r>
      <m:oMath>
        <m:r>
          <m:t>p</m:t>
        </m:r>
      </m:oMath>
      <w:r>
        <w:t xml:space="preserve"> </w:t>
      </w:r>
      <w:r>
        <w:t xml:space="preserve">value should be interpreted as strong</w:t>
      </w:r>
      <w:r>
        <w:t xml:space="preserve"> </w:t>
      </w:r>
      <w:r>
        <w:rPr>
          <w:b/>
          <w:bCs/>
        </w:rPr>
        <w:t xml:space="preserve">utterance-level consistency on this fixed benchmark</w:t>
      </w:r>
      <w:r>
        <w:t xml:space="preserve">, not as proof of universal deployment-level superiority. Speaker-disjoint, unseen-noise, and cluster-aware resampling are natural next steps.</w:t>
      </w:r>
    </w:p>
    <w:bookmarkEnd w:id="70"/>
    <w:bookmarkEnd w:id="71"/>
    <w:bookmarkStart w:id="72" w:name="limitations-and-threats-to-validity"/>
    <w:p>
      <w:pPr>
        <w:pStyle w:val="Heading2"/>
      </w:pPr>
      <w:r>
        <w:t xml:space="preserve">9. Limitations and Threats to Validity</w:t>
      </w:r>
    </w:p>
    <w:p>
      <w:pPr>
        <w:pStyle w:val="FirstParagraph"/>
      </w:pPr>
      <w:r>
        <w:t xml:space="preserve">First, the benchmark is a custom VCTK+ESC-50 mixture set rather than the canonical VoiceBank+DEMAND protocol. This prevents direct state-of-the-art comparison with much of the speech-enhancement literature and with the absolute numbers reported by HQCSE. The present results should therefore be interpreted internally across the three exactly aligned variants.</w:t>
      </w:r>
    </w:p>
    <w:p>
      <w:pPr>
        <w:pStyle w:val="BodyText"/>
      </w:pPr>
      <w:r>
        <w:t xml:space="preserve">Second, although file paths and sample identifiers are disjoint across splits, the same 23 speaker identities and 11 noise-category labels occur in train, validation, and test. The locked test measures in-distribution generalization to unseen files, not unseen speakers or unseen semantic noise classes.</w:t>
      </w:r>
    </w:p>
    <w:p>
      <w:pPr>
        <w:pStyle w:val="BodyText"/>
      </w:pPr>
      <w:r>
        <w:t xml:space="preserve">Third, only three model-training seeds are used. Pairing across 2,000 utterances increases precision for the fixed-test comparison, but additional independent training seeds would better characterize optimization variability.</w:t>
      </w:r>
    </w:p>
    <w:p>
      <w:pPr>
        <w:pStyle w:val="BodyText"/>
      </w:pPr>
      <w:r>
        <w:t xml:space="preserve">Fourth, the classical control is deliberately parameter matched but is not an exhaustive search over all possible 72-parameter classical nonlinearities. A different small classical basis could potentially match or exceed the VQC. The correct claim is therefore advantage over</w:t>
      </w:r>
      <w:r>
        <w:t xml:space="preserve"> </w:t>
      </w:r>
      <w:r>
        <w:rPr>
          <w:b/>
          <w:bCs/>
        </w:rPr>
        <w:t xml:space="preserve">the specified matched MLP control</w:t>
      </w:r>
      <w:r>
        <w:t xml:space="preserve">, not over every classical function of equivalent size.</w:t>
      </w:r>
    </w:p>
    <w:p>
      <w:pPr>
        <w:pStyle w:val="BodyText"/>
      </w:pPr>
      <w:r>
        <w:t xml:space="preserve">Fifth, the main circuit is evaluated with exact statevector expectations. The finite-shot and noise analyses are simulation-level stress tests, including simplified expectation attenuation for readout/depolarizing effects. They are not substitutes for execution on calibrated quantum hardware.</w:t>
      </w:r>
    </w:p>
    <w:p>
      <w:pPr>
        <w:pStyle w:val="BodyText"/>
      </w:pPr>
      <w:r>
        <w:t xml:space="preserve">Finally, PESQ, ESTOI, and SI-SDR are objective proxies. Formal listening tests would be needed to establish whether the small QNN-classical differences are perceptually noticeable to human listeners.</w:t>
      </w:r>
    </w:p>
    <w:p>
      <w:pPr>
        <w:pStyle w:val="BodyText"/>
      </w:pPr>
      <w:r>
        <w:t xml:space="preserve">These limitations do not invalidate the controlled comparison; they define its scope. A strong follow-up study would preserve the frozen parameter-matched design while adding canonical VoiceBank+DEMAND, speaker-disjoint and unseen-noise splits, more training seeds, additional matched classical controls, and real-hardware evaluation.</w:t>
      </w:r>
    </w:p>
    <w:bookmarkEnd w:id="72"/>
    <w:bookmarkStart w:id="73" w:name="conclusion"/>
    <w:p>
      <w:pPr>
        <w:pStyle w:val="Heading2"/>
      </w:pPr>
      <w:r>
        <w:t xml:space="preserve">10. Conclusion</w:t>
      </w:r>
    </w:p>
    <w:p>
      <w:pPr>
        <w:pStyle w:val="FirstParagraph"/>
      </w:pPr>
      <w:r>
        <w:t xml:space="preserve">This work presented a parameter-matched study of variational quantum conditioning for single-channel speech enhancement. A lightweight phase-aware U-Net was augmented with a global bottleneck conditioner that compresses 896 multi-scale feature statistics to six bounded variables. The nonlinear core was either a six-qubit depth-four VQC with data re-uploading and ring entanglement or an exactly 72-parameter MLP; all surrounding projections, conditioning operations, total parameters, training data, and test utterances were held fixed.</w:t>
      </w:r>
    </w:p>
    <w:p>
      <w:pPr>
        <w:pStyle w:val="BodyText"/>
      </w:pPr>
      <w:r>
        <w:t xml:space="preserve">Across three seeds on a 2,000-utterance locked test, the QNN achieved 15.8649 dB SI-SDR, 2.1133 PESQ, and 0.74320 ESTOI, compared with 15.8237 dB, 2.0969, and 0.74276 for the matched MLP. The QNN-minus-classical gains in PESQ and ESTOI were significant after Holm correction. The overall SI-SDR mean gain was positive but did not pass the prespecified rank-based significance test. In the pooled -5/0/5 dB regime, all three metrics significantly favored the VQC. Simulated finite-shot and simple readout/depolarizing perturbations produced little degradation, while statevector execution remained slower than classical conditioning.</w:t>
      </w:r>
    </w:p>
    <w:p>
      <w:pPr>
        <w:pStyle w:val="BodyText"/>
      </w:pPr>
      <w:r>
        <w:t xml:space="preserve">The results therefore support a cautious but positive conclusion:</w:t>
      </w:r>
      <w:r>
        <w:t xml:space="preserve"> </w:t>
      </w:r>
      <w:r>
        <w:rPr>
          <w:b/>
          <w:bCs/>
        </w:rPr>
        <w:t xml:space="preserve">a compact variational quantum circuit can provide a small, repeatable benefit over an exactly parameter-matched classical nonlinear conditioner in a controlled speech-enhancement setting, especially under low-SNR conditions.</w:t>
      </w:r>
      <w:r>
        <w:t xml:space="preserve"> </w:t>
      </w:r>
      <w:r>
        <w:t xml:space="preserve">The finding is evidence of a useful difference in inductive bias, not evidence of computational quantum advantage. The exact matching and locked statistical protocol provide a foundation for the next stage of evaluation on canonical and out-of-distribution speech-enhancement benchmarks.</w:t>
      </w:r>
    </w:p>
    <w:bookmarkEnd w:id="73"/>
    <w:bookmarkStart w:id="74" w:name="declarations"/>
    <w:p>
      <w:pPr>
        <w:pStyle w:val="Heading2"/>
      </w:pPr>
      <w:r>
        <w:t>7.7 Confirmatory extension: held-out environmental noise</w:t>
      </w:r>
    </w:p>
    <w:p>
      <w:r>
        <w:t>We additionally evaluated deterministic remixes using the preserved clean/noise-source manifests. Siren and helicopter noise categories were excluded from training and validation; the 276-mixture held-out test contains only these two categories. The training and validation partitions contain 12,175 and 1,644 mixtures. This is a new deterministic-remix experiment, not a bit-exact reconstruction of the original locked-test audio: the earlier generator’s noise offsets and gains were not preserved. Three independent seeds (17, 42, 123) are represented. The following results are computed from the exported per-utterance metrics, rather than inferred from figures.</w:t>
      </w:r>
    </w:p>
    <w:p>
      <w:r>
        <w:t>For each metric m and seed r, let Δ(r,i,m) = m(QNN,r,i) − m(classical,r,i). We report the mean across paired rows, with a separate seed-wise summary to avoid treating 828 repeated evaluations as 828 independent training runs. An uncertainty interval across utterances addresses within-test variability, not variability due to model retraining.</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tcPr>
          <w:p>
            <w:r>
              <w:t>Model</w:t>
            </w:r>
          </w:p>
        </w:tc>
        <w:tc>
          <w:tcPr>
            <w:tcW w:type="dxa" w:w="2441"/>
          </w:tcPr>
          <w:p>
            <w:r>
              <w:t>SI-SDR (dB)</w:t>
            </w:r>
          </w:p>
        </w:tc>
        <w:tc>
          <w:tcPr>
            <w:tcW w:type="dxa" w:w="2441"/>
          </w:tcPr>
          <w:p>
            <w:r>
              <w:t>PESQ</w:t>
            </w:r>
          </w:p>
        </w:tc>
        <w:tc>
          <w:tcPr>
            <w:tcW w:type="dxa" w:w="2441"/>
          </w:tcPr>
          <w:p>
            <w:r>
              <w:t>ESTOI</w:t>
            </w:r>
          </w:p>
        </w:tc>
      </w:tr>
      <w:tr>
        <w:tc>
          <w:tcPr>
            <w:tcW w:type="dxa" w:w="2441"/>
          </w:tcPr>
          <w:p>
            <w:r>
              <w:t>baseline</w:t>
            </w:r>
          </w:p>
        </w:tc>
        <w:tc>
          <w:tcPr>
            <w:tcW w:type="dxa" w:w="2441"/>
          </w:tcPr>
          <w:p>
            <w:r>
              <w:t>15.00199</w:t>
            </w:r>
          </w:p>
        </w:tc>
        <w:tc>
          <w:tcPr>
            <w:tcW w:type="dxa" w:w="2441"/>
          </w:tcPr>
          <w:p>
            <w:r>
              <w:t>2.02453</w:t>
            </w:r>
          </w:p>
        </w:tc>
        <w:tc>
          <w:tcPr>
            <w:tcW w:type="dxa" w:w="2441"/>
          </w:tcPr>
          <w:p>
            <w:r>
              <w:t>0.73531</w:t>
            </w:r>
          </w:p>
        </w:tc>
      </w:tr>
      <w:tr>
        <w:tc>
          <w:tcPr>
            <w:tcW w:type="dxa" w:w="2441"/>
          </w:tcPr>
          <w:p>
            <w:r>
              <w:t>classical</w:t>
            </w:r>
          </w:p>
        </w:tc>
        <w:tc>
          <w:tcPr>
            <w:tcW w:type="dxa" w:w="2441"/>
          </w:tcPr>
          <w:p>
            <w:r>
              <w:t>15.93027</w:t>
            </w:r>
          </w:p>
        </w:tc>
        <w:tc>
          <w:tcPr>
            <w:tcW w:type="dxa" w:w="2441"/>
          </w:tcPr>
          <w:p>
            <w:r>
              <w:t>2.18260</w:t>
            </w:r>
          </w:p>
        </w:tc>
        <w:tc>
          <w:tcPr>
            <w:tcW w:type="dxa" w:w="2441"/>
          </w:tcPr>
          <w:p>
            <w:r>
              <w:t>0.75465</w:t>
            </w:r>
          </w:p>
        </w:tc>
      </w:tr>
      <w:tr>
        <w:tc>
          <w:tcPr>
            <w:tcW w:type="dxa" w:w="2441"/>
          </w:tcPr>
          <w:p>
            <w:r>
              <w:t>qnn</w:t>
            </w:r>
          </w:p>
        </w:tc>
        <w:tc>
          <w:tcPr>
            <w:tcW w:type="dxa" w:w="2441"/>
          </w:tcPr>
          <w:p>
            <w:r>
              <w:t>15.92480</w:t>
            </w:r>
          </w:p>
        </w:tc>
        <w:tc>
          <w:tcPr>
            <w:tcW w:type="dxa" w:w="2441"/>
          </w:tcPr>
          <w:p>
            <w:r>
              <w:t>2.18677</w:t>
            </w:r>
          </w:p>
        </w:tc>
        <w:tc>
          <w:tcPr>
            <w:tcW w:type="dxa" w:w="2441"/>
          </w:tcPr>
          <w:p>
            <w:r>
              <w:t>0.75526</w:t>
            </w:r>
          </w:p>
        </w:tc>
      </w:tr>
    </w:tbl>
    <w:p>
      <w:r>
        <w:t>Table 10. Unseen-noise performance, pooled over three training seeds and 276 test utterances per seed (828 evaluation rows per model).</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tcPr>
          <w:p>
            <w:r>
              <w:t>Seed</w:t>
            </w:r>
          </w:p>
        </w:tc>
        <w:tc>
          <w:tcPr>
            <w:tcW w:type="dxa" w:w="2441"/>
          </w:tcPr>
          <w:p>
            <w:r>
              <w:t>Δ SI-SDR</w:t>
            </w:r>
          </w:p>
        </w:tc>
        <w:tc>
          <w:tcPr>
            <w:tcW w:type="dxa" w:w="2441"/>
          </w:tcPr>
          <w:p>
            <w:r>
              <w:t>Δ PESQ</w:t>
            </w:r>
          </w:p>
        </w:tc>
        <w:tc>
          <w:tcPr>
            <w:tcW w:type="dxa" w:w="2441"/>
          </w:tcPr>
          <w:p>
            <w:r>
              <w:t>Δ ESTOI</w:t>
            </w:r>
          </w:p>
        </w:tc>
      </w:tr>
      <w:tr>
        <w:tc>
          <w:tcPr>
            <w:tcW w:type="dxa" w:w="2441"/>
          </w:tcPr>
          <w:p>
            <w:r>
              <w:t>17</w:t>
            </w:r>
          </w:p>
        </w:tc>
        <w:tc>
          <w:tcPr>
            <w:tcW w:type="dxa" w:w="2441"/>
          </w:tcPr>
          <w:p>
            <w:r>
              <w:t>+0.102994</w:t>
            </w:r>
          </w:p>
        </w:tc>
        <w:tc>
          <w:tcPr>
            <w:tcW w:type="dxa" w:w="2441"/>
          </w:tcPr>
          <w:p>
            <w:r>
              <w:t>+0.016795</w:t>
            </w:r>
          </w:p>
        </w:tc>
        <w:tc>
          <w:tcPr>
            <w:tcW w:type="dxa" w:w="2441"/>
          </w:tcPr>
          <w:p>
            <w:r>
              <w:t>+0.001321</w:t>
            </w:r>
          </w:p>
        </w:tc>
      </w:tr>
      <w:tr>
        <w:tc>
          <w:tcPr>
            <w:tcW w:type="dxa" w:w="2441"/>
          </w:tcPr>
          <w:p>
            <w:r>
              <w:t>42</w:t>
            </w:r>
          </w:p>
        </w:tc>
        <w:tc>
          <w:tcPr>
            <w:tcW w:type="dxa" w:w="2441"/>
          </w:tcPr>
          <w:p>
            <w:r>
              <w:t>-0.129469</w:t>
            </w:r>
          </w:p>
        </w:tc>
        <w:tc>
          <w:tcPr>
            <w:tcW w:type="dxa" w:w="2441"/>
          </w:tcPr>
          <w:p>
            <w:r>
              <w:t>-0.011482</w:t>
            </w:r>
          </w:p>
        </w:tc>
        <w:tc>
          <w:tcPr>
            <w:tcW w:type="dxa" w:w="2441"/>
          </w:tcPr>
          <w:p>
            <w:r>
              <w:t>-0.000108</w:t>
            </w:r>
          </w:p>
        </w:tc>
      </w:tr>
      <w:tr>
        <w:tc>
          <w:tcPr>
            <w:tcW w:type="dxa" w:w="2441"/>
          </w:tcPr>
          <w:p>
            <w:r>
              <w:t>123</w:t>
            </w:r>
          </w:p>
        </w:tc>
        <w:tc>
          <w:tcPr>
            <w:tcW w:type="dxa" w:w="2441"/>
          </w:tcPr>
          <w:p>
            <w:r>
              <w:t>+0.010047</w:t>
            </w:r>
          </w:p>
        </w:tc>
        <w:tc>
          <w:tcPr>
            <w:tcW w:type="dxa" w:w="2441"/>
          </w:tcPr>
          <w:p>
            <w:r>
              <w:t>+0.007201</w:t>
            </w:r>
          </w:p>
        </w:tc>
        <w:tc>
          <w:tcPr>
            <w:tcW w:type="dxa" w:w="2441"/>
          </w:tcPr>
          <w:p>
            <w:r>
              <w:t>+0.000591</w:t>
            </w:r>
          </w:p>
        </w:tc>
      </w:tr>
      <w:tr>
        <w:tc>
          <w:tcPr>
            <w:tcW w:type="dxa" w:w="2441"/>
          </w:tcPr>
          <w:p>
            <w:r>
              <w:t>Pooled</w:t>
            </w:r>
          </w:p>
        </w:tc>
        <w:tc>
          <w:tcPr>
            <w:tcW w:type="dxa" w:w="2441"/>
          </w:tcPr>
          <w:p>
            <w:r>
              <w:t>-0.005476</w:t>
            </w:r>
          </w:p>
        </w:tc>
        <w:tc>
          <w:tcPr>
            <w:tcW w:type="dxa" w:w="2441"/>
          </w:tcPr>
          <w:p>
            <w:r>
              <w:t>+0.004171</w:t>
            </w:r>
          </w:p>
        </w:tc>
        <w:tc>
          <w:tcPr>
            <w:tcW w:type="dxa" w:w="2441"/>
          </w:tcPr>
          <w:p>
            <w:r>
              <w:t>+0.000601</w:t>
            </w:r>
          </w:p>
        </w:tc>
      </w:tr>
    </w:tbl>
    <w:p>
      <w:r>
        <w:t>Table 11. Paired quantum-minus-classical differences on unseen noise. The pooled SI-SDR mean is slightly negative, despite a positive mean PESQ and ESTOI difference. Therefore this experiment does not support an unconditional SI-SDR advantage. The exported paired Wilcoxon SI-SDR p-value is small, but the mean difference has the opposite sign; a one-sided rank test does not establish a positive mean effect. This distinction is essential.</w:t>
      </w:r>
    </w:p>
    <w:p>
      <w:pPr>
        <w:pStyle w:val="Heading2"/>
      </w:pPr>
      <w:r>
        <w:t>7.8 Jointly unseen speakers and unseen noise (double OOD)</w:t>
      </w:r>
    </w:p>
    <w:p>
      <w:r>
        <w:t>A separate test export combines seven speakers absent from the training/validation speaker list (p276, p277, p278, p279, p282, p286, p287) with siren/helicopter noise. It contains 276 mixtures spanning the six target SNR levels and seeds 17, 23, and 123. The provided artifact specifies test membership but does not contain the corresponding complete training provenance or checkpoints; the speaker-disjoint status should therefore be verified against the actual training manifest before submission. This is an additional evaluation, not a substitute for the original locked-test protocol.</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tcPr>
          <w:p>
            <w:r>
              <w:t>Model</w:t>
            </w:r>
          </w:p>
        </w:tc>
        <w:tc>
          <w:tcPr>
            <w:tcW w:type="dxa" w:w="2441"/>
          </w:tcPr>
          <w:p>
            <w:r>
              <w:t>SI-SDR (dB)</w:t>
            </w:r>
          </w:p>
        </w:tc>
        <w:tc>
          <w:tcPr>
            <w:tcW w:type="dxa" w:w="2441"/>
          </w:tcPr>
          <w:p>
            <w:r>
              <w:t>PESQ</w:t>
            </w:r>
          </w:p>
        </w:tc>
        <w:tc>
          <w:tcPr>
            <w:tcW w:type="dxa" w:w="2441"/>
          </w:tcPr>
          <w:p>
            <w:r>
              <w:t>ESTOI</w:t>
            </w:r>
          </w:p>
        </w:tc>
      </w:tr>
      <w:tr>
        <w:tc>
          <w:tcPr>
            <w:tcW w:type="dxa" w:w="2441"/>
          </w:tcPr>
          <w:p>
            <w:r>
              <w:t>baseline</w:t>
            </w:r>
          </w:p>
        </w:tc>
        <w:tc>
          <w:tcPr>
            <w:tcW w:type="dxa" w:w="2441"/>
          </w:tcPr>
          <w:p>
            <w:r>
              <w:t>15.36493</w:t>
            </w:r>
          </w:p>
        </w:tc>
        <w:tc>
          <w:tcPr>
            <w:tcW w:type="dxa" w:w="2441"/>
          </w:tcPr>
          <w:p>
            <w:r>
              <w:t>2.06558</w:t>
            </w:r>
          </w:p>
        </w:tc>
        <w:tc>
          <w:tcPr>
            <w:tcW w:type="dxa" w:w="2441"/>
          </w:tcPr>
          <w:p>
            <w:r>
              <w:t>0.75310</w:t>
            </w:r>
          </w:p>
        </w:tc>
      </w:tr>
      <w:tr>
        <w:tc>
          <w:tcPr>
            <w:tcW w:type="dxa" w:w="2441"/>
          </w:tcPr>
          <w:p>
            <w:r>
              <w:t>classical</w:t>
            </w:r>
          </w:p>
        </w:tc>
        <w:tc>
          <w:tcPr>
            <w:tcW w:type="dxa" w:w="2441"/>
          </w:tcPr>
          <w:p>
            <w:r>
              <w:t>16.34827</w:t>
            </w:r>
          </w:p>
        </w:tc>
        <w:tc>
          <w:tcPr>
            <w:tcW w:type="dxa" w:w="2441"/>
          </w:tcPr>
          <w:p>
            <w:r>
              <w:t>2.24856</w:t>
            </w:r>
          </w:p>
        </w:tc>
        <w:tc>
          <w:tcPr>
            <w:tcW w:type="dxa" w:w="2441"/>
          </w:tcPr>
          <w:p>
            <w:r>
              <w:t>0.77303</w:t>
            </w:r>
          </w:p>
        </w:tc>
      </w:tr>
      <w:tr>
        <w:tc>
          <w:tcPr>
            <w:tcW w:type="dxa" w:w="2441"/>
          </w:tcPr>
          <w:p>
            <w:r>
              <w:t>qnn</w:t>
            </w:r>
          </w:p>
        </w:tc>
        <w:tc>
          <w:tcPr>
            <w:tcW w:type="dxa" w:w="2441"/>
          </w:tcPr>
          <w:p>
            <w:r>
              <w:t>16.40531</w:t>
            </w:r>
          </w:p>
        </w:tc>
        <w:tc>
          <w:tcPr>
            <w:tcW w:type="dxa" w:w="2441"/>
          </w:tcPr>
          <w:p>
            <w:r>
              <w:t>2.26112</w:t>
            </w:r>
          </w:p>
        </w:tc>
        <w:tc>
          <w:tcPr>
            <w:tcW w:type="dxa" w:w="2441"/>
          </w:tcPr>
          <w:p>
            <w:r>
              <w:t>0.77362</w:t>
            </w:r>
          </w:p>
        </w:tc>
      </w:tr>
    </w:tbl>
    <w:p>
      <w:r>
        <w:t>Table 12. Double-OOD absolute results, pooled across three seeds.</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tcPr>
          <w:p>
            <w:r>
              <w:t>Seed</w:t>
            </w:r>
          </w:p>
        </w:tc>
        <w:tc>
          <w:tcPr>
            <w:tcW w:type="dxa" w:w="2441"/>
          </w:tcPr>
          <w:p>
            <w:r>
              <w:t>Δ SI-SDR</w:t>
            </w:r>
          </w:p>
        </w:tc>
        <w:tc>
          <w:tcPr>
            <w:tcW w:type="dxa" w:w="2441"/>
          </w:tcPr>
          <w:p>
            <w:r>
              <w:t>Δ PESQ</w:t>
            </w:r>
          </w:p>
        </w:tc>
        <w:tc>
          <w:tcPr>
            <w:tcW w:type="dxa" w:w="2441"/>
          </w:tcPr>
          <w:p>
            <w:r>
              <w:t>Δ ESTOI</w:t>
            </w:r>
          </w:p>
        </w:tc>
      </w:tr>
      <w:tr>
        <w:tc>
          <w:tcPr>
            <w:tcW w:type="dxa" w:w="2441"/>
          </w:tcPr>
          <w:p>
            <w:r>
              <w:t>17</w:t>
            </w:r>
          </w:p>
        </w:tc>
        <w:tc>
          <w:tcPr>
            <w:tcW w:type="dxa" w:w="2441"/>
          </w:tcPr>
          <w:p>
            <w:r>
              <w:t>+0.105636</w:t>
            </w:r>
          </w:p>
        </w:tc>
        <w:tc>
          <w:tcPr>
            <w:tcW w:type="dxa" w:w="2441"/>
          </w:tcPr>
          <w:p>
            <w:r>
              <w:t>+0.017862</w:t>
            </w:r>
          </w:p>
        </w:tc>
        <w:tc>
          <w:tcPr>
            <w:tcW w:type="dxa" w:w="2441"/>
          </w:tcPr>
          <w:p>
            <w:r>
              <w:t>+0.001062</w:t>
            </w:r>
          </w:p>
        </w:tc>
      </w:tr>
      <w:tr>
        <w:tc>
          <w:tcPr>
            <w:tcW w:type="dxa" w:w="2441"/>
          </w:tcPr>
          <w:p>
            <w:r>
              <w:t>23</w:t>
            </w:r>
          </w:p>
        </w:tc>
        <w:tc>
          <w:tcPr>
            <w:tcW w:type="dxa" w:w="2441"/>
          </w:tcPr>
          <w:p>
            <w:r>
              <w:t>+0.033493</w:t>
            </w:r>
          </w:p>
        </w:tc>
        <w:tc>
          <w:tcPr>
            <w:tcW w:type="dxa" w:w="2441"/>
          </w:tcPr>
          <w:p>
            <w:r>
              <w:t>+0.011945</w:t>
            </w:r>
          </w:p>
        </w:tc>
        <w:tc>
          <w:tcPr>
            <w:tcW w:type="dxa" w:w="2441"/>
          </w:tcPr>
          <w:p>
            <w:r>
              <w:t>+0.000491</w:t>
            </w:r>
          </w:p>
        </w:tc>
      </w:tr>
      <w:tr>
        <w:tc>
          <w:tcPr>
            <w:tcW w:type="dxa" w:w="2441"/>
          </w:tcPr>
          <w:p>
            <w:r>
              <w:t>123</w:t>
            </w:r>
          </w:p>
        </w:tc>
        <w:tc>
          <w:tcPr>
            <w:tcW w:type="dxa" w:w="2441"/>
          </w:tcPr>
          <w:p>
            <w:r>
              <w:t>+0.031974</w:t>
            </w:r>
          </w:p>
        </w:tc>
        <w:tc>
          <w:tcPr>
            <w:tcW w:type="dxa" w:w="2441"/>
          </w:tcPr>
          <w:p>
            <w:r>
              <w:t>+0.007861</w:t>
            </w:r>
          </w:p>
        </w:tc>
        <w:tc>
          <w:tcPr>
            <w:tcW w:type="dxa" w:w="2441"/>
          </w:tcPr>
          <w:p>
            <w:r>
              <w:t>+0.000211</w:t>
            </w:r>
          </w:p>
        </w:tc>
      </w:tr>
      <w:tr>
        <w:tc>
          <w:tcPr>
            <w:tcW w:type="dxa" w:w="2441"/>
          </w:tcPr>
          <w:p>
            <w:r>
              <w:t>Pooled</w:t>
            </w:r>
          </w:p>
        </w:tc>
        <w:tc>
          <w:tcPr>
            <w:tcW w:type="dxa" w:w="2441"/>
          </w:tcPr>
          <w:p>
            <w:r>
              <w:t>+0.057034</w:t>
            </w:r>
          </w:p>
        </w:tc>
        <w:tc>
          <w:tcPr>
            <w:tcW w:type="dxa" w:w="2441"/>
          </w:tcPr>
          <w:p>
            <w:r>
              <w:t>+0.012556</w:t>
            </w:r>
          </w:p>
        </w:tc>
        <w:tc>
          <w:tcPr>
            <w:tcW w:type="dxa" w:w="2441"/>
          </w:tcPr>
          <w:p>
            <w:r>
              <w:t>+0.000588</w:t>
            </w:r>
          </w:p>
        </w:tc>
      </w:tr>
    </w:tbl>
    <w:p>
      <w:r>
        <w:t>Table 13. Double-OOD paired effects. All three recorded seeds show positive average differences in all three metrics; the between-seed spread remains material. These results are promising external-to-training-condition evidence, but their 276 utterances and source-provenance limitations should be stated clearly.</w:t>
      </w:r>
    </w:p>
    <w:p>
      <w:pPr>
        <w:pStyle w:val="Heading2"/>
      </w:pPr>
      <w:r>
        <w:t>7.9 Noise- and SNR-stratified analysis</w:t>
      </w:r>
    </w:p>
    <w:p>
      <w:r>
        <w:t>Unseen-noise paired effects by SNR:</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tcPr>
          <w:p>
            <w:r>
              <w:t>SNR (dB)</w:t>
            </w:r>
          </w:p>
        </w:tc>
        <w:tc>
          <w:tcPr>
            <w:tcW w:type="dxa" w:w="2441"/>
          </w:tcPr>
          <w:p>
            <w:r>
              <w:t>Δ SI-SDR</w:t>
            </w:r>
          </w:p>
        </w:tc>
        <w:tc>
          <w:tcPr>
            <w:tcW w:type="dxa" w:w="2441"/>
          </w:tcPr>
          <w:p>
            <w:r>
              <w:t>Δ PESQ</w:t>
            </w:r>
          </w:p>
        </w:tc>
        <w:tc>
          <w:tcPr>
            <w:tcW w:type="dxa" w:w="2441"/>
          </w:tcPr>
          <w:p>
            <w:r>
              <w:t>Δ ESTOI</w:t>
            </w:r>
          </w:p>
        </w:tc>
      </w:tr>
      <w:tr>
        <w:tc>
          <w:tcPr>
            <w:tcW w:type="dxa" w:w="2441"/>
          </w:tcPr>
          <w:p>
            <w:r>
              <w:t>-5</w:t>
            </w:r>
          </w:p>
        </w:tc>
        <w:tc>
          <w:tcPr>
            <w:tcW w:type="dxa" w:w="2441"/>
          </w:tcPr>
          <w:p>
            <w:r>
              <w:t>-0.08465</w:t>
            </w:r>
          </w:p>
        </w:tc>
        <w:tc>
          <w:tcPr>
            <w:tcW w:type="dxa" w:w="2441"/>
          </w:tcPr>
          <w:p>
            <w:r>
              <w:t>+0.00213</w:t>
            </w:r>
          </w:p>
        </w:tc>
        <w:tc>
          <w:tcPr>
            <w:tcW w:type="dxa" w:w="2441"/>
          </w:tcPr>
          <w:p>
            <w:r>
              <w:t>+0.00080</w:t>
            </w:r>
          </w:p>
        </w:tc>
      </w:tr>
      <w:tr>
        <w:tc>
          <w:tcPr>
            <w:tcW w:type="dxa" w:w="2441"/>
          </w:tcPr>
          <w:p>
            <w:r>
              <w:t>0</w:t>
            </w:r>
          </w:p>
        </w:tc>
        <w:tc>
          <w:tcPr>
            <w:tcW w:type="dxa" w:w="2441"/>
          </w:tcPr>
          <w:p>
            <w:r>
              <w:t>-0.01237</w:t>
            </w:r>
          </w:p>
        </w:tc>
        <w:tc>
          <w:tcPr>
            <w:tcW w:type="dxa" w:w="2441"/>
          </w:tcPr>
          <w:p>
            <w:r>
              <w:t>+0.00310</w:t>
            </w:r>
          </w:p>
        </w:tc>
        <w:tc>
          <w:tcPr>
            <w:tcW w:type="dxa" w:w="2441"/>
          </w:tcPr>
          <w:p>
            <w:r>
              <w:t>+0.00014</w:t>
            </w:r>
          </w:p>
        </w:tc>
      </w:tr>
      <w:tr>
        <w:tc>
          <w:tcPr>
            <w:tcW w:type="dxa" w:w="2441"/>
          </w:tcPr>
          <w:p>
            <w:r>
              <w:t>5</w:t>
            </w:r>
          </w:p>
        </w:tc>
        <w:tc>
          <w:tcPr>
            <w:tcW w:type="dxa" w:w="2441"/>
          </w:tcPr>
          <w:p>
            <w:r>
              <w:t>+0.00069</w:t>
            </w:r>
          </w:p>
        </w:tc>
        <w:tc>
          <w:tcPr>
            <w:tcW w:type="dxa" w:w="2441"/>
          </w:tcPr>
          <w:p>
            <w:r>
              <w:t>+0.00742</w:t>
            </w:r>
          </w:p>
        </w:tc>
        <w:tc>
          <w:tcPr>
            <w:tcW w:type="dxa" w:w="2441"/>
          </w:tcPr>
          <w:p>
            <w:r>
              <w:t>+0.00142</w:t>
            </w:r>
          </w:p>
        </w:tc>
      </w:tr>
      <w:tr>
        <w:tc>
          <w:tcPr>
            <w:tcW w:type="dxa" w:w="2441"/>
          </w:tcPr>
          <w:p>
            <w:r>
              <w:t>10</w:t>
            </w:r>
          </w:p>
        </w:tc>
        <w:tc>
          <w:tcPr>
            <w:tcW w:type="dxa" w:w="2441"/>
          </w:tcPr>
          <w:p>
            <w:r>
              <w:t>+0.05645</w:t>
            </w:r>
          </w:p>
        </w:tc>
        <w:tc>
          <w:tcPr>
            <w:tcW w:type="dxa" w:w="2441"/>
          </w:tcPr>
          <w:p>
            <w:r>
              <w:t>+0.00000</w:t>
            </w:r>
          </w:p>
        </w:tc>
        <w:tc>
          <w:tcPr>
            <w:tcW w:type="dxa" w:w="2441"/>
          </w:tcPr>
          <w:p>
            <w:r>
              <w:t>+0.00013</w:t>
            </w:r>
          </w:p>
        </w:tc>
      </w:tr>
      <w:tr>
        <w:tc>
          <w:tcPr>
            <w:tcW w:type="dxa" w:w="2441"/>
          </w:tcPr>
          <w:p>
            <w:r>
              <w:t>15</w:t>
            </w:r>
          </w:p>
        </w:tc>
        <w:tc>
          <w:tcPr>
            <w:tcW w:type="dxa" w:w="2441"/>
          </w:tcPr>
          <w:p>
            <w:r>
              <w:t>-0.04253</w:t>
            </w:r>
          </w:p>
        </w:tc>
        <w:tc>
          <w:tcPr>
            <w:tcW w:type="dxa" w:w="2441"/>
          </w:tcPr>
          <w:p>
            <w:r>
              <w:t>+0.01181</w:t>
            </w:r>
          </w:p>
        </w:tc>
        <w:tc>
          <w:tcPr>
            <w:tcW w:type="dxa" w:w="2441"/>
          </w:tcPr>
          <w:p>
            <w:r>
              <w:t>+0.00047</w:t>
            </w:r>
          </w:p>
        </w:tc>
      </w:tr>
      <w:tr>
        <w:tc>
          <w:tcPr>
            <w:tcW w:type="dxa" w:w="2441"/>
          </w:tcPr>
          <w:p>
            <w:r>
              <w:t>20</w:t>
            </w:r>
          </w:p>
        </w:tc>
        <w:tc>
          <w:tcPr>
            <w:tcW w:type="dxa" w:w="2441"/>
          </w:tcPr>
          <w:p>
            <w:r>
              <w:t>+0.06918</w:t>
            </w:r>
          </w:p>
        </w:tc>
        <w:tc>
          <w:tcPr>
            <w:tcW w:type="dxa" w:w="2441"/>
          </w:tcPr>
          <w:p>
            <w:r>
              <w:t>+0.00120</w:t>
            </w:r>
          </w:p>
        </w:tc>
        <w:tc>
          <w:tcPr>
            <w:tcW w:type="dxa" w:w="2441"/>
          </w:tcPr>
          <w:p>
            <w:r>
              <w:t>+0.00046</w:t>
            </w:r>
          </w:p>
        </w:tc>
      </w:tr>
    </w:tbl>
    <w:p>
      <w:r>
        <w:t>Double-OOD paired effects by SNR:</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tcPr>
          <w:p>
            <w:r>
              <w:t>SNR (dB)</w:t>
            </w:r>
          </w:p>
        </w:tc>
        <w:tc>
          <w:tcPr>
            <w:tcW w:type="dxa" w:w="2441"/>
          </w:tcPr>
          <w:p>
            <w:r>
              <w:t>Δ SI-SDR</w:t>
            </w:r>
          </w:p>
        </w:tc>
        <w:tc>
          <w:tcPr>
            <w:tcW w:type="dxa" w:w="2441"/>
          </w:tcPr>
          <w:p>
            <w:r>
              <w:t>Δ PESQ</w:t>
            </w:r>
          </w:p>
        </w:tc>
        <w:tc>
          <w:tcPr>
            <w:tcW w:type="dxa" w:w="2441"/>
          </w:tcPr>
          <w:p>
            <w:r>
              <w:t>Δ ESTOI</w:t>
            </w:r>
          </w:p>
        </w:tc>
      </w:tr>
      <w:tr>
        <w:tc>
          <w:tcPr>
            <w:tcW w:type="dxa" w:w="2441"/>
          </w:tcPr>
          <w:p>
            <w:r>
              <w:t>-5</w:t>
            </w:r>
          </w:p>
        </w:tc>
        <w:tc>
          <w:tcPr>
            <w:tcW w:type="dxa" w:w="2441"/>
          </w:tcPr>
          <w:p>
            <w:r>
              <w:t>+0.01431</w:t>
            </w:r>
          </w:p>
        </w:tc>
        <w:tc>
          <w:tcPr>
            <w:tcW w:type="dxa" w:w="2441"/>
          </w:tcPr>
          <w:p>
            <w:r>
              <w:t>+0.00511</w:t>
            </w:r>
          </w:p>
        </w:tc>
        <w:tc>
          <w:tcPr>
            <w:tcW w:type="dxa" w:w="2441"/>
          </w:tcPr>
          <w:p>
            <w:r>
              <w:t>+0.00047</w:t>
            </w:r>
          </w:p>
        </w:tc>
      </w:tr>
      <w:tr>
        <w:tc>
          <w:tcPr>
            <w:tcW w:type="dxa" w:w="2441"/>
          </w:tcPr>
          <w:p>
            <w:r>
              <w:t>0</w:t>
            </w:r>
          </w:p>
        </w:tc>
        <w:tc>
          <w:tcPr>
            <w:tcW w:type="dxa" w:w="2441"/>
          </w:tcPr>
          <w:p>
            <w:r>
              <w:t>+0.04756</w:t>
            </w:r>
          </w:p>
        </w:tc>
        <w:tc>
          <w:tcPr>
            <w:tcW w:type="dxa" w:w="2441"/>
          </w:tcPr>
          <w:p>
            <w:r>
              <w:t>+0.00511</w:t>
            </w:r>
          </w:p>
        </w:tc>
        <w:tc>
          <w:tcPr>
            <w:tcW w:type="dxa" w:w="2441"/>
          </w:tcPr>
          <w:p>
            <w:r>
              <w:t>-0.00044</w:t>
            </w:r>
          </w:p>
        </w:tc>
      </w:tr>
      <w:tr>
        <w:tc>
          <w:tcPr>
            <w:tcW w:type="dxa" w:w="2441"/>
          </w:tcPr>
          <w:p>
            <w:r>
              <w:t>5</w:t>
            </w:r>
          </w:p>
        </w:tc>
        <w:tc>
          <w:tcPr>
            <w:tcW w:type="dxa" w:w="2441"/>
          </w:tcPr>
          <w:p>
            <w:r>
              <w:t>+0.08588</w:t>
            </w:r>
          </w:p>
        </w:tc>
        <w:tc>
          <w:tcPr>
            <w:tcW w:type="dxa" w:w="2441"/>
          </w:tcPr>
          <w:p>
            <w:r>
              <w:t>+0.01705</w:t>
            </w:r>
          </w:p>
        </w:tc>
        <w:tc>
          <w:tcPr>
            <w:tcW w:type="dxa" w:w="2441"/>
          </w:tcPr>
          <w:p>
            <w:r>
              <w:t>+0.00109</w:t>
            </w:r>
          </w:p>
        </w:tc>
      </w:tr>
      <w:tr>
        <w:tc>
          <w:tcPr>
            <w:tcW w:type="dxa" w:w="2441"/>
          </w:tcPr>
          <w:p>
            <w:r>
              <w:t>10</w:t>
            </w:r>
          </w:p>
        </w:tc>
        <w:tc>
          <w:tcPr>
            <w:tcW w:type="dxa" w:w="2441"/>
          </w:tcPr>
          <w:p>
            <w:r>
              <w:t>+0.05366</w:t>
            </w:r>
          </w:p>
        </w:tc>
        <w:tc>
          <w:tcPr>
            <w:tcW w:type="dxa" w:w="2441"/>
          </w:tcPr>
          <w:p>
            <w:r>
              <w:t>+0.02147</w:t>
            </w:r>
          </w:p>
        </w:tc>
        <w:tc>
          <w:tcPr>
            <w:tcW w:type="dxa" w:w="2441"/>
          </w:tcPr>
          <w:p>
            <w:r>
              <w:t>+0.00133</w:t>
            </w:r>
          </w:p>
        </w:tc>
      </w:tr>
      <w:tr>
        <w:tc>
          <w:tcPr>
            <w:tcW w:type="dxa" w:w="2441"/>
          </w:tcPr>
          <w:p>
            <w:r>
              <w:t>15</w:t>
            </w:r>
          </w:p>
        </w:tc>
        <w:tc>
          <w:tcPr>
            <w:tcW w:type="dxa" w:w="2441"/>
          </w:tcPr>
          <w:p>
            <w:r>
              <w:t>+0.07058</w:t>
            </w:r>
          </w:p>
        </w:tc>
        <w:tc>
          <w:tcPr>
            <w:tcW w:type="dxa" w:w="2441"/>
          </w:tcPr>
          <w:p>
            <w:r>
              <w:t>+0.01178</w:t>
            </w:r>
          </w:p>
        </w:tc>
        <w:tc>
          <w:tcPr>
            <w:tcW w:type="dxa" w:w="2441"/>
          </w:tcPr>
          <w:p>
            <w:r>
              <w:t>+0.00099</w:t>
            </w:r>
          </w:p>
        </w:tc>
      </w:tr>
      <w:tr>
        <w:tc>
          <w:tcPr>
            <w:tcW w:type="dxa" w:w="2441"/>
          </w:tcPr>
          <w:p>
            <w:r>
              <w:t>20</w:t>
            </w:r>
          </w:p>
        </w:tc>
        <w:tc>
          <w:tcPr>
            <w:tcW w:type="dxa" w:w="2441"/>
          </w:tcPr>
          <w:p>
            <w:r>
              <w:t>+0.07820</w:t>
            </w:r>
          </w:p>
        </w:tc>
        <w:tc>
          <w:tcPr>
            <w:tcW w:type="dxa" w:w="2441"/>
          </w:tcPr>
          <w:p>
            <w:r>
              <w:t>+0.01713</w:t>
            </w:r>
          </w:p>
        </w:tc>
        <w:tc>
          <w:tcPr>
            <w:tcW w:type="dxa" w:w="2441"/>
          </w:tcPr>
          <w:p>
            <w:r>
              <w:t>+0.00024</w:t>
            </w:r>
          </w:p>
        </w:tc>
      </w:tr>
    </w:tbl>
    <w:p>
      <w:pPr>
        <w:pStyle w:val="Heading2"/>
      </w:pPr>
      <w:r>
        <w:t>7.10 Verified theoretical properties and limits of the quantum conditioner</w:t>
      </w:r>
    </w:p>
    <w:p>
      <w:r>
        <w:t>For q=6 qubits and L=4 layers, define |ψ(φ,θ)⟩ = U_L(φ,θ_L)⋯U_1(φ,θ_1)|0⟩⊗6, with U_l = E_l V_l D_l(φ), where D_l re-encodes the six bounded angles, V_l contains three independently trainable Euler angles per qubit, and E_l is a nearest-neighbor ring of entangling CNOTs. Hence P_VQC = 3qL = 72 independent trainable scalar rotations. The six local Z observables and six nearest-neighbor ZZ observables yield a 12-dimensional feature vector. These observables are diagonal in the computational basis and mutually commute, so all twelve expectation values can be estimated from the same batch of bitstrings.</w:t>
      </w:r>
    </w:p>
    <w:p>
      <w:r>
        <w:t>For an observable O∈{Z_i,Z_i Z_(i+1)} with eigenvalues ±1 and N independent ideal projective shots, the sample mean is unbiased and Var[Ô]=(1−⟨O⟩²)/N≤1/N. Hoeffding’s inequality gives P(|Ô−⟨O⟩|≥ε)≤2 exp(−N ε²/2). A union bound for the 12 observables gives P(max_k |Ô_k−⟨O_k⟩|≥ε)≤24 exp(−N ε²/2), hence N≥(2/ε²) ln(24/δ) suffices for simultaneous accuracy ε with probability ≥1−δ, under independent ideal measurement shots. The observable estimators are correlated because they share bitstrings; the union bound remains valid without independence across observables. This is a measurement bound, not an end-to-end PESQ or SI-SDR guarantee.</w:t>
      </w:r>
    </w:p>
    <w:p>
      <w:r>
        <w:t>The output f_k(φ,θ)=⟨0|U(φ,θ)† O_k U(φ,θ)|0⟩ is a bounded trigonometric function of the encoded angles. Repeated angle encodings can introduce higher-order and cross-coordinate Fourier terms after entangling layers, providing a structured nonlinear inductive bias. However, a classical Fourier network can represent similar functions; neither a provable quantum separation nor superior generalization follows from this observation. For a trainable rotation e^(−iθP/2) with a Pauli generator and an otherwise fixed circuit, ∂f/∂θ=[f(θ+π/2)−f(θ−π/2)]/2. The actual software differentiation mode and exact rotation order should be confirmed against the archived implementation before claiming a hardware-compatible gradient evaluation count.</w:t>
      </w:r>
    </w:p>
    <w:p>
      <w:r>
        <w:t>The matched classical bias-free core with dimensions 6→6→12 contains 6×6+6×6=72 weights; its output is the same size as the quantum feature vector, and the surrounding conditioner and full-network parameter counts are matched. This controls capacity by trainable scalar count, not by function class, FLOPs, shot cost, or effective regularization. The measured performance difference is therefore evidence about a specific inductive bias, not an algorithmic speedup.</w:t>
      </w:r>
    </w:p>
    <w:p>
      <w:pPr>
        <w:pStyle w:val="Heading2"/>
      </w:pPr>
      <w:r>
        <w:t>7.11 Data-provenance and statistical audit</w:t>
      </w:r>
    </w:p>
    <w:p>
      <w:r>
        <w:t>The original 19,000-mixture experiment, the new deterministic unseen-noise remix, and the jointly unseen-speaker/noise export are distinct protocols. Their absolute scores must not be placed into a single ranked benchmark table without clearly distinguishing test data, mixing recipe, and speaker/noise membership. The two new 276-utterance evaluations must not be interpreted as 828 independent observations: three seed evaluations share each utterance. Confidence intervals should use a hierarchical or two-way resampling strategy and report the seed-wise differences. For the original test, the positive SI-SDR mean difference must not be described as statistically significant under the frozen Wilcoxon-Holm decision rule.</w:t>
      </w:r>
    </w:p>
    <w:p>
      <w:pPr>
        <w:pStyle w:val="Heading1"/>
      </w:pPr>
      <w:r>
        <w:t>11. Additional limitations and submission requirements</w:t>
      </w:r>
    </w:p>
    <w:p>
      <w:r>
        <w:t>This manuscript is a detailed revision draft, not yet a submission-verified final version. Before submission, the corresponding author must verify the exact complex reconstruction equation and quantum gate order against executable code, re-run the speaker-disjoint training-manifest audit, check all references and DOI metadata, supply code/checkpoint links, and verify every image is generated from exported data. The unseen-noise extension reports a new deterministic remix and does not retroactively establish generalization for the original locked-test data. Hardware measurements, stronger classical Fourier controls, and a larger number of training seeds would strengthen the quantum-specific interpretation.</w:t>
      </w:r>
    </w:p>
    <w:p>
      <w:r>
        <w:drawing>
          <wp:inline xmlns:a="http://schemas.openxmlformats.org/drawingml/2006/main" xmlns:pic="http://schemas.openxmlformats.org/drawingml/2006/picture">
            <wp:extent cx="5760720" cy="3044952"/>
            <wp:docPr id="62" name="Picture 62"/>
            <wp:cNvGraphicFramePr>
              <a:graphicFrameLocks noChangeAspect="1"/>
            </wp:cNvGraphicFramePr>
            <a:graphic>
              <a:graphicData uri="http://schemas.openxmlformats.org/drawingml/2006/picture">
                <pic:pic>
                  <pic:nvPicPr>
                    <pic:cNvPr id="0" name="QUNet_Verified_OOD_PESQ.png"/>
                    <pic:cNvPicPr/>
                  </pic:nvPicPr>
                  <pic:blipFill>
                    <a:blip r:embed="rId9"/>
                    <a:stretch>
                      <a:fillRect/>
                    </a:stretch>
                  </pic:blipFill>
                  <pic:spPr>
                    <a:xfrm>
                      <a:off x="0" y="0"/>
                      <a:ext cx="5760720" cy="3044952"/>
                    </a:xfrm>
                    <a:prstGeom prst="rect"/>
                  </pic:spPr>
                </pic:pic>
              </a:graphicData>
            </a:graphic>
          </wp:inline>
        </w:drawing>
      </w:r>
    </w:p>
    <w:p>
      <w:r>
        <w:t>Figure 5. Paired PESQ differences by SNR in the two newly supplied evaluation exports. Points are computed directly from matched seed/utterance rows. This figure compares effects, not absolute performance across datasets.</w:t>
      </w:r>
    </w:p>
    <w:p>
      <w:pPr>
        <w:pStyle w:val="Heading2"/>
      </w:pPr>
      <w:r>
        <w:t xml:space="preserve">Declarations</w:t>
      </w:r>
    </w:p>
    <w:p>
      <w:pPr>
        <w:pStyle w:val="FirstParagraph"/>
      </w:pPr>
      <w:r>
        <w:rPr>
          <w:b/>
          <w:bCs/>
        </w:rPr>
        <w:t xml:space="preserve">Funding:</w:t>
      </w:r>
      <w:r>
        <w:t xml:space="preserve"> </w:t>
      </w:r>
      <w:r>
        <w:rPr>
          <w:i/>
          <w:iCs/>
        </w:rPr>
        <w:t xml:space="preserve">[To be completed by the authors before submission.]</w:t>
      </w:r>
      <w:r>
        <w:br/>
      </w:r>
      <w:r>
        <w:rPr>
          <w:b/>
          <w:bCs/>
        </w:rPr>
        <w:t xml:space="preserve">Conflict of interest:</w:t>
      </w:r>
      <w:r>
        <w:t xml:space="preserve"> </w:t>
      </w:r>
      <w:r>
        <w:rPr>
          <w:i/>
          <w:iCs/>
        </w:rPr>
        <w:t xml:space="preserve">[To be completed by the authors before submission.]</w:t>
      </w:r>
      <w:r>
        <w:br/>
      </w:r>
      <w:r>
        <w:rPr>
          <w:b/>
          <w:bCs/>
        </w:rPr>
        <w:t xml:space="preserve">Data availability:</w:t>
      </w:r>
      <w:r>
        <w:t xml:space="preserve"> </w:t>
      </w:r>
      <w:r>
        <w:t xml:space="preserve">The experiments use speech and environmental-noise sources derived from VCTK and ESC-50.</w:t>
      </w:r>
      <w:r>
        <w:t xml:space="preserve"> </w:t>
      </w:r>
      <w:r>
        <w:rPr>
          <w:i/>
          <w:iCs/>
        </w:rPr>
        <w:t xml:space="preserve">[Add the public manifest/repository/DOI for the generated mixtures or generation scripts before submission.]</w:t>
      </w:r>
      <w:r>
        <w:br/>
      </w:r>
      <w:r>
        <w:rPr>
          <w:b/>
          <w:bCs/>
        </w:rPr>
        <w:t xml:space="preserve">Code availability:</w:t>
      </w:r>
      <w:r>
        <w:t xml:space="preserve"> </w:t>
      </w:r>
      <w:r>
        <w:rPr>
          <w:i/>
          <w:iCs/>
        </w:rPr>
        <w:t xml:space="preserve">[Add the public source-code repository and frozen configuration hash before submission.]</w:t>
      </w:r>
      <w:r>
        <w:br/>
      </w:r>
      <w:r>
        <w:rPr>
          <w:b/>
          <w:bCs/>
        </w:rPr>
        <w:t xml:space="preserve">Ethics statement:</w:t>
      </w:r>
      <w:r>
        <w:t xml:space="preserve"> </w:t>
      </w:r>
      <w:r>
        <w:t xml:space="preserve">No human-subject experiment or listening study was conducted in the reported work.</w:t>
      </w:r>
    </w:p>
    <w:bookmarkEnd w:id="74"/>
    <w:bookmarkStart w:id="75" w:name="references"/>
    <w:p>
      <w:pPr>
        <w:pStyle w:val="Heading2"/>
      </w:pPr>
      <w:r>
        <w:t xml:space="preserve">References</w:t>
      </w:r>
    </w:p>
    <w:p>
      <w:pPr>
        <w:pStyle w:val="FirstParagraph"/>
      </w:pPr>
      <w:r>
        <w:t xml:space="preserve">[1] H.-S. Choi, J.-H. Kim, J. Huh, A. Kim, J.-W. Ha, and K. Lee,</w:t>
      </w:r>
      <w:r>
        <w:t xml:space="preserve"> </w:t>
      </w:r>
      <w:r>
        <w:t xml:space="preserve">“</w:t>
      </w:r>
      <w:r>
        <w:t xml:space="preserve">Phase-aware speech enhancement with Deep Complex U-Net,</w:t>
      </w:r>
      <w:r>
        <w:t xml:space="preserve">”</w:t>
      </w:r>
      <w:r>
        <w:t xml:space="preserve"> </w:t>
      </w:r>
      <w:r>
        <w:rPr>
          <w:i/>
          <w:iCs/>
        </w:rPr>
        <w:t xml:space="preserve">International Conference on Learning Representations (ICLR)</w:t>
      </w:r>
      <w:r>
        <w:t xml:space="preserve">, 2019.</w:t>
      </w:r>
    </w:p>
    <w:p>
      <w:pPr>
        <w:pStyle w:val="BodyText"/>
      </w:pPr>
      <w:r>
        <w:t xml:space="preserve">[2] D. Yin, C. Luo, Z. Xiong, and W. Zeng,</w:t>
      </w:r>
      <w:r>
        <w:t xml:space="preserve"> </w:t>
      </w:r>
      <w:r>
        <w:t xml:space="preserve">“</w:t>
      </w:r>
      <w:r>
        <w:t xml:space="preserve">PHASEN: A phase-and-harmonics-aware speech enhancement network,</w:t>
      </w:r>
      <w:r>
        <w:t xml:space="preserve">”</w:t>
      </w:r>
      <w:r>
        <w:t xml:space="preserve"> </w:t>
      </w:r>
      <w:r>
        <w:rPr>
          <w:i/>
          <w:iCs/>
        </w:rPr>
        <w:t xml:space="preserve">Proceedings of the AAAI Conference on Artificial Intelligence</w:t>
      </w:r>
      <w:r>
        <w:t xml:space="preserve">, vol. 34, no. 5, pp. 9458-9465, 2020, doi:10.1609/aaai.v34i05.6489.</w:t>
      </w:r>
    </w:p>
    <w:p>
      <w:pPr>
        <w:pStyle w:val="BodyText"/>
      </w:pPr>
      <w:r>
        <w:t xml:space="preserve">[3] Y. Hu, Y. Liu, S. Lv, M. Xing, S. Zhang, Y. Fu, J. Wu, B. Zhang, and L. Xie,</w:t>
      </w:r>
      <w:r>
        <w:t xml:space="preserve"> </w:t>
      </w:r>
      <w:r>
        <w:t xml:space="preserve">“</w:t>
      </w:r>
      <w:r>
        <w:t xml:space="preserve">DCCRN: Deep Complex Convolution Recurrent Network for phase-aware speech enhancement,</w:t>
      </w:r>
      <w:r>
        <w:t xml:space="preserve">”</w:t>
      </w:r>
      <w:r>
        <w:t xml:space="preserve"> </w:t>
      </w:r>
      <w:r>
        <w:rPr>
          <w:i/>
          <w:iCs/>
        </w:rPr>
        <w:t xml:space="preserve">Interspeech</w:t>
      </w:r>
      <w:r>
        <w:t xml:space="preserve">, pp. 2472-2476, 2020, doi:10.21437/Interspeech.2020-2537.</w:t>
      </w:r>
    </w:p>
    <w:p>
      <w:pPr>
        <w:pStyle w:val="BodyText"/>
      </w:pPr>
      <w:r>
        <w:t xml:space="preserve">[4] X. Hao, X. Su, R. Horaud, and X. Li,</w:t>
      </w:r>
      <w:r>
        <w:t xml:space="preserve"> </w:t>
      </w:r>
      <w:r>
        <w:t xml:space="preserve">“</w:t>
      </w:r>
      <w:r>
        <w:t xml:space="preserve">FullSubNet: A full-band and sub-band fusion model for real-time single-channel speech enhancement,</w:t>
      </w:r>
      <w:r>
        <w:t xml:space="preserve">”</w:t>
      </w:r>
      <w:r>
        <w:t xml:space="preserve"> </w:t>
      </w:r>
      <w:r>
        <w:rPr>
          <w:i/>
          <w:iCs/>
        </w:rPr>
        <w:t xml:space="preserve">ICASSP 2021 - IEEE International Conference on Acoustics, Speech and Signal Processing</w:t>
      </w:r>
      <w:r>
        <w:t xml:space="preserve">, pp. 6633-6637, 2021, doi:10.1109/ICASSP39728.2021.9414177.</w:t>
      </w:r>
    </w:p>
    <w:p>
      <w:pPr>
        <w:pStyle w:val="BodyText"/>
      </w:pPr>
      <w:r>
        <w:t xml:space="preserve">[5] S.-W. Fu, C. Yu, T.-A. Hsieh, P. Plantinga, M. Ravanelli, X. Lu, and Y. Tsao,</w:t>
      </w:r>
      <w:r>
        <w:t xml:space="preserve"> </w:t>
      </w:r>
      <w:r>
        <w:t xml:space="preserve">“</w:t>
      </w:r>
      <w:r>
        <w:t xml:space="preserve">MetricGAN+: An improved version of MetricGAN for speech enhancement,</w:t>
      </w:r>
      <w:r>
        <w:t xml:space="preserve">”</w:t>
      </w:r>
      <w:r>
        <w:t xml:space="preserve"> </w:t>
      </w:r>
      <w:r>
        <w:rPr>
          <w:i/>
          <w:iCs/>
        </w:rPr>
        <w:t xml:space="preserve">Interspeech</w:t>
      </w:r>
      <w:r>
        <w:t xml:space="preserve">, pp. 201-205, 2021, doi:10.21437/Interspeech.2021-599.</w:t>
      </w:r>
    </w:p>
    <w:p>
      <w:pPr>
        <w:pStyle w:val="BodyText"/>
      </w:pPr>
      <w:r>
        <w:t xml:space="preserve">[6] M. Cerezo, A. Arrasmith, R. Babbush,</w:t>
      </w:r>
      <w:r>
        <w:t xml:space="preserve"> </w:t>
      </w:r>
      <w:r>
        <w:rPr>
          <w:i/>
          <w:iCs/>
        </w:rPr>
        <w:t xml:space="preserve">et al.</w:t>
      </w:r>
      <w:r>
        <w:t xml:space="preserve">,</w:t>
      </w:r>
      <w:r>
        <w:t xml:space="preserve"> </w:t>
      </w:r>
      <w:r>
        <w:t xml:space="preserve">“</w:t>
      </w:r>
      <w:r>
        <w:t xml:space="preserve">Variational quantum algorithms,</w:t>
      </w:r>
      <w:r>
        <w:t xml:space="preserve">”</w:t>
      </w:r>
      <w:r>
        <w:t xml:space="preserve"> </w:t>
      </w:r>
      <w:r>
        <w:rPr>
          <w:i/>
          <w:iCs/>
        </w:rPr>
        <w:t xml:space="preserve">Nature Reviews Physics</w:t>
      </w:r>
      <w:r>
        <w:t xml:space="preserve">, vol. 3, pp. 625-644, 2021, doi:10.1038/s42254-021-00348-9.</w:t>
      </w:r>
    </w:p>
    <w:p>
      <w:pPr>
        <w:pStyle w:val="BodyText"/>
      </w:pPr>
      <w:r>
        <w:t xml:space="preserve">[7] M. Benedetti, E. Lloyd, S. Sack, and M. Fiorentini,</w:t>
      </w:r>
      <w:r>
        <w:t xml:space="preserve"> </w:t>
      </w:r>
      <w:r>
        <w:t xml:space="preserve">“</w:t>
      </w:r>
      <w:r>
        <w:t xml:space="preserve">Parameterized quantum circuits as machine learning models,</w:t>
      </w:r>
      <w:r>
        <w:t xml:space="preserve">”</w:t>
      </w:r>
      <w:r>
        <w:t xml:space="preserve"> </w:t>
      </w:r>
      <w:r>
        <w:rPr>
          <w:i/>
          <w:iCs/>
        </w:rPr>
        <w:t xml:space="preserve">Quantum Science and Technology</w:t>
      </w:r>
      <w:r>
        <w:t xml:space="preserve">, vol. 4, 043001, 2019, doi:10.1088/2058-9565/ab4eb5.</w:t>
      </w:r>
    </w:p>
    <w:p>
      <w:pPr>
        <w:pStyle w:val="BodyText"/>
      </w:pPr>
      <w:r>
        <w:t xml:space="preserve">[8] A. Pérez-Salinas, A. Cervera-Lierta, E. Gil-Fuster, and J. I. Latorre,</w:t>
      </w:r>
      <w:r>
        <w:t xml:space="preserve"> </w:t>
      </w:r>
      <w:r>
        <w:t xml:space="preserve">“</w:t>
      </w:r>
      <w:r>
        <w:t xml:space="preserve">Data re-uploading for a universal quantum classifier,</w:t>
      </w:r>
      <w:r>
        <w:t xml:space="preserve">”</w:t>
      </w:r>
      <w:r>
        <w:t xml:space="preserve"> </w:t>
      </w:r>
      <w:r>
        <w:rPr>
          <w:i/>
          <w:iCs/>
        </w:rPr>
        <w:t xml:space="preserve">Quantum</w:t>
      </w:r>
      <w:r>
        <w:t xml:space="preserve">, vol. 4, p. 226, 2020, doi:10.22331/q-2020-02-06-226.</w:t>
      </w:r>
    </w:p>
    <w:p>
      <w:pPr>
        <w:pStyle w:val="BodyText"/>
      </w:pPr>
      <w:r>
        <w:t xml:space="preserve">[9] S. Sim, P. D. Johnson, and A. Aspuru-Guzik,</w:t>
      </w:r>
      <w:r>
        <w:t xml:space="preserve"> </w:t>
      </w:r>
      <w:r>
        <w:t xml:space="preserve">“</w:t>
      </w:r>
      <w:r>
        <w:t xml:space="preserve">Expressibility and entangling capability of parameterized quantum circuits for hybrid quantum-classical algorithms,</w:t>
      </w:r>
      <w:r>
        <w:t xml:space="preserve">”</w:t>
      </w:r>
      <w:r>
        <w:t xml:space="preserve"> </w:t>
      </w:r>
      <w:r>
        <w:rPr>
          <w:i/>
          <w:iCs/>
        </w:rPr>
        <w:t xml:space="preserve">Advanced Quantum Technologies</w:t>
      </w:r>
      <w:r>
        <w:t xml:space="preserve">, vol. 2, 1900070, 2019, doi:10.1002/qute.201900070.</w:t>
      </w:r>
    </w:p>
    <w:p>
      <w:pPr>
        <w:pStyle w:val="BodyText"/>
      </w:pPr>
      <w:r>
        <w:t xml:space="preserve">[10] Z. Hong, J. Wang, X. Qu, C. Zhao, W. Tao, and J. Xiao,</w:t>
      </w:r>
      <w:r>
        <w:t xml:space="preserve"> </w:t>
      </w:r>
      <w:r>
        <w:t xml:space="preserve">“</w:t>
      </w:r>
      <w:r>
        <w:t xml:space="preserve">QSpeech: Low-qubit quantum speech application toolkit,</w:t>
      </w:r>
      <w:r>
        <w:t xml:space="preserve">”</w:t>
      </w:r>
      <w:r>
        <w:t xml:space="preserve"> </w:t>
      </w:r>
      <w:r>
        <w:rPr>
          <w:i/>
          <w:iCs/>
        </w:rPr>
        <w:t xml:space="preserve">2022 International Joint Conference on Neural Networks (IJCNN)</w:t>
      </w:r>
      <w:r>
        <w:t xml:space="preserve">, 2022, doi:10.1109/IJCNN55064.2022.9892496.</w:t>
      </w:r>
    </w:p>
    <w:p>
      <w:pPr>
        <w:pStyle w:val="BodyText"/>
      </w:pPr>
      <w:r>
        <w:t xml:space="preserve">[11] C.-H. H. Yang, J. Qi, S. Y.-C. Chen, P.-Y. Chen, S. M. Siniscalchi, X. Ma, and C.-H. Lee,</w:t>
      </w:r>
      <w:r>
        <w:t xml:space="preserve"> </w:t>
      </w:r>
      <w:r>
        <w:t xml:space="preserve">“</w:t>
      </w:r>
      <w:r>
        <w:t xml:space="preserve">Decentralizing feature extraction with quantum convolutional neural network for automatic speech recognition,</w:t>
      </w:r>
      <w:r>
        <w:t xml:space="preserve">”</w:t>
      </w:r>
      <w:r>
        <w:t xml:space="preserve"> </w:t>
      </w:r>
      <w:r>
        <w:rPr>
          <w:i/>
          <w:iCs/>
        </w:rPr>
        <w:t xml:space="preserve">ICASSP 2021 - IEEE International Conference on Acoustics, Speech and Signal Processing</w:t>
      </w:r>
      <w:r>
        <w:t xml:space="preserve">, pp. 6523-6527, 2021, doi:10.1109/ICASSP39728.2021.9413453.</w:t>
      </w:r>
    </w:p>
    <w:p>
      <w:pPr>
        <w:pStyle w:val="BodyText"/>
      </w:pPr>
      <w:r>
        <w:t xml:space="preserve">[12] T. She, H. Shao, X. Deng, and Y. Jiang,</w:t>
      </w:r>
      <w:r>
        <w:t xml:space="preserve"> </w:t>
      </w:r>
      <w:r>
        <w:t xml:space="preserve">“</w:t>
      </w:r>
      <w:r>
        <w:t xml:space="preserve">Design and analysis of a novel quantum-classical hybrid neural network for environmental sound classification,</w:t>
      </w:r>
      <w:r>
        <w:t xml:space="preserve">”</w:t>
      </w:r>
      <w:r>
        <w:t xml:space="preserve"> </w:t>
      </w:r>
      <w:r>
        <w:rPr>
          <w:i/>
          <w:iCs/>
        </w:rPr>
        <w:t xml:space="preserve">Applied Acoustics</w:t>
      </w:r>
      <w:r>
        <w:t xml:space="preserve">, vol. 231, 110527, 2025, doi:10.1016/j.apacoust.2024.110527.</w:t>
      </w:r>
    </w:p>
    <w:p>
      <w:pPr>
        <w:pStyle w:val="BodyText"/>
      </w:pPr>
      <w:r>
        <w:t xml:space="preserve">[13] T. Rajapakshe, R. Rana, F. Riaz, S. Khalifa,</w:t>
      </w:r>
      <w:r>
        <w:t xml:space="preserve"> </w:t>
      </w:r>
      <w:r>
        <w:rPr>
          <w:i/>
          <w:iCs/>
        </w:rPr>
        <w:t xml:space="preserve">et al.</w:t>
      </w:r>
      <w:r>
        <w:t xml:space="preserve">,</w:t>
      </w:r>
      <w:r>
        <w:t xml:space="preserve"> </w:t>
      </w:r>
      <w:r>
        <w:t xml:space="preserve">“</w:t>
      </w:r>
      <w:r>
        <w:t xml:space="preserve">Representation learning with parameterised quantum circuits for advancing speech emotion recognition,</w:t>
      </w:r>
      <w:r>
        <w:t xml:space="preserve">”</w:t>
      </w:r>
      <w:r>
        <w:t xml:space="preserve"> </w:t>
      </w:r>
      <w:r>
        <w:rPr>
          <w:i/>
          <w:iCs/>
        </w:rPr>
        <w:t xml:space="preserve">Scientific Reports</w:t>
      </w:r>
      <w:r>
        <w:t xml:space="preserve">, vol. 15, 44353, 2025.</w:t>
      </w:r>
    </w:p>
    <w:p>
      <w:pPr>
        <w:pStyle w:val="BodyText"/>
      </w:pPr>
      <w:r>
        <w:t xml:space="preserve">[14] M. Norval and Z. Wang,</w:t>
      </w:r>
      <w:r>
        <w:t xml:space="preserve"> </w:t>
      </w:r>
      <w:r>
        <w:t xml:space="preserve">“</w:t>
      </w:r>
      <w:r>
        <w:t xml:space="preserve">Quantum AI in speech emotion recognition,</w:t>
      </w:r>
      <w:r>
        <w:t xml:space="preserve">”</w:t>
      </w:r>
      <w:r>
        <w:t xml:space="preserve"> </w:t>
      </w:r>
      <w:r>
        <w:rPr>
          <w:i/>
          <w:iCs/>
        </w:rPr>
        <w:t xml:space="preserve">Entropy</w:t>
      </w:r>
      <w:r>
        <w:t xml:space="preserve">, vol. 27, no. 12, 1201, 2025, doi:10.3390/e27121201.</w:t>
      </w:r>
    </w:p>
    <w:p>
      <w:pPr>
        <w:pStyle w:val="BodyText"/>
      </w:pPr>
      <w:r>
        <w:t xml:space="preserve">[15] J. Yan, R.-G. Zhou, W. Xu, Y. Li, X. Yang, and S. Jia,</w:t>
      </w:r>
      <w:r>
        <w:t xml:space="preserve"> </w:t>
      </w:r>
      <w:r>
        <w:t xml:space="preserve">“</w:t>
      </w:r>
      <w:r>
        <w:t xml:space="preserve">Quantum-assisted speech enhancement via a two-stage hybrid neural network,</w:t>
      </w:r>
      <w:r>
        <w:t xml:space="preserve">”</w:t>
      </w:r>
      <w:r>
        <w:t xml:space="preserve"> </w:t>
      </w:r>
      <w:r>
        <w:rPr>
          <w:i/>
          <w:iCs/>
        </w:rPr>
        <w:t xml:space="preserve">Applied Acoustics</w:t>
      </w:r>
      <w:r>
        <w:t xml:space="preserve">, vol. 238, 110792, 2025, doi:10.1016/j.apacoust.2025.110792.</w:t>
      </w:r>
    </w:p>
    <w:p>
      <w:pPr>
        <w:pStyle w:val="BodyText"/>
      </w:pPr>
      <w:r>
        <w:t xml:space="preserve">[16] T. Hubregtsen, J. Pichlmeier, P. Stecher, and K. Bertels,</w:t>
      </w:r>
      <w:r>
        <w:t xml:space="preserve"> </w:t>
      </w:r>
      <w:r>
        <w:t xml:space="preserve">“</w:t>
      </w:r>
      <w:r>
        <w:t xml:space="preserve">Evaluation of parameterized quantum circuits: on the relation between classification accuracy, expressibility, and entangling capability,</w:t>
      </w:r>
      <w:r>
        <w:t xml:space="preserve">”</w:t>
      </w:r>
      <w:r>
        <w:t xml:space="preserve"> </w:t>
      </w:r>
      <w:r>
        <w:rPr>
          <w:i/>
          <w:iCs/>
        </w:rPr>
        <w:t xml:space="preserve">Quantum Machine Intelligence</w:t>
      </w:r>
      <w:r>
        <w:t xml:space="preserve">, vol. 3, article 9, 2021.</w:t>
      </w:r>
    </w:p>
    <w:p>
      <w:pPr>
        <w:pStyle w:val="BodyText"/>
      </w:pPr>
      <w:r>
        <w:t xml:space="preserve">[17] J. R. McClean, S. Boixo, V. N. Smelyanskiy, R. Babbush, and H. Neven,</w:t>
      </w:r>
      <w:r>
        <w:t xml:space="preserve"> </w:t>
      </w:r>
      <w:r>
        <w:t xml:space="preserve">“</w:t>
      </w:r>
      <w:r>
        <w:t xml:space="preserve">Barren plateaus in quantum neural network training landscapes,</w:t>
      </w:r>
      <w:r>
        <w:t xml:space="preserve">”</w:t>
      </w:r>
      <w:r>
        <w:t xml:space="preserve"> </w:t>
      </w:r>
      <w:r>
        <w:rPr>
          <w:i/>
          <w:iCs/>
        </w:rPr>
        <w:t xml:space="preserve">Nature Communications</w:t>
      </w:r>
      <w:r>
        <w:t xml:space="preserve">, vol. 9, 4812, 2018, doi:10.1038/s41467-018-07090-4.</w:t>
      </w:r>
    </w:p>
    <w:p>
      <w:pPr>
        <w:pStyle w:val="BodyText"/>
      </w:pPr>
      <w:r>
        <w:t xml:space="preserve">[18] J. Le Roux, S. Wisdom, H. Erdogan, and J. R. Hershey,</w:t>
      </w:r>
      <w:r>
        <w:t xml:space="preserve"> </w:t>
      </w:r>
      <w:r>
        <w:t xml:space="preserve">“</w:t>
      </w:r>
      <w:r>
        <w:t xml:space="preserve">SDR - half-baked or well done?</w:t>
      </w:r>
      <w:r>
        <w:t xml:space="preserve">”</w:t>
      </w:r>
      <w:r>
        <w:t xml:space="preserve"> </w:t>
      </w:r>
      <w:r>
        <w:rPr>
          <w:i/>
          <w:iCs/>
        </w:rPr>
        <w:t xml:space="preserve">ICASSP 2019 - IEEE International Conference on Acoustics, Speech and Signal Processing</w:t>
      </w:r>
      <w:r>
        <w:t xml:space="preserve">, pp. 626-630, 2019, doi:10.1109/ICASSP.2019.8683855.</w:t>
      </w:r>
    </w:p>
    <w:p>
      <w:pPr>
        <w:pStyle w:val="BodyText"/>
      </w:pPr>
      <w:r>
        <w:t xml:space="preserve">[19] C. Veaux, J. Yamagishi, and K. MacDonald,</w:t>
      </w:r>
      <w:r>
        <w:t xml:space="preserve"> </w:t>
      </w:r>
      <w:r>
        <w:t xml:space="preserve">“</w:t>
      </w:r>
      <w:r>
        <w:t xml:space="preserve">CSTR VCTK Corpus: English multi-speaker corpus for CSTR Voice Cloning Toolkit (version 0.92),</w:t>
      </w:r>
      <w:r>
        <w:t xml:space="preserve">”</w:t>
      </w:r>
      <w:r>
        <w:t xml:space="preserve"> </w:t>
      </w:r>
      <w:r>
        <w:t xml:space="preserve">University of Edinburgh, Centre for Speech Technology Research, dataset.</w:t>
      </w:r>
    </w:p>
    <w:p>
      <w:pPr>
        <w:pStyle w:val="BodyText"/>
      </w:pPr>
      <w:r>
        <w:t xml:space="preserve">[20] K. J. Piczak,</w:t>
      </w:r>
      <w:r>
        <w:t xml:space="preserve"> </w:t>
      </w:r>
      <w:r>
        <w:t xml:space="preserve">“</w:t>
      </w:r>
      <w:r>
        <w:t xml:space="preserve">ESC: Dataset for environmental sound classification,</w:t>
      </w:r>
      <w:r>
        <w:t xml:space="preserve">”</w:t>
      </w:r>
      <w:r>
        <w:t xml:space="preserve"> </w:t>
      </w:r>
      <w:r>
        <w:rPr>
          <w:i/>
          <w:iCs/>
        </w:rPr>
        <w:t xml:space="preserve">Proceedings of the 23rd ACM International Conference on Multimedia</w:t>
      </w:r>
      <w:r>
        <w:t xml:space="preserve">, pp. 1015-1018, 2015, doi:10.1145/2733373.2806390.</w:t>
      </w:r>
    </w:p>
    <w:p>
      <w:pPr>
        <w:pStyle w:val="BodyText"/>
      </w:pPr>
      <w:r>
        <w:t xml:space="preserve">[21] A. W. Rix, J. G. Beerends, M. P. Hollier, and A. P. Hekstra,</w:t>
      </w:r>
      <w:r>
        <w:t xml:space="preserve"> </w:t>
      </w:r>
      <w:r>
        <w:t xml:space="preserve">“</w:t>
      </w:r>
      <w:r>
        <w:t xml:space="preserve">Perceptual evaluation of speech quality (PESQ) - a new method for speech quality assessment of telephone networks and codecs,</w:t>
      </w:r>
      <w:r>
        <w:t xml:space="preserve">”</w:t>
      </w:r>
      <w:r>
        <w:t xml:space="preserve"> </w:t>
      </w:r>
      <w:r>
        <w:rPr>
          <w:i/>
          <w:iCs/>
        </w:rPr>
        <w:t xml:space="preserve">ICASSP 2001 - IEEE International Conference on Acoustics, Speech, and Signal Processing</w:t>
      </w:r>
      <w:r>
        <w:t xml:space="preserve">, 2001.</w:t>
      </w:r>
    </w:p>
    <w:p>
      <w:pPr>
        <w:pStyle w:val="BodyText"/>
      </w:pPr>
      <w:r>
        <w:t xml:space="preserve">[22] J. Jensen and C. H. Taal,</w:t>
      </w:r>
      <w:r>
        <w:t xml:space="preserve"> </w:t>
      </w:r>
      <w:r>
        <w:t xml:space="preserve">“</w:t>
      </w:r>
      <w:r>
        <w:t xml:space="preserve">An algorithm for predicting the intelligibility of speech masked by modulated noise maskers,</w:t>
      </w:r>
      <w:r>
        <w:t xml:space="preserve">”</w:t>
      </w:r>
      <w:r>
        <w:t xml:space="preserve"> </w:t>
      </w:r>
      <w:r>
        <w:rPr>
          <w:i/>
          <w:iCs/>
        </w:rPr>
        <w:t xml:space="preserve">IEEE/ACM Transactions on Audio, Speech, and Language Processing</w:t>
      </w:r>
      <w:r>
        <w:t xml:space="preserve">, vol. 24, no. 11, pp. 2009-2022, 2016, doi:10.1109/TASLP.2016.2585878.</w:t>
      </w:r>
    </w:p>
    <w:bookmarkEnd w:id="75"/>
    <w:bookmarkEnd w:id="76"/>
    <w:sectPr w:rsidR="00FC693F" w:rsidRPr="0006063C" w:rsidSect="00034616">
      <w:footerReference w:type="default" r:id="rId10"/>
      <w:pgSz w:w="12240" w:h="15840"/>
      <w:pgMar w:top="1080" w:right="1238" w:bottom="1008" w:left="1238"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QUNet • Author-review manuscript •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