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ED" w:rsidRPr="00750A20" w:rsidRDefault="00AC42ED">
      <w:pPr>
        <w:jc w:val="both"/>
        <w:rPr>
          <w:rFonts w:ascii="Arial" w:hAnsi="Arial" w:cs="Arial"/>
          <w:b/>
          <w:sz w:val="22"/>
          <w:szCs w:val="22"/>
        </w:rPr>
      </w:pPr>
    </w:p>
    <w:p w:rsidR="00AC42ED" w:rsidRPr="00750A20" w:rsidRDefault="00AC42ED">
      <w:pPr>
        <w:pStyle w:val="Ttulo2"/>
        <w:spacing w:before="0" w:after="0"/>
        <w:jc w:val="both"/>
        <w:rPr>
          <w:rFonts w:ascii="Arial" w:hAnsi="Arial"/>
          <w:iCs w:val="0"/>
          <w:caps w:val="0"/>
          <w:sz w:val="22"/>
          <w:szCs w:val="22"/>
        </w:rPr>
      </w:pPr>
      <w:r w:rsidRPr="00750A20">
        <w:rPr>
          <w:rFonts w:ascii="Arial" w:hAnsi="Arial"/>
          <w:iCs w:val="0"/>
          <w:caps w:val="0"/>
          <w:sz w:val="22"/>
          <w:szCs w:val="22"/>
        </w:rPr>
        <w:t>POLÍTICAS Y NORMAS</w:t>
      </w:r>
    </w:p>
    <w:p w:rsidR="00AC42ED" w:rsidRPr="00750A20" w:rsidRDefault="00AC42ED">
      <w:pPr>
        <w:jc w:val="both"/>
        <w:rPr>
          <w:rFonts w:ascii="Arial" w:hAnsi="Arial" w:cs="Arial"/>
          <w:sz w:val="22"/>
          <w:szCs w:val="22"/>
        </w:rPr>
      </w:pPr>
    </w:p>
    <w:p w:rsidR="00AC42ED" w:rsidRPr="00750A20" w:rsidRDefault="00750A20">
      <w:p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>Por el riesgo que implica que pers</w:t>
      </w:r>
      <w:r>
        <w:rPr>
          <w:rFonts w:ascii="Arial" w:hAnsi="Arial" w:cs="Arial"/>
          <w:sz w:val="22"/>
          <w:szCs w:val="22"/>
        </w:rPr>
        <w:t xml:space="preserve">onas ajenas a </w:t>
      </w:r>
      <w:r w:rsidR="00DB7623">
        <w:rPr>
          <w:rFonts w:ascii="Arial" w:hAnsi="Arial" w:cs="Arial"/>
          <w:sz w:val="22"/>
          <w:szCs w:val="22"/>
        </w:rPr>
        <w:t>Transborder S.A.S.</w:t>
      </w:r>
      <w:r>
        <w:rPr>
          <w:rFonts w:ascii="Arial" w:hAnsi="Arial" w:cs="Arial"/>
          <w:sz w:val="22"/>
          <w:szCs w:val="22"/>
        </w:rPr>
        <w:t xml:space="preserve"> </w:t>
      </w:r>
      <w:r w:rsidRPr="00750A20">
        <w:rPr>
          <w:rFonts w:ascii="Arial" w:hAnsi="Arial" w:cs="Arial"/>
          <w:sz w:val="22"/>
          <w:szCs w:val="22"/>
        </w:rPr>
        <w:t xml:space="preserve">intenten realizar actividades y operaciones tales como el tráfico de sustancias ilícitas, elementos para el terrorismo (armas, municiones y explosivos), contrabando de mercancías o lavado de activos, amparados en el marco de operaciones lícitas ejercidas por Transborder S.A., es imperativo que todos los trabajadores, contratistas y asociadas a las operaciones de comercio exterior de la compañía, estén atentos a  detectar y reportar cualquier actividad que se sospeche ilícita, so pena de incurrir en las sanciones penales previstas por el Código Penal Colombiano y el Código Sustantivo de trabajo. </w:t>
      </w:r>
    </w:p>
    <w:p w:rsidR="00AC42ED" w:rsidRPr="00750A20" w:rsidRDefault="00AC42ED">
      <w:pPr>
        <w:jc w:val="both"/>
        <w:rPr>
          <w:rFonts w:ascii="Arial" w:hAnsi="Arial" w:cs="Arial"/>
          <w:sz w:val="22"/>
          <w:szCs w:val="22"/>
        </w:rPr>
      </w:pPr>
    </w:p>
    <w:p w:rsidR="00AC42ED" w:rsidRPr="00750A20" w:rsidRDefault="00AC42ED">
      <w:pPr>
        <w:pStyle w:val="Textoindependiente2"/>
        <w:spacing w:line="240" w:lineRule="auto"/>
        <w:rPr>
          <w:sz w:val="22"/>
          <w:szCs w:val="22"/>
        </w:rPr>
      </w:pPr>
      <w:r w:rsidRPr="00750A20">
        <w:rPr>
          <w:sz w:val="22"/>
          <w:szCs w:val="22"/>
        </w:rPr>
        <w:t xml:space="preserve">Es obligación de todos y cada uno de los estamentos de </w:t>
      </w:r>
      <w:smartTag w:uri="urn:schemas-microsoft-com:office:smarttags" w:element="PersonName">
        <w:smartTagPr>
          <w:attr w:name="ProductID" w:val="la Compa￱￭a"/>
        </w:smartTagPr>
        <w:r w:rsidRPr="00750A20">
          <w:rPr>
            <w:sz w:val="22"/>
            <w:szCs w:val="22"/>
          </w:rPr>
          <w:t xml:space="preserve">la </w:t>
        </w:r>
        <w:r w:rsidR="00757913" w:rsidRPr="00750A20">
          <w:rPr>
            <w:sz w:val="22"/>
            <w:szCs w:val="22"/>
          </w:rPr>
          <w:t>Compañía</w:t>
        </w:r>
      </w:smartTag>
      <w:r w:rsidRPr="00750A20">
        <w:rPr>
          <w:sz w:val="22"/>
          <w:szCs w:val="22"/>
        </w:rPr>
        <w:t xml:space="preserve"> reportar inmediatamente sean detectadas estas operaciones.</w:t>
      </w:r>
    </w:p>
    <w:p w:rsidR="00AC42ED" w:rsidRPr="00750A20" w:rsidRDefault="00AC42ED">
      <w:pPr>
        <w:jc w:val="both"/>
        <w:rPr>
          <w:rFonts w:ascii="Arial" w:hAnsi="Arial" w:cs="Arial"/>
          <w:sz w:val="22"/>
          <w:szCs w:val="22"/>
        </w:rPr>
      </w:pPr>
    </w:p>
    <w:p w:rsidR="00AC42ED" w:rsidRPr="00750A20" w:rsidRDefault="00845EC7">
      <w:p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 xml:space="preserve">Para la identificación de las operaciones ilícitas se encuentran referenciadas dentro de la presente política las </w:t>
      </w:r>
      <w:r w:rsidR="00AC42ED" w:rsidRPr="00750A20">
        <w:rPr>
          <w:rFonts w:ascii="Arial" w:hAnsi="Arial" w:cs="Arial"/>
          <w:sz w:val="22"/>
          <w:szCs w:val="22"/>
        </w:rPr>
        <w:t>señales de alarma o alerta establecidos</w:t>
      </w:r>
      <w:r w:rsidRPr="00750A20">
        <w:rPr>
          <w:rFonts w:ascii="Arial" w:hAnsi="Arial" w:cs="Arial"/>
          <w:sz w:val="22"/>
          <w:szCs w:val="22"/>
        </w:rPr>
        <w:t xml:space="preserve"> y apelando al buen juicio de </w:t>
      </w:r>
      <w:r w:rsidR="00BE0D9A" w:rsidRPr="00750A20">
        <w:rPr>
          <w:rFonts w:ascii="Arial" w:hAnsi="Arial" w:cs="Arial"/>
          <w:sz w:val="22"/>
          <w:szCs w:val="22"/>
        </w:rPr>
        <w:t xml:space="preserve">las personas que </w:t>
      </w:r>
      <w:r w:rsidR="00AC42ED" w:rsidRPr="00750A20">
        <w:rPr>
          <w:rFonts w:ascii="Arial" w:hAnsi="Arial" w:cs="Arial"/>
          <w:sz w:val="22"/>
          <w:szCs w:val="22"/>
        </w:rPr>
        <w:t>razonablemente s</w:t>
      </w:r>
      <w:r w:rsidR="00BE0D9A" w:rsidRPr="00750A20">
        <w:rPr>
          <w:rFonts w:ascii="Arial" w:hAnsi="Arial" w:cs="Arial"/>
          <w:sz w:val="22"/>
          <w:szCs w:val="22"/>
        </w:rPr>
        <w:t xml:space="preserve">ospechen que </w:t>
      </w:r>
      <w:r w:rsidR="00AC42ED" w:rsidRPr="00750A20">
        <w:rPr>
          <w:rFonts w:ascii="Arial" w:hAnsi="Arial" w:cs="Arial"/>
          <w:sz w:val="22"/>
          <w:szCs w:val="22"/>
        </w:rPr>
        <w:t>las operaciones son irregulares o extrañas.</w:t>
      </w:r>
    </w:p>
    <w:p w:rsidR="00AC42ED" w:rsidRPr="00750A20" w:rsidRDefault="00AC42ED">
      <w:pPr>
        <w:jc w:val="both"/>
        <w:rPr>
          <w:rFonts w:ascii="Arial" w:hAnsi="Arial" w:cs="Arial"/>
          <w:sz w:val="22"/>
          <w:szCs w:val="22"/>
        </w:rPr>
      </w:pPr>
    </w:p>
    <w:p w:rsidR="00AC42ED" w:rsidRPr="00750A20" w:rsidRDefault="00AC42ED">
      <w:p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>El reporte de las actividades sospechosas no exime del deber de denunciar ante las autoridades competentes las conductas punibles de cuya comisión se tenga conocimiento establecido por la ley a cargo de todos los habitantes del país.</w:t>
      </w:r>
    </w:p>
    <w:p w:rsidR="00AC42ED" w:rsidRPr="00750A20" w:rsidRDefault="00AC42ED">
      <w:pPr>
        <w:jc w:val="both"/>
        <w:rPr>
          <w:rFonts w:ascii="Arial" w:hAnsi="Arial" w:cs="Arial"/>
          <w:sz w:val="22"/>
          <w:szCs w:val="22"/>
        </w:rPr>
      </w:pPr>
    </w:p>
    <w:p w:rsidR="00AC42ED" w:rsidRPr="00750A20" w:rsidRDefault="00AC42ED">
      <w:pPr>
        <w:jc w:val="both"/>
        <w:rPr>
          <w:rFonts w:ascii="Arial" w:hAnsi="Arial" w:cs="Arial"/>
          <w:b/>
          <w:sz w:val="22"/>
          <w:szCs w:val="22"/>
        </w:rPr>
      </w:pPr>
    </w:p>
    <w:p w:rsidR="00AC42ED" w:rsidRPr="00750A20" w:rsidRDefault="00AC42ED">
      <w:pPr>
        <w:pStyle w:val="Ttulo2"/>
        <w:spacing w:before="0" w:after="0"/>
        <w:jc w:val="both"/>
        <w:rPr>
          <w:rFonts w:ascii="Arial" w:hAnsi="Arial"/>
          <w:iCs w:val="0"/>
          <w:caps w:val="0"/>
          <w:sz w:val="22"/>
          <w:szCs w:val="22"/>
        </w:rPr>
      </w:pPr>
      <w:r w:rsidRPr="00750A20">
        <w:rPr>
          <w:rFonts w:ascii="Arial" w:hAnsi="Arial"/>
          <w:iCs w:val="0"/>
          <w:caps w:val="0"/>
          <w:sz w:val="22"/>
          <w:szCs w:val="22"/>
        </w:rPr>
        <w:t>OBJETIVO</w:t>
      </w:r>
    </w:p>
    <w:p w:rsidR="00AC42ED" w:rsidRPr="00750A20" w:rsidRDefault="00AC42ED">
      <w:pPr>
        <w:jc w:val="both"/>
        <w:rPr>
          <w:rFonts w:ascii="Arial" w:hAnsi="Arial" w:cs="Arial"/>
          <w:b/>
          <w:sz w:val="22"/>
          <w:szCs w:val="22"/>
        </w:rPr>
      </w:pPr>
    </w:p>
    <w:p w:rsidR="0056067F" w:rsidRPr="00750A20" w:rsidRDefault="00AC42ED" w:rsidP="0056067F">
      <w:pPr>
        <w:pStyle w:val="Textosinformato"/>
        <w:jc w:val="both"/>
        <w:rPr>
          <w:rFonts w:ascii="Arial" w:hAnsi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 xml:space="preserve">Indicar a los </w:t>
      </w:r>
      <w:r w:rsidR="006A096C" w:rsidRPr="00750A20">
        <w:rPr>
          <w:rFonts w:ascii="Arial" w:hAnsi="Arial" w:cs="Arial"/>
          <w:sz w:val="22"/>
          <w:szCs w:val="22"/>
        </w:rPr>
        <w:t>trabajadores</w:t>
      </w:r>
      <w:r w:rsidRPr="00750A20">
        <w:rPr>
          <w:rFonts w:ascii="Arial" w:hAnsi="Arial" w:cs="Arial"/>
          <w:sz w:val="22"/>
          <w:szCs w:val="22"/>
        </w:rPr>
        <w:t xml:space="preserve"> y/o contratistas las </w:t>
      </w:r>
      <w:r w:rsidR="00BE0D9A" w:rsidRPr="00750A20">
        <w:rPr>
          <w:rFonts w:ascii="Arial" w:hAnsi="Arial" w:cs="Arial"/>
          <w:sz w:val="22"/>
          <w:szCs w:val="22"/>
        </w:rPr>
        <w:t xml:space="preserve">formas de proceder </w:t>
      </w:r>
      <w:r w:rsidRPr="00750A20">
        <w:rPr>
          <w:rFonts w:ascii="Arial" w:hAnsi="Arial" w:cs="Arial"/>
          <w:sz w:val="22"/>
          <w:szCs w:val="22"/>
        </w:rPr>
        <w:t xml:space="preserve">en caso de sospecha o hallazgo de sustancias ilícitas, contrabando de mercancías, mecanismos para el terrorismo y lavado de activos dentro de los servicios prestados o contratados, cooperando con las autoridades competentes en la lucha contra </w:t>
      </w:r>
      <w:r w:rsidR="00BE0D9A" w:rsidRPr="00750A20">
        <w:rPr>
          <w:rFonts w:ascii="Arial" w:hAnsi="Arial" w:cs="Arial"/>
          <w:sz w:val="22"/>
          <w:szCs w:val="22"/>
        </w:rPr>
        <w:t>las operaciones ilícit</w:t>
      </w:r>
      <w:r w:rsidR="0056067F" w:rsidRPr="00750A20">
        <w:rPr>
          <w:rFonts w:ascii="Arial" w:hAnsi="Arial" w:cs="Arial"/>
          <w:sz w:val="22"/>
          <w:szCs w:val="22"/>
        </w:rPr>
        <w:t>as en el comercio internacional.</w:t>
      </w:r>
    </w:p>
    <w:p w:rsidR="00AC42ED" w:rsidRPr="00750A20" w:rsidRDefault="00AC42ED">
      <w:pPr>
        <w:jc w:val="both"/>
        <w:rPr>
          <w:rFonts w:ascii="Arial" w:hAnsi="Arial" w:cs="Arial"/>
          <w:sz w:val="22"/>
          <w:szCs w:val="22"/>
        </w:rPr>
      </w:pPr>
    </w:p>
    <w:p w:rsidR="008A2182" w:rsidRPr="00750A20" w:rsidRDefault="008A2182" w:rsidP="008A2182">
      <w:pPr>
        <w:rPr>
          <w:sz w:val="22"/>
          <w:szCs w:val="22"/>
          <w:lang w:val="es-MX"/>
        </w:rPr>
      </w:pPr>
    </w:p>
    <w:p w:rsidR="00AC42ED" w:rsidRPr="00750A20" w:rsidRDefault="00AC42ED">
      <w:pPr>
        <w:pStyle w:val="Ttulo1"/>
        <w:spacing w:line="240" w:lineRule="auto"/>
        <w:jc w:val="both"/>
        <w:rPr>
          <w:sz w:val="22"/>
          <w:szCs w:val="22"/>
        </w:rPr>
      </w:pPr>
      <w:r w:rsidRPr="00750A20">
        <w:rPr>
          <w:sz w:val="22"/>
          <w:szCs w:val="22"/>
        </w:rPr>
        <w:t>DEFINICIONES</w:t>
      </w:r>
    </w:p>
    <w:p w:rsidR="00AC42ED" w:rsidRPr="00750A20" w:rsidRDefault="00AC42ED">
      <w:pPr>
        <w:jc w:val="both"/>
        <w:rPr>
          <w:rFonts w:ascii="Arial" w:hAnsi="Arial" w:cs="Arial"/>
          <w:b/>
          <w:sz w:val="22"/>
          <w:szCs w:val="22"/>
        </w:rPr>
      </w:pPr>
    </w:p>
    <w:p w:rsidR="00AC42ED" w:rsidRPr="00750A20" w:rsidRDefault="006A096C" w:rsidP="00750A20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b/>
          <w:sz w:val="22"/>
          <w:szCs w:val="22"/>
        </w:rPr>
        <w:t>Trabajador</w:t>
      </w:r>
      <w:r w:rsidR="00AC42ED" w:rsidRPr="00750A20">
        <w:rPr>
          <w:rFonts w:ascii="Arial" w:hAnsi="Arial" w:cs="Arial"/>
          <w:b/>
          <w:sz w:val="22"/>
          <w:szCs w:val="22"/>
        </w:rPr>
        <w:t>:</w:t>
      </w:r>
      <w:r w:rsidR="00AC42ED" w:rsidRPr="00750A20">
        <w:rPr>
          <w:rFonts w:ascii="Arial" w:hAnsi="Arial" w:cs="Arial"/>
          <w:sz w:val="22"/>
          <w:szCs w:val="22"/>
        </w:rPr>
        <w:t xml:space="preserve"> Aplica para operativos de las oficinas en puerto de Transborder, directores de las oficinas en puertos, Operativos en las sucursales y en general cualquier ot</w:t>
      </w:r>
      <w:r w:rsidR="008A2182" w:rsidRPr="00750A20">
        <w:rPr>
          <w:rFonts w:ascii="Arial" w:hAnsi="Arial" w:cs="Arial"/>
          <w:sz w:val="22"/>
          <w:szCs w:val="22"/>
        </w:rPr>
        <w:t>r</w:t>
      </w:r>
      <w:r w:rsidRPr="00750A20">
        <w:rPr>
          <w:rFonts w:ascii="Arial" w:hAnsi="Arial" w:cs="Arial"/>
          <w:sz w:val="22"/>
          <w:szCs w:val="22"/>
        </w:rPr>
        <w:t xml:space="preserve">a persona que preste sus servicios y fuerza de trabajo a </w:t>
      </w:r>
      <w:r w:rsidR="00DB7623">
        <w:rPr>
          <w:rFonts w:ascii="Arial" w:hAnsi="Arial" w:cs="Arial"/>
          <w:sz w:val="22"/>
          <w:szCs w:val="22"/>
        </w:rPr>
        <w:t>Transborder S.A.S.</w:t>
      </w:r>
    </w:p>
    <w:p w:rsidR="008A2182" w:rsidRPr="00750A20" w:rsidRDefault="00AC42ED" w:rsidP="00750A20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b/>
          <w:sz w:val="22"/>
          <w:szCs w:val="22"/>
        </w:rPr>
        <w:t>Contratista:</w:t>
      </w:r>
      <w:r w:rsidRPr="00750A20">
        <w:rPr>
          <w:rFonts w:ascii="Arial" w:hAnsi="Arial" w:cs="Arial"/>
          <w:sz w:val="22"/>
          <w:szCs w:val="22"/>
        </w:rPr>
        <w:t xml:space="preserve"> </w:t>
      </w:r>
      <w:r w:rsidR="00757913" w:rsidRPr="00750A20">
        <w:rPr>
          <w:rFonts w:ascii="Arial" w:hAnsi="Arial" w:cs="Arial"/>
          <w:sz w:val="22"/>
          <w:szCs w:val="22"/>
        </w:rPr>
        <w:t>Compañía</w:t>
      </w:r>
      <w:r w:rsidRPr="00750A20">
        <w:rPr>
          <w:rFonts w:ascii="Arial" w:hAnsi="Arial" w:cs="Arial"/>
          <w:sz w:val="22"/>
          <w:szCs w:val="22"/>
        </w:rPr>
        <w:t xml:space="preserve"> que manipula la carga a nombre de </w:t>
      </w:r>
      <w:r w:rsidR="00DB7623">
        <w:rPr>
          <w:rFonts w:ascii="Arial" w:hAnsi="Arial" w:cs="Arial"/>
          <w:sz w:val="22"/>
          <w:szCs w:val="22"/>
        </w:rPr>
        <w:t>Transborder S.A.S.</w:t>
      </w:r>
      <w:r w:rsidRPr="00750A20">
        <w:rPr>
          <w:rFonts w:ascii="Arial" w:hAnsi="Arial" w:cs="Arial"/>
          <w:sz w:val="22"/>
          <w:szCs w:val="22"/>
        </w:rPr>
        <w:t xml:space="preserve">: operadores portuarios, </w:t>
      </w:r>
      <w:r w:rsidR="00757913" w:rsidRPr="00750A20">
        <w:rPr>
          <w:rFonts w:ascii="Arial" w:hAnsi="Arial" w:cs="Arial"/>
          <w:sz w:val="22"/>
          <w:szCs w:val="22"/>
        </w:rPr>
        <w:t xml:space="preserve">transportistas </w:t>
      </w:r>
      <w:r w:rsidRPr="00750A20">
        <w:rPr>
          <w:rFonts w:ascii="Arial" w:hAnsi="Arial" w:cs="Arial"/>
          <w:sz w:val="22"/>
          <w:szCs w:val="22"/>
        </w:rPr>
        <w:t>terrestres, bodegas,</w:t>
      </w:r>
      <w:r w:rsidRPr="00750A20">
        <w:rPr>
          <w:sz w:val="22"/>
          <w:szCs w:val="22"/>
        </w:rPr>
        <w:t xml:space="preserve"> </w:t>
      </w:r>
      <w:r w:rsidRPr="00750A20">
        <w:rPr>
          <w:rFonts w:ascii="Arial" w:hAnsi="Arial" w:cs="Arial"/>
          <w:sz w:val="22"/>
          <w:szCs w:val="22"/>
        </w:rPr>
        <w:t>etc.</w:t>
      </w:r>
    </w:p>
    <w:p w:rsidR="00AC42ED" w:rsidRPr="00750A20" w:rsidRDefault="00AC42ED" w:rsidP="00750A20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b/>
          <w:bCs/>
          <w:sz w:val="22"/>
          <w:szCs w:val="22"/>
        </w:rPr>
        <w:t>Comité de Seguridad:</w:t>
      </w:r>
      <w:r w:rsidRPr="00750A20">
        <w:rPr>
          <w:rFonts w:ascii="Arial" w:hAnsi="Arial" w:cs="Arial"/>
          <w:sz w:val="22"/>
          <w:szCs w:val="22"/>
        </w:rPr>
        <w:t xml:space="preserve"> Organismo interno integrado por el </w:t>
      </w:r>
      <w:r w:rsidR="00534763" w:rsidRPr="00750A20">
        <w:rPr>
          <w:rFonts w:ascii="Arial" w:hAnsi="Arial" w:cs="Arial"/>
          <w:sz w:val="22"/>
          <w:szCs w:val="22"/>
        </w:rPr>
        <w:t xml:space="preserve">Presidente, </w:t>
      </w:r>
      <w:smartTag w:uri="urn:schemas-microsoft-com:office:smarttags" w:element="PersonName">
        <w:smartTagPr>
          <w:attr w:name="ProductID" w:val="la Asesora Jur￭dica"/>
        </w:smartTagPr>
        <w:smartTag w:uri="urn:schemas-microsoft-com:office:smarttags" w:element="PersonName">
          <w:smartTagPr>
            <w:attr w:name="ProductID" w:val="la Asesora"/>
          </w:smartTagPr>
          <w:r w:rsidR="00534763" w:rsidRPr="00750A20">
            <w:rPr>
              <w:rFonts w:ascii="Arial" w:hAnsi="Arial" w:cs="Arial"/>
              <w:sz w:val="22"/>
              <w:szCs w:val="22"/>
            </w:rPr>
            <w:t>la</w:t>
          </w:r>
          <w:r w:rsidRPr="00750A20">
            <w:rPr>
              <w:rFonts w:ascii="Arial" w:hAnsi="Arial" w:cs="Arial"/>
              <w:sz w:val="22"/>
              <w:szCs w:val="22"/>
            </w:rPr>
            <w:t xml:space="preserve"> </w:t>
          </w:r>
          <w:r w:rsidR="006A096C" w:rsidRPr="00750A20">
            <w:rPr>
              <w:rFonts w:ascii="Arial" w:hAnsi="Arial" w:cs="Arial"/>
              <w:sz w:val="22"/>
              <w:szCs w:val="22"/>
            </w:rPr>
            <w:t>Asesora</w:t>
          </w:r>
        </w:smartTag>
        <w:r w:rsidR="006A096C" w:rsidRPr="00750A20">
          <w:rPr>
            <w:rFonts w:ascii="Arial" w:hAnsi="Arial" w:cs="Arial"/>
            <w:sz w:val="22"/>
            <w:szCs w:val="22"/>
          </w:rPr>
          <w:t xml:space="preserve"> Jurídica</w:t>
        </w:r>
      </w:smartTag>
      <w:r w:rsidR="006A096C" w:rsidRPr="00750A20">
        <w:rPr>
          <w:rFonts w:ascii="Arial" w:hAnsi="Arial" w:cs="Arial"/>
          <w:sz w:val="22"/>
          <w:szCs w:val="22"/>
        </w:rPr>
        <w:t xml:space="preserve"> </w:t>
      </w:r>
      <w:r w:rsidR="00534763" w:rsidRPr="00750A20">
        <w:rPr>
          <w:rFonts w:ascii="Arial" w:hAnsi="Arial" w:cs="Arial"/>
          <w:sz w:val="22"/>
          <w:szCs w:val="22"/>
        </w:rPr>
        <w:t>y el Director de Sistemas de Gestión</w:t>
      </w:r>
      <w:r w:rsidR="00757913" w:rsidRPr="00750A20">
        <w:rPr>
          <w:rFonts w:ascii="Arial" w:hAnsi="Arial" w:cs="Arial"/>
          <w:sz w:val="22"/>
          <w:szCs w:val="22"/>
        </w:rPr>
        <w:t xml:space="preserve"> de </w:t>
      </w:r>
      <w:r w:rsidR="00DB7623">
        <w:rPr>
          <w:rFonts w:ascii="Arial" w:hAnsi="Arial" w:cs="Arial"/>
          <w:sz w:val="22"/>
          <w:szCs w:val="22"/>
        </w:rPr>
        <w:t>Transborder S.A.S.</w:t>
      </w:r>
      <w:r w:rsidRPr="00750A20">
        <w:rPr>
          <w:rFonts w:ascii="Arial" w:hAnsi="Arial" w:cs="Arial"/>
          <w:sz w:val="22"/>
          <w:szCs w:val="22"/>
        </w:rPr>
        <w:t>, quienes deciden según el análisis pertinente si la detección o sospecha de una operación o actividad sospechosa tiene fundamentos para ser reportada a las autoridades competentes.</w:t>
      </w:r>
    </w:p>
    <w:p w:rsidR="00AC42ED" w:rsidRPr="00750A20" w:rsidRDefault="00AC42ED">
      <w:pPr>
        <w:jc w:val="both"/>
        <w:rPr>
          <w:sz w:val="22"/>
          <w:szCs w:val="22"/>
        </w:rPr>
      </w:pPr>
      <w:r w:rsidRPr="00750A20">
        <w:rPr>
          <w:sz w:val="22"/>
          <w:szCs w:val="22"/>
        </w:rPr>
        <w:t xml:space="preserve">                      </w:t>
      </w:r>
    </w:p>
    <w:p w:rsidR="00750A20" w:rsidRDefault="00750A20" w:rsidP="00BE0D9A">
      <w:pPr>
        <w:pStyle w:val="Ttulo3"/>
        <w:spacing w:line="240" w:lineRule="auto"/>
        <w:ind w:left="0"/>
        <w:rPr>
          <w:sz w:val="22"/>
          <w:szCs w:val="22"/>
        </w:rPr>
      </w:pPr>
    </w:p>
    <w:p w:rsidR="00AC42ED" w:rsidRPr="00750A20" w:rsidRDefault="00AC42ED" w:rsidP="00BE0D9A">
      <w:pPr>
        <w:pStyle w:val="Ttulo3"/>
        <w:spacing w:line="240" w:lineRule="auto"/>
        <w:ind w:left="0"/>
        <w:rPr>
          <w:sz w:val="22"/>
          <w:szCs w:val="22"/>
        </w:rPr>
      </w:pPr>
      <w:r w:rsidRPr="00750A20">
        <w:rPr>
          <w:sz w:val="22"/>
          <w:szCs w:val="22"/>
        </w:rPr>
        <w:t>ALGUNAS SEÑALES DE ALARMA</w:t>
      </w:r>
    </w:p>
    <w:p w:rsidR="00AC42ED" w:rsidRPr="00750A20" w:rsidRDefault="00AC42ED">
      <w:pPr>
        <w:rPr>
          <w:sz w:val="22"/>
          <w:szCs w:val="22"/>
        </w:rPr>
      </w:pPr>
    </w:p>
    <w:p w:rsidR="00E83A21" w:rsidRPr="00750A20" w:rsidRDefault="00AC42ED" w:rsidP="00E83A21">
      <w:pPr>
        <w:pStyle w:val="Sangra2detindependiente"/>
        <w:ind w:left="0"/>
        <w:jc w:val="left"/>
        <w:rPr>
          <w:sz w:val="22"/>
          <w:szCs w:val="22"/>
        </w:rPr>
      </w:pPr>
      <w:r w:rsidRPr="00750A20">
        <w:rPr>
          <w:sz w:val="22"/>
          <w:szCs w:val="22"/>
        </w:rPr>
        <w:t xml:space="preserve">Entre las múltiples posibilidades existentes, a continuación se relacionan los </w:t>
      </w:r>
      <w:r w:rsidR="00BE0D9A" w:rsidRPr="00750A20">
        <w:rPr>
          <w:sz w:val="22"/>
          <w:szCs w:val="22"/>
        </w:rPr>
        <w:t>factores</w:t>
      </w:r>
      <w:r w:rsidRPr="00750A20">
        <w:rPr>
          <w:sz w:val="22"/>
          <w:szCs w:val="22"/>
        </w:rPr>
        <w:t xml:space="preserve"> de riesgo más</w:t>
      </w:r>
      <w:r w:rsidR="00BE0D9A" w:rsidRPr="00750A20">
        <w:rPr>
          <w:sz w:val="22"/>
          <w:szCs w:val="22"/>
        </w:rPr>
        <w:t xml:space="preserve"> frecuentes, </w:t>
      </w:r>
      <w:r w:rsidRPr="00750A20">
        <w:rPr>
          <w:sz w:val="22"/>
          <w:szCs w:val="22"/>
        </w:rPr>
        <w:t xml:space="preserve">acordes a la actividad económica de </w:t>
      </w:r>
      <w:r w:rsidR="00DB7623">
        <w:rPr>
          <w:sz w:val="22"/>
          <w:szCs w:val="22"/>
        </w:rPr>
        <w:t>Transborder S.A.S.</w:t>
      </w:r>
    </w:p>
    <w:p w:rsidR="00E83A21" w:rsidRPr="00750A20" w:rsidRDefault="00E83A21" w:rsidP="00E83A21">
      <w:pPr>
        <w:pStyle w:val="Sangra2detindependiente"/>
        <w:ind w:left="0"/>
        <w:jc w:val="left"/>
        <w:rPr>
          <w:sz w:val="22"/>
          <w:szCs w:val="22"/>
        </w:rPr>
      </w:pP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 xml:space="preserve">Descripción de carga en documentos con nombre de sustancia controlada (ver anexo) sin el Certificado de Carencia de Informes por Tráfico de Estupefacientes y la autorización de la licencia previa de importaciones o exportaciones. 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Los pesos y número de piezas descritos en documentos no coinciden respecto a la realidad en la recepción de carga en puerto ó aeropuerto y no hay la debida justificación.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Características inusuales de las actividades, productos o lugares de procedencia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Intento de incumplir con las normas o procedimientos aduaneros, tributarios y cambiarios o ya sancionados por infracciones al régimen cambiario o al régimen aduanero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Inconsistencias en la información relacionada con la existencia, identificación, dirección del domicilio o ubicación del usuario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Inconsistencias en la información que suministra el usuario frente a la que suministran otras fuentes.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Sectores económicos susceptibles de ser utilizados como mecanismo para realizar operaciones de lavado de activos o para el financiamiento del terrorismo.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Importaciones realizadas por personas naturales o jurídicas, sin trayectoria en la actividad comercial del producto importado.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Importaciones por valores superiores frente al capital con el cual fue constituida la empresa, especialmente si se trata de empresas con poco tiempo de creación.</w:t>
      </w:r>
    </w:p>
    <w:p w:rsidR="00E83A21" w:rsidRPr="00750A20" w:rsidRDefault="004610F0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I</w:t>
      </w:r>
      <w:r w:rsidR="00E83A21" w:rsidRPr="00750A20">
        <w:rPr>
          <w:sz w:val="22"/>
          <w:szCs w:val="22"/>
        </w:rPr>
        <w:t>mporta</w:t>
      </w:r>
      <w:r w:rsidRPr="00750A20">
        <w:rPr>
          <w:sz w:val="22"/>
          <w:szCs w:val="22"/>
        </w:rPr>
        <w:t>ción constante de</w:t>
      </w:r>
      <w:r w:rsidR="00E83A21" w:rsidRPr="00750A20">
        <w:rPr>
          <w:sz w:val="22"/>
          <w:szCs w:val="22"/>
        </w:rPr>
        <w:t xml:space="preserve"> mercancías que </w:t>
      </w:r>
      <w:r w:rsidRPr="00750A20">
        <w:rPr>
          <w:sz w:val="22"/>
          <w:szCs w:val="22"/>
        </w:rPr>
        <w:t>sean</w:t>
      </w:r>
      <w:r w:rsidR="00E83A21" w:rsidRPr="00750A20">
        <w:rPr>
          <w:sz w:val="22"/>
          <w:szCs w:val="22"/>
        </w:rPr>
        <w:t xml:space="preserve"> comercializadas popularmente y a bajos precios tanto de manera formal </w:t>
      </w:r>
      <w:r w:rsidRPr="00750A20">
        <w:rPr>
          <w:sz w:val="22"/>
          <w:szCs w:val="22"/>
        </w:rPr>
        <w:t>(</w:t>
      </w:r>
      <w:r w:rsidR="00E83A21" w:rsidRPr="00750A20">
        <w:rPr>
          <w:sz w:val="22"/>
          <w:szCs w:val="22"/>
        </w:rPr>
        <w:t>establecimientos de comercio</w:t>
      </w:r>
      <w:r w:rsidRPr="00750A20">
        <w:rPr>
          <w:sz w:val="22"/>
          <w:szCs w:val="22"/>
        </w:rPr>
        <w:t>) o informalmente (</w:t>
      </w:r>
      <w:r w:rsidR="00E83A21" w:rsidRPr="00750A20">
        <w:rPr>
          <w:sz w:val="22"/>
          <w:szCs w:val="22"/>
        </w:rPr>
        <w:t>semáforos, andenes, calles</w:t>
      </w:r>
      <w:r w:rsidRPr="00750A20">
        <w:rPr>
          <w:sz w:val="22"/>
          <w:szCs w:val="22"/>
        </w:rPr>
        <w:t>, etc.)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Importaciones y exportaciones realizadas por personas que tengan antecedentes</w:t>
      </w:r>
      <w:r w:rsidR="004610F0" w:rsidRPr="00750A20">
        <w:rPr>
          <w:sz w:val="22"/>
          <w:szCs w:val="22"/>
        </w:rPr>
        <w:t xml:space="preserve"> de infracciones a </w:t>
      </w:r>
      <w:smartTag w:uri="urn:schemas-microsoft-com:office:smarttags" w:element="PersonName">
        <w:smartTagPr>
          <w:attr w:name="ProductID" w:val="la Ley Penal"/>
        </w:smartTagPr>
        <w:r w:rsidR="004610F0" w:rsidRPr="00750A20">
          <w:rPr>
            <w:sz w:val="22"/>
            <w:szCs w:val="22"/>
          </w:rPr>
          <w:t>la Ley Penal</w:t>
        </w:r>
      </w:smartTag>
      <w:r w:rsidR="004610F0" w:rsidRPr="00750A20">
        <w:rPr>
          <w:sz w:val="22"/>
          <w:szCs w:val="22"/>
        </w:rPr>
        <w:t xml:space="preserve"> o reportadas </w:t>
      </w:r>
      <w:r w:rsidR="00763DAD" w:rsidRPr="00750A20">
        <w:rPr>
          <w:sz w:val="22"/>
          <w:szCs w:val="22"/>
        </w:rPr>
        <w:t>al</w:t>
      </w:r>
      <w:r w:rsidR="004610F0" w:rsidRPr="00750A20">
        <w:rPr>
          <w:sz w:val="22"/>
          <w:szCs w:val="22"/>
        </w:rPr>
        <w:t xml:space="preserve"> departamento del tesoro de Estados Unidos (Lista Clinton)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Cuando el documento de transporte viene a nombre de una persona o sociedad reconocida y posteriormente es endosado a un tercero sin trayectoria en el sector.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El importador o exportador pretende pagar conceptos de servicios de agente de carga por grandes valores fuera del sistema financiero.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Cuando la mercancía es sometida a continuación de viaje, DTA, transbordo o cabotaje y los datos del destinatario que aparecen en el documento de transporte sean indefinidos</w:t>
      </w:r>
      <w:r w:rsidR="004610F0" w:rsidRPr="00750A20">
        <w:rPr>
          <w:sz w:val="22"/>
          <w:szCs w:val="22"/>
        </w:rPr>
        <w:t xml:space="preserve"> o incompletos (citar únicamente</w:t>
      </w:r>
      <w:r w:rsidRPr="00750A20">
        <w:rPr>
          <w:sz w:val="22"/>
          <w:szCs w:val="22"/>
        </w:rPr>
        <w:t xml:space="preserve"> la ciudad, número de teléfono, direcciones incompletas, nombres sin apellidos, etc.</w:t>
      </w:r>
      <w:r w:rsidR="004610F0" w:rsidRPr="00750A20">
        <w:rPr>
          <w:sz w:val="22"/>
          <w:szCs w:val="22"/>
        </w:rPr>
        <w:t>)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Cuando la factura contenga precios ostensiblemente bajos frente a los del mercado.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Cuando se presenten obstáculos o dificultades por parte del importador para verificar físicamente la mercancía, a pesar de encontrarse los documentos soportados y la declaración de importación con el lleno de las formalidades aduaneras.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Cuando habitualmente lleguen al país paquetes pequeños o remisiones pequeñas a nombre de una misma persona o personas diferentes, pero a las mismas direcciones.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Cuando un importador cambie constantemente de SIAS y DEPOSITOS.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lastRenderedPageBreak/>
        <w:t>Importaciones o exportaciones de gran volumen o valor, realizadas por colombianos residentes en el exterior que no tengan relación directa con su actividad económica o el giro ordinario de sus negocios.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Importaciones o exportaciones hechas por extranjeros, que no realicen actividades permanentes en Colombia.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 xml:space="preserve">Importaciones o exportaciones que no tienen una relación directa con la actividad económica del usuario. 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La importación de bienes suntuarios, como vehículos lujosos, obras de arte, pied</w:t>
      </w:r>
      <w:r w:rsidR="000F5E74" w:rsidRPr="00750A20">
        <w:rPr>
          <w:sz w:val="22"/>
          <w:szCs w:val="22"/>
        </w:rPr>
        <w:t>ras preciosas, esculturas, etc.</w:t>
      </w:r>
      <w:r w:rsidRPr="00750A20">
        <w:rPr>
          <w:sz w:val="22"/>
          <w:szCs w:val="22"/>
        </w:rPr>
        <w:t xml:space="preserve"> y  que no tengan relación directa con la actividad económica o el giro ordinario de los negocios del usuario. 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La procedencia de las mercancías de zonas o puertos libres con el giro de divisas por el mercado no cambiario o el pago directo.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El ingreso físico de sumas de dinero en contenedores, maletas, compartimentos secret</w:t>
      </w:r>
      <w:r w:rsidR="000F5E74" w:rsidRPr="00750A20">
        <w:rPr>
          <w:sz w:val="22"/>
          <w:szCs w:val="22"/>
        </w:rPr>
        <w:t>os de vehículos y unidades de almacenamiento</w:t>
      </w:r>
      <w:r w:rsidRPr="00750A20">
        <w:rPr>
          <w:sz w:val="22"/>
          <w:szCs w:val="22"/>
        </w:rPr>
        <w:t xml:space="preserve"> o envíos urgentes, etc.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La carencia de infraestructura para la realización de exportaciones o la existencia de documentos que amparen exportaciones no realizadas efectivamente.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La sobrefacturación o subfacturación de exportaciones o importaciones.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Reembarques de mercancías sin causa aparente o reexportación de mercancías que de haberse nacionalizado presenten alguno de los perfiles de riesgos anotados anteriormente.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Operaciones de contrabando abierto o contrabando técnico.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La utilización de documentos presuntamente falsos o exportaciones ficticias.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Pérdida o hurto de mercancías entre el trayecto del lugar de arribo al depósito.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Mercancía que ingresa documentalmente al país, pero no físicamente sin causa aparente.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Cuando llegue la mercancía a puerto o aeropuerto sin el respectivo sello de seguridad.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Cuando no coincida los datos del conductor o vehículo.</w:t>
      </w:r>
    </w:p>
    <w:p w:rsidR="00E83A21" w:rsidRPr="00750A20" w:rsidRDefault="00E83A21" w:rsidP="00750A20">
      <w:pPr>
        <w:pStyle w:val="Sangra2detindependiente"/>
        <w:numPr>
          <w:ilvl w:val="0"/>
          <w:numId w:val="12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750A20">
        <w:rPr>
          <w:sz w:val="22"/>
          <w:szCs w:val="22"/>
        </w:rPr>
        <w:t>Cuando no coincida los datos de</w:t>
      </w:r>
      <w:r w:rsidR="006A096C" w:rsidRPr="00750A20">
        <w:rPr>
          <w:sz w:val="22"/>
          <w:szCs w:val="22"/>
        </w:rPr>
        <w:t xml:space="preserve"> </w:t>
      </w:r>
      <w:r w:rsidRPr="00750A20">
        <w:rPr>
          <w:sz w:val="22"/>
          <w:szCs w:val="22"/>
        </w:rPr>
        <w:t>la aerolínea o guía aérea.</w:t>
      </w:r>
    </w:p>
    <w:p w:rsidR="006A096C" w:rsidRPr="00750A20" w:rsidRDefault="006A096C" w:rsidP="00E83A21">
      <w:pPr>
        <w:pStyle w:val="Sangra2detindependiente"/>
        <w:ind w:left="0"/>
        <w:jc w:val="left"/>
        <w:rPr>
          <w:b/>
          <w:sz w:val="22"/>
          <w:szCs w:val="22"/>
        </w:rPr>
      </w:pPr>
    </w:p>
    <w:p w:rsidR="00750A20" w:rsidRDefault="00750A20" w:rsidP="00E83A21">
      <w:pPr>
        <w:pStyle w:val="Sangra2detindependiente"/>
        <w:ind w:left="0"/>
        <w:jc w:val="left"/>
        <w:rPr>
          <w:b/>
          <w:sz w:val="22"/>
          <w:szCs w:val="22"/>
        </w:rPr>
      </w:pPr>
    </w:p>
    <w:p w:rsidR="00AC42ED" w:rsidRPr="00750A20" w:rsidRDefault="00AC42ED" w:rsidP="00E83A21">
      <w:pPr>
        <w:pStyle w:val="Sangra2detindependiente"/>
        <w:ind w:left="0"/>
        <w:jc w:val="left"/>
        <w:rPr>
          <w:b/>
          <w:sz w:val="22"/>
          <w:szCs w:val="22"/>
        </w:rPr>
      </w:pPr>
      <w:r w:rsidRPr="00750A20">
        <w:rPr>
          <w:b/>
          <w:sz w:val="22"/>
          <w:szCs w:val="22"/>
        </w:rPr>
        <w:t>PROCEDIMIENTO:</w:t>
      </w:r>
    </w:p>
    <w:p w:rsidR="00AC42ED" w:rsidRPr="00750A20" w:rsidRDefault="00AC42ED">
      <w:pPr>
        <w:rPr>
          <w:sz w:val="22"/>
          <w:szCs w:val="22"/>
          <w:lang w:val="es-MX"/>
        </w:rPr>
      </w:pPr>
    </w:p>
    <w:p w:rsidR="00AC42ED" w:rsidRPr="00750A20" w:rsidRDefault="00AC42ED">
      <w:pPr>
        <w:pStyle w:val="Textosinformato"/>
        <w:rPr>
          <w:rFonts w:ascii="Arial" w:hAnsi="Arial" w:cs="Arial"/>
          <w:b/>
          <w:bCs/>
          <w:sz w:val="22"/>
          <w:szCs w:val="22"/>
          <w:lang w:val="es-MX"/>
        </w:rPr>
      </w:pPr>
      <w:r w:rsidRPr="00750A20">
        <w:rPr>
          <w:rFonts w:ascii="Arial" w:hAnsi="Arial" w:cs="Arial"/>
          <w:b/>
          <w:bCs/>
          <w:sz w:val="22"/>
          <w:szCs w:val="22"/>
          <w:lang w:val="es-MX"/>
        </w:rPr>
        <w:t xml:space="preserve">Contra la seguridad de la operación: carga y documentación: </w:t>
      </w:r>
    </w:p>
    <w:p w:rsidR="00AC42ED" w:rsidRPr="00750A20" w:rsidRDefault="00AC42ED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p w:rsidR="00AC42ED" w:rsidRPr="00750A20" w:rsidRDefault="008075F8" w:rsidP="008A2182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 xml:space="preserve">Cualquier </w:t>
      </w:r>
      <w:r w:rsidR="006A096C" w:rsidRPr="00750A20">
        <w:rPr>
          <w:rFonts w:ascii="Arial" w:hAnsi="Arial" w:cs="Arial"/>
          <w:sz w:val="22"/>
          <w:szCs w:val="22"/>
        </w:rPr>
        <w:t>trabajador</w:t>
      </w:r>
      <w:r w:rsidR="00AC42ED" w:rsidRPr="00750A20">
        <w:rPr>
          <w:rFonts w:ascii="Arial" w:hAnsi="Arial" w:cs="Arial"/>
          <w:sz w:val="22"/>
          <w:szCs w:val="22"/>
        </w:rPr>
        <w:t xml:space="preserve"> o contratista que </w:t>
      </w:r>
      <w:r w:rsidR="00AC42ED" w:rsidRPr="00750A20">
        <w:rPr>
          <w:rFonts w:ascii="Arial" w:hAnsi="Arial" w:cs="Arial"/>
          <w:b/>
          <w:sz w:val="22"/>
          <w:szCs w:val="22"/>
        </w:rPr>
        <w:t>detecte o sospeche</w:t>
      </w:r>
      <w:r w:rsidR="00AC42ED" w:rsidRPr="00750A20">
        <w:rPr>
          <w:rFonts w:ascii="Arial" w:hAnsi="Arial" w:cs="Arial"/>
          <w:sz w:val="22"/>
          <w:szCs w:val="22"/>
        </w:rPr>
        <w:t xml:space="preserve"> de un embarque u operación en cuanto a sustancias controladas, estupefacientes, contrabando de mercancía y mecanismos para el terrorismo, según las señales de alarma establecidas, debe reportar inmediatamente al Gerente de </w:t>
      </w:r>
      <w:r w:rsidR="00534763" w:rsidRPr="00750A20">
        <w:rPr>
          <w:rFonts w:ascii="Arial" w:hAnsi="Arial" w:cs="Arial"/>
          <w:sz w:val="22"/>
          <w:szCs w:val="22"/>
        </w:rPr>
        <w:t xml:space="preserve">Operaciones </w:t>
      </w:r>
      <w:r w:rsidR="00AC42ED" w:rsidRPr="00750A20">
        <w:rPr>
          <w:rFonts w:ascii="Arial" w:hAnsi="Arial" w:cs="Arial"/>
          <w:b/>
          <w:bCs/>
          <w:sz w:val="22"/>
          <w:szCs w:val="22"/>
        </w:rPr>
        <w:t>Omar Chacón</w:t>
      </w:r>
      <w:r w:rsidR="00AC42ED" w:rsidRPr="00750A20">
        <w:rPr>
          <w:rFonts w:ascii="Arial" w:hAnsi="Arial" w:cs="Arial"/>
          <w:sz w:val="22"/>
          <w:szCs w:val="22"/>
        </w:rPr>
        <w:t xml:space="preserve"> </w:t>
      </w:r>
      <w:r w:rsidR="000F5E74" w:rsidRPr="00750A20">
        <w:rPr>
          <w:rFonts w:ascii="Arial" w:hAnsi="Arial" w:cs="Arial"/>
          <w:sz w:val="22"/>
          <w:szCs w:val="22"/>
        </w:rPr>
        <w:t xml:space="preserve">Ext. </w:t>
      </w:r>
      <w:r w:rsidR="00AC42ED" w:rsidRPr="00750A20">
        <w:rPr>
          <w:rFonts w:ascii="Arial" w:hAnsi="Arial" w:cs="Arial"/>
          <w:sz w:val="22"/>
          <w:szCs w:val="22"/>
        </w:rPr>
        <w:t>17</w:t>
      </w:r>
      <w:r w:rsidR="008A2182" w:rsidRPr="00750A20">
        <w:rPr>
          <w:rFonts w:ascii="Arial" w:hAnsi="Arial" w:cs="Arial"/>
          <w:sz w:val="22"/>
          <w:szCs w:val="22"/>
        </w:rPr>
        <w:t>1</w:t>
      </w:r>
      <w:r w:rsidR="00DC5CC0" w:rsidRPr="00750A20">
        <w:rPr>
          <w:rFonts w:ascii="Arial" w:hAnsi="Arial" w:cs="Arial"/>
          <w:sz w:val="22"/>
          <w:szCs w:val="22"/>
        </w:rPr>
        <w:t xml:space="preserve"> </w:t>
      </w:r>
      <w:r w:rsidR="000F5E74" w:rsidRPr="00750A20">
        <w:rPr>
          <w:rFonts w:ascii="Arial" w:hAnsi="Arial" w:cs="Arial"/>
          <w:sz w:val="22"/>
          <w:szCs w:val="22"/>
        </w:rPr>
        <w:t>Cel.</w:t>
      </w:r>
      <w:r w:rsidR="00AC42ED" w:rsidRPr="00750A20">
        <w:rPr>
          <w:rFonts w:ascii="Arial" w:hAnsi="Arial" w:cs="Arial"/>
          <w:sz w:val="22"/>
          <w:szCs w:val="22"/>
        </w:rPr>
        <w:t xml:space="preserve"> </w:t>
      </w:r>
      <w:r w:rsidR="008A2182" w:rsidRPr="00750A20">
        <w:rPr>
          <w:rFonts w:ascii="Arial" w:hAnsi="Arial" w:cs="Arial"/>
          <w:sz w:val="22"/>
          <w:szCs w:val="22"/>
        </w:rPr>
        <w:t>3106660323</w:t>
      </w:r>
      <w:r w:rsidR="0078422B">
        <w:rPr>
          <w:rFonts w:ascii="Arial" w:hAnsi="Arial" w:cs="Arial"/>
          <w:sz w:val="22"/>
          <w:szCs w:val="22"/>
        </w:rPr>
        <w:t>.</w:t>
      </w:r>
    </w:p>
    <w:p w:rsidR="00AC42ED" w:rsidRPr="00750A20" w:rsidRDefault="00AC42ED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 xml:space="preserve">El Gerente de </w:t>
      </w:r>
      <w:r w:rsidR="00534763" w:rsidRPr="00750A20">
        <w:rPr>
          <w:rFonts w:ascii="Arial" w:hAnsi="Arial" w:cs="Arial"/>
          <w:sz w:val="22"/>
          <w:szCs w:val="22"/>
        </w:rPr>
        <w:t xml:space="preserve">Operaciones </w:t>
      </w:r>
      <w:r w:rsidR="008075F8" w:rsidRPr="00750A20">
        <w:rPr>
          <w:rFonts w:ascii="Arial" w:hAnsi="Arial" w:cs="Arial"/>
          <w:sz w:val="22"/>
          <w:szCs w:val="22"/>
        </w:rPr>
        <w:t>efectúa un análisis preliminar basado en evidencias para determinar los fundamentos de la sospecha o detección.</w:t>
      </w:r>
      <w:r w:rsidRPr="00750A20">
        <w:rPr>
          <w:rFonts w:ascii="Arial" w:hAnsi="Arial" w:cs="Arial"/>
          <w:sz w:val="22"/>
          <w:szCs w:val="22"/>
        </w:rPr>
        <w:t xml:space="preserve"> </w:t>
      </w:r>
      <w:r w:rsidR="008075F8" w:rsidRPr="00750A20">
        <w:rPr>
          <w:rFonts w:ascii="Arial" w:hAnsi="Arial" w:cs="Arial"/>
          <w:sz w:val="22"/>
          <w:szCs w:val="22"/>
        </w:rPr>
        <w:t>En caso que el análisis sea positivo,</w:t>
      </w:r>
      <w:r w:rsidRPr="00750A20">
        <w:rPr>
          <w:rFonts w:ascii="Arial" w:hAnsi="Arial" w:cs="Arial"/>
          <w:sz w:val="22"/>
          <w:szCs w:val="22"/>
        </w:rPr>
        <w:t xml:space="preserve"> debe reportar inmediatamente al </w:t>
      </w:r>
      <w:r w:rsidR="004B2B05" w:rsidRPr="00750A20">
        <w:rPr>
          <w:rFonts w:ascii="Arial" w:hAnsi="Arial" w:cs="Arial"/>
          <w:bCs/>
          <w:sz w:val="22"/>
          <w:szCs w:val="22"/>
        </w:rPr>
        <w:t>Presidente</w:t>
      </w:r>
      <w:r w:rsidRPr="00750A20">
        <w:rPr>
          <w:rFonts w:ascii="Arial" w:hAnsi="Arial" w:cs="Arial"/>
          <w:sz w:val="22"/>
          <w:szCs w:val="22"/>
        </w:rPr>
        <w:t xml:space="preserve">, </w:t>
      </w:r>
      <w:r w:rsidR="004B2B05" w:rsidRPr="00750A20">
        <w:rPr>
          <w:rFonts w:ascii="Arial" w:hAnsi="Arial" w:cs="Arial"/>
          <w:b/>
          <w:sz w:val="22"/>
          <w:szCs w:val="22"/>
        </w:rPr>
        <w:t>Carlos Duperly</w:t>
      </w:r>
      <w:r w:rsidRPr="00750A20">
        <w:rPr>
          <w:rFonts w:ascii="Arial" w:hAnsi="Arial" w:cs="Arial"/>
          <w:sz w:val="22"/>
          <w:szCs w:val="22"/>
        </w:rPr>
        <w:t xml:space="preserve"> </w:t>
      </w:r>
      <w:r w:rsidR="000F5E74" w:rsidRPr="00750A20">
        <w:rPr>
          <w:rFonts w:ascii="Arial" w:hAnsi="Arial" w:cs="Arial"/>
          <w:sz w:val="22"/>
          <w:szCs w:val="22"/>
        </w:rPr>
        <w:t xml:space="preserve">Ext. </w:t>
      </w:r>
      <w:r w:rsidR="004B2B05" w:rsidRPr="00750A20">
        <w:rPr>
          <w:rFonts w:ascii="Arial" w:hAnsi="Arial" w:cs="Arial"/>
          <w:sz w:val="22"/>
          <w:szCs w:val="22"/>
        </w:rPr>
        <w:t>133</w:t>
      </w:r>
      <w:r w:rsidR="00DC5CC0" w:rsidRPr="00750A20">
        <w:rPr>
          <w:rFonts w:ascii="Arial" w:hAnsi="Arial" w:cs="Arial"/>
          <w:sz w:val="22"/>
          <w:szCs w:val="22"/>
        </w:rPr>
        <w:t xml:space="preserve">, y </w:t>
      </w:r>
      <w:r w:rsidRPr="00750A20">
        <w:rPr>
          <w:rFonts w:ascii="Arial" w:hAnsi="Arial" w:cs="Arial"/>
          <w:sz w:val="22"/>
          <w:szCs w:val="22"/>
        </w:rPr>
        <w:t>reporta</w:t>
      </w:r>
      <w:r w:rsidR="00DC5CC0" w:rsidRPr="00750A20">
        <w:rPr>
          <w:rFonts w:ascii="Arial" w:hAnsi="Arial" w:cs="Arial"/>
          <w:sz w:val="22"/>
          <w:szCs w:val="22"/>
        </w:rPr>
        <w:t xml:space="preserve">r </w:t>
      </w:r>
      <w:r w:rsidRPr="00750A20">
        <w:rPr>
          <w:rFonts w:ascii="Arial" w:hAnsi="Arial" w:cs="Arial"/>
          <w:sz w:val="22"/>
          <w:szCs w:val="22"/>
        </w:rPr>
        <w:t>por escrito al Comité de Seguridad.</w:t>
      </w:r>
    </w:p>
    <w:p w:rsidR="00AC42ED" w:rsidRPr="00750A20" w:rsidRDefault="00AC42ED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>El Comité de Seguridad evalúa los fundamentos establecidos para efectuar el reporte formal a las autoridades competentes respectivas: Policía Nacional, Policía Aeroportuaria</w:t>
      </w:r>
      <w:r w:rsidR="004B2B05" w:rsidRPr="00750A20">
        <w:rPr>
          <w:rFonts w:ascii="Arial" w:hAnsi="Arial" w:cs="Arial"/>
          <w:sz w:val="22"/>
          <w:szCs w:val="22"/>
        </w:rPr>
        <w:t>, etc</w:t>
      </w:r>
      <w:r w:rsidRPr="00750A20">
        <w:rPr>
          <w:rFonts w:ascii="Arial" w:hAnsi="Arial" w:cs="Arial"/>
          <w:sz w:val="22"/>
          <w:szCs w:val="22"/>
        </w:rPr>
        <w:t>.</w:t>
      </w:r>
    </w:p>
    <w:p w:rsidR="00AC42ED" w:rsidRPr="00750A20" w:rsidRDefault="00AC42ED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lastRenderedPageBreak/>
        <w:t>En las 12 horas siguientes si las autoridades no hacen presencia o no se efectúa respuesta, se debe dejar notificación por escrito dirigiéndose a ellas, y guardando evidencia de la sospecha y / o hallazgo (se toman fotografías, se levanta acta)</w:t>
      </w:r>
    </w:p>
    <w:p w:rsidR="00AC42ED" w:rsidRPr="00750A20" w:rsidRDefault="00AC42ED">
      <w:pPr>
        <w:jc w:val="both"/>
        <w:rPr>
          <w:rFonts w:ascii="Arial" w:hAnsi="Arial" w:cs="Arial"/>
          <w:sz w:val="22"/>
          <w:szCs w:val="22"/>
        </w:rPr>
      </w:pPr>
    </w:p>
    <w:p w:rsidR="00AC42ED" w:rsidRPr="00750A20" w:rsidRDefault="00AC42ED">
      <w:pPr>
        <w:pStyle w:val="Textoindependiente2"/>
        <w:spacing w:line="240" w:lineRule="auto"/>
        <w:rPr>
          <w:b/>
          <w:bCs/>
          <w:sz w:val="22"/>
          <w:szCs w:val="22"/>
        </w:rPr>
      </w:pPr>
      <w:r w:rsidRPr="00750A20">
        <w:rPr>
          <w:b/>
          <w:bCs/>
          <w:sz w:val="22"/>
          <w:szCs w:val="22"/>
        </w:rPr>
        <w:t>Contra la seguridad de las operaciones financieras:</w:t>
      </w:r>
    </w:p>
    <w:p w:rsidR="00AC42ED" w:rsidRPr="00750A20" w:rsidRDefault="00AC42ED">
      <w:pPr>
        <w:ind w:left="360"/>
        <w:jc w:val="both"/>
        <w:rPr>
          <w:sz w:val="22"/>
          <w:szCs w:val="22"/>
        </w:rPr>
      </w:pPr>
    </w:p>
    <w:p w:rsidR="00AC42ED" w:rsidRPr="00750A20" w:rsidRDefault="008075F8" w:rsidP="00750A2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 xml:space="preserve">Cualquier </w:t>
      </w:r>
      <w:r w:rsidR="006A096C" w:rsidRPr="00750A20">
        <w:rPr>
          <w:rFonts w:ascii="Arial" w:hAnsi="Arial" w:cs="Arial"/>
          <w:sz w:val="22"/>
          <w:szCs w:val="22"/>
        </w:rPr>
        <w:t>trabajador</w:t>
      </w:r>
      <w:r w:rsidR="00AC42ED" w:rsidRPr="00750A20">
        <w:rPr>
          <w:rFonts w:ascii="Arial" w:hAnsi="Arial" w:cs="Arial"/>
          <w:sz w:val="22"/>
          <w:szCs w:val="22"/>
        </w:rPr>
        <w:t xml:space="preserve"> o contratista que </w:t>
      </w:r>
      <w:r w:rsidR="00AC42ED" w:rsidRPr="00750A20">
        <w:rPr>
          <w:rFonts w:ascii="Arial" w:hAnsi="Arial" w:cs="Arial"/>
          <w:b/>
          <w:sz w:val="22"/>
          <w:szCs w:val="22"/>
        </w:rPr>
        <w:t>detecte o sospeche</w:t>
      </w:r>
      <w:r w:rsidR="00AC42ED" w:rsidRPr="00750A20">
        <w:rPr>
          <w:rFonts w:ascii="Arial" w:hAnsi="Arial" w:cs="Arial"/>
          <w:sz w:val="22"/>
          <w:szCs w:val="22"/>
        </w:rPr>
        <w:t xml:space="preserve"> de un embarque u operación en cuanto al lavado de activos</w:t>
      </w:r>
      <w:r w:rsidR="004B2B05" w:rsidRPr="00750A20">
        <w:rPr>
          <w:rFonts w:ascii="Arial" w:hAnsi="Arial" w:cs="Arial"/>
          <w:sz w:val="22"/>
          <w:szCs w:val="22"/>
        </w:rPr>
        <w:t xml:space="preserve"> y </w:t>
      </w:r>
      <w:r w:rsidR="00AC42ED" w:rsidRPr="00750A20">
        <w:rPr>
          <w:rFonts w:ascii="Arial" w:hAnsi="Arial" w:cs="Arial"/>
          <w:sz w:val="22"/>
          <w:szCs w:val="22"/>
        </w:rPr>
        <w:t>, según las señales de alarma establecidas, debe repor</w:t>
      </w:r>
      <w:r w:rsidR="000E57A4" w:rsidRPr="00750A20">
        <w:rPr>
          <w:rFonts w:ascii="Arial" w:hAnsi="Arial" w:cs="Arial"/>
          <w:sz w:val="22"/>
          <w:szCs w:val="22"/>
        </w:rPr>
        <w:t>tar inmediatamente a</w:t>
      </w:r>
      <w:r w:rsidR="00DC5CC0" w:rsidRPr="00750A20">
        <w:rPr>
          <w:rFonts w:ascii="Arial" w:hAnsi="Arial" w:cs="Arial"/>
          <w:sz w:val="22"/>
          <w:szCs w:val="22"/>
        </w:rPr>
        <w:t>l</w:t>
      </w:r>
      <w:r w:rsidR="000E57A4" w:rsidRPr="00750A20">
        <w:rPr>
          <w:rFonts w:ascii="Arial" w:hAnsi="Arial" w:cs="Arial"/>
          <w:sz w:val="22"/>
          <w:szCs w:val="22"/>
        </w:rPr>
        <w:t xml:space="preserve"> </w:t>
      </w:r>
      <w:r w:rsidR="0078422B">
        <w:rPr>
          <w:rFonts w:ascii="Arial" w:hAnsi="Arial" w:cs="Arial"/>
          <w:sz w:val="22"/>
          <w:szCs w:val="22"/>
        </w:rPr>
        <w:t>D</w:t>
      </w:r>
      <w:r w:rsidR="000E57A4" w:rsidRPr="00750A20">
        <w:rPr>
          <w:rFonts w:ascii="Arial" w:hAnsi="Arial" w:cs="Arial"/>
          <w:sz w:val="22"/>
          <w:szCs w:val="22"/>
        </w:rPr>
        <w:t>irector de Sistemas de Gestión</w:t>
      </w:r>
      <w:r w:rsidR="00AC42ED" w:rsidRPr="00750A20">
        <w:rPr>
          <w:rFonts w:ascii="Arial" w:hAnsi="Arial" w:cs="Arial"/>
          <w:sz w:val="22"/>
          <w:szCs w:val="22"/>
        </w:rPr>
        <w:t xml:space="preserve">, </w:t>
      </w:r>
      <w:r w:rsidR="000E57A4" w:rsidRPr="00750A20">
        <w:rPr>
          <w:rFonts w:ascii="Arial" w:hAnsi="Arial" w:cs="Arial"/>
          <w:b/>
          <w:bCs/>
          <w:sz w:val="22"/>
          <w:szCs w:val="22"/>
        </w:rPr>
        <w:t>Camilo Guerrero</w:t>
      </w:r>
      <w:r w:rsidR="00AC42ED" w:rsidRPr="00750A20">
        <w:rPr>
          <w:rFonts w:ascii="Arial" w:hAnsi="Arial" w:cs="Arial"/>
          <w:sz w:val="22"/>
          <w:szCs w:val="22"/>
        </w:rPr>
        <w:t xml:space="preserve"> </w:t>
      </w:r>
      <w:r w:rsidR="000F5E74" w:rsidRPr="00750A20">
        <w:rPr>
          <w:rFonts w:ascii="Arial" w:hAnsi="Arial" w:cs="Arial"/>
          <w:sz w:val="22"/>
          <w:szCs w:val="22"/>
        </w:rPr>
        <w:t xml:space="preserve">Ext. </w:t>
      </w:r>
      <w:r w:rsidR="000E57A4" w:rsidRPr="00750A20">
        <w:rPr>
          <w:rFonts w:ascii="Arial" w:hAnsi="Arial" w:cs="Arial"/>
          <w:sz w:val="22"/>
          <w:szCs w:val="22"/>
        </w:rPr>
        <w:t>124</w:t>
      </w:r>
      <w:r w:rsidR="00AC42ED" w:rsidRPr="00750A20">
        <w:rPr>
          <w:rFonts w:ascii="Arial" w:hAnsi="Arial" w:cs="Arial"/>
          <w:sz w:val="22"/>
          <w:szCs w:val="22"/>
        </w:rPr>
        <w:t xml:space="preserve">.  </w:t>
      </w:r>
    </w:p>
    <w:p w:rsidR="00AC42ED" w:rsidRPr="00750A20" w:rsidRDefault="004B2B05" w:rsidP="00750A2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 xml:space="preserve">El Director de Sistemas de Gestión </w:t>
      </w:r>
      <w:r w:rsidR="00AC42ED" w:rsidRPr="00750A20">
        <w:rPr>
          <w:rFonts w:ascii="Arial" w:hAnsi="Arial" w:cs="Arial"/>
          <w:sz w:val="22"/>
          <w:szCs w:val="22"/>
        </w:rPr>
        <w:t xml:space="preserve">efectúa un análisis preliminar basado en evidencias para determinar los fundamentos </w:t>
      </w:r>
      <w:r w:rsidR="008075F8" w:rsidRPr="00750A20">
        <w:rPr>
          <w:rFonts w:ascii="Arial" w:hAnsi="Arial" w:cs="Arial"/>
          <w:sz w:val="22"/>
          <w:szCs w:val="22"/>
        </w:rPr>
        <w:t>de</w:t>
      </w:r>
      <w:r w:rsidR="00AC42ED" w:rsidRPr="00750A20">
        <w:rPr>
          <w:rFonts w:ascii="Arial" w:hAnsi="Arial" w:cs="Arial"/>
          <w:sz w:val="22"/>
          <w:szCs w:val="22"/>
        </w:rPr>
        <w:t xml:space="preserve"> la sospecha</w:t>
      </w:r>
      <w:r w:rsidR="008075F8" w:rsidRPr="00750A20">
        <w:rPr>
          <w:rFonts w:ascii="Arial" w:hAnsi="Arial" w:cs="Arial"/>
          <w:sz w:val="22"/>
          <w:szCs w:val="22"/>
        </w:rPr>
        <w:t xml:space="preserve"> o detección. E</w:t>
      </w:r>
      <w:r w:rsidR="00AC42ED" w:rsidRPr="00750A20">
        <w:rPr>
          <w:rFonts w:ascii="Arial" w:hAnsi="Arial" w:cs="Arial"/>
          <w:sz w:val="22"/>
          <w:szCs w:val="22"/>
        </w:rPr>
        <w:t xml:space="preserve">n caso </w:t>
      </w:r>
      <w:r w:rsidR="008075F8" w:rsidRPr="00750A20">
        <w:rPr>
          <w:rFonts w:ascii="Arial" w:hAnsi="Arial" w:cs="Arial"/>
          <w:sz w:val="22"/>
          <w:szCs w:val="22"/>
        </w:rPr>
        <w:t>que el análisis sea positivo,</w:t>
      </w:r>
      <w:r w:rsidR="00AC42ED" w:rsidRPr="00750A20">
        <w:rPr>
          <w:rFonts w:ascii="Arial" w:hAnsi="Arial" w:cs="Arial"/>
          <w:sz w:val="22"/>
          <w:szCs w:val="22"/>
        </w:rPr>
        <w:t xml:space="preserve"> debe reportar inmediatamente </w:t>
      </w:r>
      <w:r w:rsidRPr="00750A20">
        <w:rPr>
          <w:rFonts w:ascii="Arial" w:hAnsi="Arial" w:cs="Arial"/>
          <w:sz w:val="22"/>
          <w:szCs w:val="22"/>
        </w:rPr>
        <w:t xml:space="preserve">al </w:t>
      </w:r>
      <w:r w:rsidRPr="00750A20">
        <w:rPr>
          <w:rFonts w:ascii="Arial" w:hAnsi="Arial" w:cs="Arial"/>
          <w:bCs/>
          <w:sz w:val="22"/>
          <w:szCs w:val="22"/>
        </w:rPr>
        <w:t>Presidente</w:t>
      </w:r>
      <w:r w:rsidRPr="00750A20">
        <w:rPr>
          <w:rFonts w:ascii="Arial" w:hAnsi="Arial" w:cs="Arial"/>
          <w:sz w:val="22"/>
          <w:szCs w:val="22"/>
        </w:rPr>
        <w:t xml:space="preserve">, </w:t>
      </w:r>
      <w:r w:rsidRPr="00750A20">
        <w:rPr>
          <w:rFonts w:ascii="Arial" w:hAnsi="Arial" w:cs="Arial"/>
          <w:b/>
          <w:sz w:val="22"/>
          <w:szCs w:val="22"/>
        </w:rPr>
        <w:t>Carlos Duperly</w:t>
      </w:r>
      <w:r w:rsidRPr="00750A20">
        <w:rPr>
          <w:rFonts w:ascii="Arial" w:hAnsi="Arial" w:cs="Arial"/>
          <w:sz w:val="22"/>
          <w:szCs w:val="22"/>
        </w:rPr>
        <w:t xml:space="preserve"> Ext. 133, </w:t>
      </w:r>
      <w:r w:rsidR="00AC42ED" w:rsidRPr="00750A20">
        <w:rPr>
          <w:rFonts w:ascii="Arial" w:hAnsi="Arial" w:cs="Arial"/>
          <w:sz w:val="22"/>
          <w:szCs w:val="22"/>
        </w:rPr>
        <w:t>y reportar por escrito al Comité de Seguridad.</w:t>
      </w:r>
    </w:p>
    <w:p w:rsidR="00AC42ED" w:rsidRPr="00750A20" w:rsidRDefault="00AC42ED" w:rsidP="00750A2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 xml:space="preserve">El Comité de Seguridad evalúa los fundamentos establecidos para efectuar el reporte formal a las autoridades competentes respectivas: UIAF, Ministerio de Hacienda. </w:t>
      </w:r>
    </w:p>
    <w:p w:rsidR="00AC42ED" w:rsidRPr="00750A20" w:rsidRDefault="00AC42ED" w:rsidP="00750A2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>En las 12 horas siguientes si las autoridades no hacen presencia o no se efectúa respuesta, se debe dejar notificación por escrito dirigiéndose a ellas, y guardando evidencia de la sospecha y / o hallazgo.</w:t>
      </w:r>
    </w:p>
    <w:p w:rsidR="00AC42ED" w:rsidRPr="00750A20" w:rsidRDefault="00AC42ED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C42ED" w:rsidRPr="00750A20" w:rsidRDefault="00AC42ED">
      <w:pPr>
        <w:pStyle w:val="Textoindependiente2"/>
        <w:spacing w:line="240" w:lineRule="auto"/>
        <w:rPr>
          <w:b/>
          <w:bCs/>
          <w:sz w:val="22"/>
          <w:szCs w:val="22"/>
        </w:rPr>
      </w:pPr>
      <w:r w:rsidRPr="00750A20">
        <w:rPr>
          <w:b/>
          <w:bCs/>
          <w:sz w:val="22"/>
          <w:szCs w:val="22"/>
        </w:rPr>
        <w:t xml:space="preserve">Contra la seguridad de los bienes y </w:t>
      </w:r>
      <w:r w:rsidR="004B2B05" w:rsidRPr="00750A20">
        <w:rPr>
          <w:b/>
          <w:bCs/>
          <w:sz w:val="22"/>
          <w:szCs w:val="22"/>
        </w:rPr>
        <w:t>del personal:</w:t>
      </w:r>
      <w:r w:rsidRPr="00750A20">
        <w:rPr>
          <w:b/>
          <w:bCs/>
          <w:sz w:val="22"/>
          <w:szCs w:val="22"/>
        </w:rPr>
        <w:t xml:space="preserve"> </w:t>
      </w:r>
    </w:p>
    <w:p w:rsidR="00AC42ED" w:rsidRPr="00750A20" w:rsidRDefault="00AC42ED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AC42ED" w:rsidRPr="00750A20" w:rsidRDefault="008075F8">
      <w:pPr>
        <w:numPr>
          <w:ilvl w:val="0"/>
          <w:numId w:val="10"/>
        </w:numPr>
        <w:tabs>
          <w:tab w:val="left" w:pos="2520"/>
        </w:tabs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 xml:space="preserve">Cualquier </w:t>
      </w:r>
      <w:r w:rsidR="006A096C" w:rsidRPr="00750A20">
        <w:rPr>
          <w:rFonts w:ascii="Arial" w:hAnsi="Arial" w:cs="Arial"/>
          <w:sz w:val="22"/>
          <w:szCs w:val="22"/>
        </w:rPr>
        <w:t>trabajador</w:t>
      </w:r>
      <w:r w:rsidR="00AC42ED" w:rsidRPr="00750A20">
        <w:rPr>
          <w:rFonts w:ascii="Arial" w:hAnsi="Arial" w:cs="Arial"/>
          <w:sz w:val="22"/>
          <w:szCs w:val="22"/>
        </w:rPr>
        <w:t xml:space="preserve"> o contratista que </w:t>
      </w:r>
      <w:r w:rsidR="00AC42ED" w:rsidRPr="00750A20">
        <w:rPr>
          <w:rFonts w:ascii="Arial" w:hAnsi="Arial" w:cs="Arial"/>
          <w:b/>
          <w:sz w:val="22"/>
          <w:szCs w:val="22"/>
        </w:rPr>
        <w:t>detecte o sospeche</w:t>
      </w:r>
      <w:r w:rsidR="00AC42ED" w:rsidRPr="00750A20">
        <w:rPr>
          <w:rFonts w:ascii="Arial" w:hAnsi="Arial" w:cs="Arial"/>
          <w:sz w:val="22"/>
          <w:szCs w:val="22"/>
        </w:rPr>
        <w:t xml:space="preserve"> de una actividad </w:t>
      </w:r>
      <w:r w:rsidRPr="00750A20">
        <w:rPr>
          <w:rFonts w:ascii="Arial" w:hAnsi="Arial" w:cs="Arial"/>
          <w:sz w:val="22"/>
          <w:szCs w:val="22"/>
        </w:rPr>
        <w:t xml:space="preserve">interna o externa que atente contra la seguridad de la operación, los bienes de la </w:t>
      </w:r>
      <w:r w:rsidR="00757913" w:rsidRPr="00750A20">
        <w:rPr>
          <w:rFonts w:ascii="Arial" w:hAnsi="Arial" w:cs="Arial"/>
          <w:sz w:val="22"/>
          <w:szCs w:val="22"/>
        </w:rPr>
        <w:t>compañía</w:t>
      </w:r>
      <w:r w:rsidRPr="00750A20">
        <w:rPr>
          <w:rFonts w:ascii="Arial" w:hAnsi="Arial" w:cs="Arial"/>
          <w:sz w:val="22"/>
          <w:szCs w:val="22"/>
        </w:rPr>
        <w:t xml:space="preserve"> y/o sus instalaciones, la integridad del recurso humano</w:t>
      </w:r>
      <w:r w:rsidR="00534763" w:rsidRPr="00750A20">
        <w:rPr>
          <w:rFonts w:ascii="Arial" w:hAnsi="Arial" w:cs="Arial"/>
          <w:sz w:val="22"/>
          <w:szCs w:val="22"/>
        </w:rPr>
        <w:t xml:space="preserve"> y el buen nombre de la </w:t>
      </w:r>
      <w:r w:rsidR="00757913" w:rsidRPr="00750A20">
        <w:rPr>
          <w:rFonts w:ascii="Arial" w:hAnsi="Arial" w:cs="Arial"/>
          <w:sz w:val="22"/>
          <w:szCs w:val="22"/>
        </w:rPr>
        <w:t>compañía</w:t>
      </w:r>
      <w:r w:rsidR="00534763" w:rsidRPr="00750A20">
        <w:rPr>
          <w:rFonts w:ascii="Arial" w:hAnsi="Arial" w:cs="Arial"/>
          <w:sz w:val="22"/>
          <w:szCs w:val="22"/>
        </w:rPr>
        <w:t xml:space="preserve">, debe reportar inmediatamente a </w:t>
      </w:r>
      <w:smartTag w:uri="urn:schemas-microsoft-com:office:smarttags" w:element="PersonName">
        <w:smartTagPr>
          <w:attr w:name="ProductID" w:val="la Directora Administrativa"/>
        </w:smartTagPr>
        <w:r w:rsidR="00534763" w:rsidRPr="00750A20">
          <w:rPr>
            <w:rFonts w:ascii="Arial" w:hAnsi="Arial" w:cs="Arial"/>
            <w:sz w:val="22"/>
            <w:szCs w:val="22"/>
          </w:rPr>
          <w:t xml:space="preserve">la </w:t>
        </w:r>
        <w:r w:rsidR="00AC42ED" w:rsidRPr="00750A20">
          <w:rPr>
            <w:rFonts w:ascii="Arial" w:hAnsi="Arial" w:cs="Arial"/>
            <w:sz w:val="22"/>
            <w:szCs w:val="22"/>
          </w:rPr>
          <w:t>Director</w:t>
        </w:r>
        <w:r w:rsidR="00DC5CC0" w:rsidRPr="00750A20">
          <w:rPr>
            <w:rFonts w:ascii="Arial" w:hAnsi="Arial" w:cs="Arial"/>
            <w:sz w:val="22"/>
            <w:szCs w:val="22"/>
          </w:rPr>
          <w:t>a</w:t>
        </w:r>
        <w:r w:rsidR="00AC42ED" w:rsidRPr="00750A20">
          <w:rPr>
            <w:rFonts w:ascii="Arial" w:hAnsi="Arial" w:cs="Arial"/>
            <w:sz w:val="22"/>
            <w:szCs w:val="22"/>
          </w:rPr>
          <w:t xml:space="preserve"> Administrativ</w:t>
        </w:r>
        <w:r w:rsidR="00DC5CC0" w:rsidRPr="00750A20">
          <w:rPr>
            <w:rFonts w:ascii="Arial" w:hAnsi="Arial" w:cs="Arial"/>
            <w:sz w:val="22"/>
            <w:szCs w:val="22"/>
          </w:rPr>
          <w:t>a</w:t>
        </w:r>
      </w:smartTag>
      <w:r w:rsidR="004B2B05" w:rsidRPr="00750A20">
        <w:rPr>
          <w:rFonts w:ascii="Arial" w:hAnsi="Arial" w:cs="Arial"/>
          <w:sz w:val="22"/>
          <w:szCs w:val="22"/>
        </w:rPr>
        <w:t xml:space="preserve"> y de Talento Humano</w:t>
      </w:r>
      <w:r w:rsidR="00AC42ED" w:rsidRPr="00750A20">
        <w:rPr>
          <w:rFonts w:ascii="Arial" w:hAnsi="Arial" w:cs="Arial"/>
          <w:sz w:val="22"/>
          <w:szCs w:val="22"/>
        </w:rPr>
        <w:t xml:space="preserve">, </w:t>
      </w:r>
      <w:r w:rsidR="0078422B">
        <w:rPr>
          <w:rFonts w:ascii="Arial" w:hAnsi="Arial" w:cs="Arial"/>
          <w:b/>
          <w:bCs/>
          <w:sz w:val="22"/>
          <w:szCs w:val="22"/>
        </w:rPr>
        <w:t xml:space="preserve">Carina Rodriguez </w:t>
      </w:r>
      <w:r w:rsidR="000F5E74" w:rsidRPr="00750A20">
        <w:rPr>
          <w:rFonts w:ascii="Arial" w:hAnsi="Arial" w:cs="Arial"/>
          <w:sz w:val="22"/>
          <w:szCs w:val="22"/>
        </w:rPr>
        <w:t xml:space="preserve">Ext. </w:t>
      </w:r>
      <w:r w:rsidR="0078422B">
        <w:rPr>
          <w:rFonts w:ascii="Arial" w:hAnsi="Arial" w:cs="Arial"/>
          <w:sz w:val="22"/>
          <w:szCs w:val="22"/>
        </w:rPr>
        <w:t>35</w:t>
      </w:r>
      <w:r w:rsidR="00F01175" w:rsidRPr="00750A20">
        <w:rPr>
          <w:rFonts w:ascii="Arial" w:hAnsi="Arial" w:cs="Arial"/>
          <w:sz w:val="22"/>
          <w:szCs w:val="22"/>
        </w:rPr>
        <w:t>3</w:t>
      </w:r>
      <w:r w:rsidR="00AC42ED" w:rsidRPr="00750A20">
        <w:rPr>
          <w:rFonts w:ascii="Arial" w:hAnsi="Arial" w:cs="Arial"/>
          <w:sz w:val="22"/>
          <w:szCs w:val="22"/>
        </w:rPr>
        <w:t xml:space="preserve"> </w:t>
      </w:r>
      <w:r w:rsidR="000F5E74" w:rsidRPr="00750A20">
        <w:rPr>
          <w:rFonts w:ascii="Arial" w:hAnsi="Arial" w:cs="Arial"/>
          <w:sz w:val="22"/>
          <w:szCs w:val="22"/>
        </w:rPr>
        <w:t>Cel.</w:t>
      </w:r>
      <w:r w:rsidR="00AC42ED" w:rsidRPr="00750A20">
        <w:rPr>
          <w:rFonts w:ascii="Arial" w:hAnsi="Arial" w:cs="Arial"/>
          <w:sz w:val="22"/>
          <w:szCs w:val="22"/>
        </w:rPr>
        <w:t xml:space="preserve"> </w:t>
      </w:r>
      <w:r w:rsidR="00750A20" w:rsidRPr="00750A20">
        <w:rPr>
          <w:rFonts w:ascii="Arial" w:hAnsi="Arial" w:cs="Arial"/>
          <w:sz w:val="22"/>
          <w:szCs w:val="22"/>
        </w:rPr>
        <w:t>31</w:t>
      </w:r>
      <w:r w:rsidR="0078422B">
        <w:rPr>
          <w:rFonts w:ascii="Arial" w:hAnsi="Arial" w:cs="Arial"/>
          <w:sz w:val="22"/>
          <w:szCs w:val="22"/>
        </w:rPr>
        <w:t>2 5576769</w:t>
      </w:r>
    </w:p>
    <w:p w:rsidR="00534763" w:rsidRPr="00750A20" w:rsidRDefault="00DC5CC0" w:rsidP="0053476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smartTag w:uri="urn:schemas-microsoft-com:office:smarttags" w:element="PersonName">
        <w:smartTagPr>
          <w:attr w:name="ProductID" w:val="la Directora Administrativa"/>
        </w:smartTagPr>
        <w:r w:rsidRPr="00750A20">
          <w:rPr>
            <w:rFonts w:ascii="Arial" w:hAnsi="Arial" w:cs="Arial"/>
            <w:sz w:val="22"/>
            <w:szCs w:val="22"/>
          </w:rPr>
          <w:t>La</w:t>
        </w:r>
        <w:r w:rsidR="00AC42ED" w:rsidRPr="00750A20">
          <w:rPr>
            <w:rFonts w:ascii="Arial" w:hAnsi="Arial" w:cs="Arial"/>
            <w:sz w:val="22"/>
            <w:szCs w:val="22"/>
          </w:rPr>
          <w:t xml:space="preserve"> </w:t>
        </w:r>
        <w:r w:rsidR="00534763" w:rsidRPr="00750A20">
          <w:rPr>
            <w:rFonts w:ascii="Arial" w:hAnsi="Arial" w:cs="Arial"/>
            <w:sz w:val="22"/>
            <w:szCs w:val="22"/>
          </w:rPr>
          <w:t>Directora Administrativa</w:t>
        </w:r>
      </w:smartTag>
      <w:r w:rsidR="00534763" w:rsidRPr="00750A20">
        <w:rPr>
          <w:rFonts w:ascii="Arial" w:hAnsi="Arial" w:cs="Arial"/>
          <w:sz w:val="22"/>
          <w:szCs w:val="22"/>
        </w:rPr>
        <w:t xml:space="preserve"> y de Talento Humano</w:t>
      </w:r>
      <w:r w:rsidR="00AC42ED" w:rsidRPr="00750A20">
        <w:rPr>
          <w:rFonts w:ascii="Arial" w:hAnsi="Arial" w:cs="Arial"/>
          <w:sz w:val="22"/>
          <w:szCs w:val="22"/>
        </w:rPr>
        <w:t xml:space="preserve"> </w:t>
      </w:r>
      <w:r w:rsidR="00534763" w:rsidRPr="00750A20">
        <w:rPr>
          <w:rFonts w:ascii="Arial" w:hAnsi="Arial" w:cs="Arial"/>
          <w:sz w:val="22"/>
          <w:szCs w:val="22"/>
        </w:rPr>
        <w:t xml:space="preserve">efectúa un análisis preliminar basado en evidencias para determinar los fundamentos de la sospecha o detección. En caso que el análisis sea positivo, debe reportar inmediatamente al </w:t>
      </w:r>
      <w:r w:rsidR="00534763" w:rsidRPr="00750A20">
        <w:rPr>
          <w:rFonts w:ascii="Arial" w:hAnsi="Arial" w:cs="Arial"/>
          <w:bCs/>
          <w:sz w:val="22"/>
          <w:szCs w:val="22"/>
        </w:rPr>
        <w:t>Presidente</w:t>
      </w:r>
      <w:r w:rsidR="00534763" w:rsidRPr="00750A20">
        <w:rPr>
          <w:rFonts w:ascii="Arial" w:hAnsi="Arial" w:cs="Arial"/>
          <w:sz w:val="22"/>
          <w:szCs w:val="22"/>
        </w:rPr>
        <w:t xml:space="preserve">, </w:t>
      </w:r>
      <w:r w:rsidR="00534763" w:rsidRPr="00750A20">
        <w:rPr>
          <w:rFonts w:ascii="Arial" w:hAnsi="Arial" w:cs="Arial"/>
          <w:b/>
          <w:sz w:val="22"/>
          <w:szCs w:val="22"/>
        </w:rPr>
        <w:t>Carlos Duperly</w:t>
      </w:r>
      <w:r w:rsidR="00534763" w:rsidRPr="00750A20">
        <w:rPr>
          <w:rFonts w:ascii="Arial" w:hAnsi="Arial" w:cs="Arial"/>
          <w:sz w:val="22"/>
          <w:szCs w:val="22"/>
        </w:rPr>
        <w:t xml:space="preserve"> Ext. 133, y reportar por escrito al Comité de Seguridad.</w:t>
      </w:r>
    </w:p>
    <w:p w:rsidR="00534763" w:rsidRPr="00750A20" w:rsidRDefault="00AC42ED" w:rsidP="0053476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>El Comité de Seguridad evalúa los fundamentos establecidos frente al Reglamento interno de trabajo y las políticas establecidas para decisiones de tipo administrativo y/o para efectuar el reporte formal a las autoridades competentes respectivas.</w:t>
      </w:r>
    </w:p>
    <w:p w:rsidR="00534763" w:rsidRPr="00750A20" w:rsidRDefault="00AC42ED" w:rsidP="0053476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>Dado caso en que deba efectuarse reporte a las autoridades competentes se esperará y hará seguimiento a la presencia y/o respuesta de las autoridades competentes.</w:t>
      </w:r>
    </w:p>
    <w:p w:rsidR="00534763" w:rsidRPr="00750A20" w:rsidRDefault="00AC42ED" w:rsidP="0053476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 xml:space="preserve">En el evento en que el hallazgo lo realicen las autoridades competentes en puertos y/o aeropuertos, el </w:t>
      </w:r>
      <w:r w:rsidR="006A096C" w:rsidRPr="00750A20">
        <w:rPr>
          <w:rFonts w:ascii="Arial" w:hAnsi="Arial" w:cs="Arial"/>
          <w:sz w:val="22"/>
          <w:szCs w:val="22"/>
        </w:rPr>
        <w:t>trabajador</w:t>
      </w:r>
      <w:r w:rsidRPr="00750A20">
        <w:rPr>
          <w:rFonts w:ascii="Arial" w:hAnsi="Arial" w:cs="Arial"/>
          <w:sz w:val="22"/>
          <w:szCs w:val="22"/>
        </w:rPr>
        <w:t xml:space="preserve"> o contratista responsable del respectivo cargamento, deberá solicitar permiso a las autoridades, para notificar lo ocurrido al Gerente de </w:t>
      </w:r>
      <w:r w:rsidR="00534763" w:rsidRPr="00750A20">
        <w:rPr>
          <w:rFonts w:ascii="Arial" w:hAnsi="Arial" w:cs="Arial"/>
          <w:sz w:val="22"/>
          <w:szCs w:val="22"/>
        </w:rPr>
        <w:t xml:space="preserve">Operaciones </w:t>
      </w:r>
      <w:r w:rsidRPr="00750A20">
        <w:rPr>
          <w:rFonts w:ascii="Arial" w:hAnsi="Arial" w:cs="Arial"/>
          <w:sz w:val="22"/>
          <w:szCs w:val="22"/>
        </w:rPr>
        <w:t>nacionales quien a su vez informará al Comité de Seguridad (</w:t>
      </w:r>
      <w:r w:rsidR="00534763" w:rsidRPr="00750A20">
        <w:rPr>
          <w:rFonts w:ascii="Arial" w:hAnsi="Arial" w:cs="Arial"/>
          <w:sz w:val="22"/>
          <w:szCs w:val="22"/>
        </w:rPr>
        <w:t>Presidente,</w:t>
      </w:r>
      <w:r w:rsidRPr="00750A20">
        <w:rPr>
          <w:rFonts w:ascii="Arial" w:hAnsi="Arial" w:cs="Arial"/>
          <w:sz w:val="22"/>
          <w:szCs w:val="22"/>
        </w:rPr>
        <w:t xml:space="preserve"> Asesor</w:t>
      </w:r>
      <w:r w:rsidR="00534763" w:rsidRPr="00750A20">
        <w:rPr>
          <w:rFonts w:ascii="Arial" w:hAnsi="Arial" w:cs="Arial"/>
          <w:sz w:val="22"/>
          <w:szCs w:val="22"/>
        </w:rPr>
        <w:t>a</w:t>
      </w:r>
      <w:r w:rsidRPr="00750A20">
        <w:rPr>
          <w:rFonts w:ascii="Arial" w:hAnsi="Arial" w:cs="Arial"/>
          <w:sz w:val="22"/>
          <w:szCs w:val="22"/>
        </w:rPr>
        <w:t xml:space="preserve"> Jurídic</w:t>
      </w:r>
      <w:r w:rsidR="00534763" w:rsidRPr="00750A20">
        <w:rPr>
          <w:rFonts w:ascii="Arial" w:hAnsi="Arial" w:cs="Arial"/>
          <w:sz w:val="22"/>
          <w:szCs w:val="22"/>
        </w:rPr>
        <w:t>a y Director de Sistemas de Gestión</w:t>
      </w:r>
      <w:r w:rsidRPr="00750A20">
        <w:rPr>
          <w:rFonts w:ascii="Arial" w:hAnsi="Arial" w:cs="Arial"/>
          <w:sz w:val="22"/>
          <w:szCs w:val="22"/>
        </w:rPr>
        <w:t xml:space="preserve">) para reportar los hechos por escrito, y recibir instrucciones sobre la mejor forma de proceder. Adicionalmente, el Gerente de </w:t>
      </w:r>
      <w:r w:rsidR="00757913" w:rsidRPr="00750A20">
        <w:rPr>
          <w:rFonts w:ascii="Arial" w:hAnsi="Arial" w:cs="Arial"/>
          <w:sz w:val="22"/>
          <w:szCs w:val="22"/>
        </w:rPr>
        <w:t xml:space="preserve">Operaciones </w:t>
      </w:r>
      <w:r w:rsidRPr="00750A20">
        <w:rPr>
          <w:rFonts w:ascii="Arial" w:hAnsi="Arial" w:cs="Arial"/>
          <w:sz w:val="22"/>
          <w:szCs w:val="22"/>
        </w:rPr>
        <w:t>debe notificar inmediatamente al cliente exportador o importador, según sea el caso, de lo ocurrido y solicitar su presencia inmediata en el lugar de los hechos.</w:t>
      </w:r>
    </w:p>
    <w:p w:rsidR="00534763" w:rsidRPr="00750A20" w:rsidRDefault="00AC42ED" w:rsidP="0053476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b/>
          <w:sz w:val="22"/>
          <w:szCs w:val="22"/>
        </w:rPr>
        <w:t xml:space="preserve">Si algún </w:t>
      </w:r>
      <w:r w:rsidR="006A096C" w:rsidRPr="00750A20">
        <w:rPr>
          <w:rFonts w:ascii="Arial" w:hAnsi="Arial" w:cs="Arial"/>
          <w:b/>
          <w:sz w:val="22"/>
          <w:szCs w:val="22"/>
        </w:rPr>
        <w:t>trabajador</w:t>
      </w:r>
      <w:r w:rsidRPr="00750A20">
        <w:rPr>
          <w:rFonts w:ascii="Arial" w:hAnsi="Arial" w:cs="Arial"/>
          <w:b/>
          <w:sz w:val="22"/>
          <w:szCs w:val="22"/>
        </w:rPr>
        <w:t xml:space="preserve"> o contratista de </w:t>
      </w:r>
      <w:r w:rsidR="00DB7623">
        <w:rPr>
          <w:rFonts w:ascii="Arial" w:hAnsi="Arial" w:cs="Arial"/>
          <w:b/>
          <w:sz w:val="22"/>
          <w:szCs w:val="22"/>
        </w:rPr>
        <w:t>Transborder S.A.S.</w:t>
      </w:r>
      <w:r w:rsidRPr="00750A20">
        <w:rPr>
          <w:rFonts w:ascii="Arial" w:hAnsi="Arial" w:cs="Arial"/>
          <w:b/>
          <w:sz w:val="22"/>
          <w:szCs w:val="22"/>
        </w:rPr>
        <w:t xml:space="preserve"> es detenido en razón al hallazgo</w:t>
      </w:r>
      <w:r w:rsidRPr="00750A20">
        <w:rPr>
          <w:rFonts w:ascii="Arial" w:hAnsi="Arial" w:cs="Arial"/>
          <w:sz w:val="22"/>
          <w:szCs w:val="22"/>
        </w:rPr>
        <w:t xml:space="preserve"> de sustancias ilícitas, contrabando de mercancías, mecanismos para el terrorismo y lavado de activos en operaciones manejadas por la compañía, </w:t>
      </w:r>
    </w:p>
    <w:p w:rsidR="00534763" w:rsidRPr="00750A20" w:rsidRDefault="00534763" w:rsidP="00750A20">
      <w:pPr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lastRenderedPageBreak/>
        <w:t xml:space="preserve">No deberá hacer declaraciones ni someterse a interrogatorios, sin antes tener un apoderado (Asesor Jurídico)que será designado por </w:t>
      </w:r>
      <w:r w:rsidR="00DB7623">
        <w:rPr>
          <w:rFonts w:ascii="Arial" w:hAnsi="Arial" w:cs="Arial"/>
          <w:sz w:val="22"/>
          <w:szCs w:val="22"/>
        </w:rPr>
        <w:t>Transborder S.A.S.</w:t>
      </w:r>
      <w:r w:rsidRPr="00750A20">
        <w:rPr>
          <w:rFonts w:ascii="Arial" w:hAnsi="Arial" w:cs="Arial"/>
          <w:sz w:val="22"/>
          <w:szCs w:val="22"/>
        </w:rPr>
        <w:t xml:space="preserve"> en el lugar de la detención para la defensa del involucrado.</w:t>
      </w:r>
    </w:p>
    <w:p w:rsidR="00534763" w:rsidRPr="00750A20" w:rsidRDefault="00534763" w:rsidP="00750A20">
      <w:pPr>
        <w:numPr>
          <w:ilvl w:val="1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 xml:space="preserve">Comunicarse inmediatamente con el Gerente de operaciones nacionales de inmediato para dar el tratamiento del caso tal como se explica en la sección </w:t>
      </w:r>
      <w:r w:rsidRPr="00750A20">
        <w:rPr>
          <w:rFonts w:ascii="Arial" w:hAnsi="Arial" w:cs="Arial"/>
          <w:sz w:val="22"/>
          <w:szCs w:val="22"/>
          <w:lang w:val="es-MX"/>
        </w:rPr>
        <w:t>seguridad de la operación: carga y documentación.</w:t>
      </w:r>
    </w:p>
    <w:p w:rsidR="00534763" w:rsidRPr="00750A20" w:rsidRDefault="00534763" w:rsidP="00534763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50A20">
        <w:rPr>
          <w:rFonts w:ascii="Arial" w:hAnsi="Arial" w:cs="Arial"/>
          <w:sz w:val="22"/>
          <w:szCs w:val="22"/>
        </w:rPr>
        <w:t xml:space="preserve">Cualquier trabajador de </w:t>
      </w:r>
      <w:r w:rsidR="00DB7623">
        <w:rPr>
          <w:rFonts w:ascii="Arial" w:hAnsi="Arial" w:cs="Arial"/>
          <w:sz w:val="22"/>
          <w:szCs w:val="22"/>
        </w:rPr>
        <w:t>Transborder S.A.S.</w:t>
      </w:r>
      <w:r w:rsidRPr="00750A20">
        <w:rPr>
          <w:rFonts w:ascii="Arial" w:hAnsi="Arial" w:cs="Arial"/>
          <w:sz w:val="22"/>
          <w:szCs w:val="22"/>
        </w:rPr>
        <w:t xml:space="preserve"> que se preste para realizar operaciones de comercio exterior con sustancias ilícitas, contrabando de mercancías, mecanismos para el terrorismo y lavado de activos, será sancionado de acuerdo con la política interna de Faltas y Sanciones.</w:t>
      </w:r>
    </w:p>
    <w:p w:rsidR="00534763" w:rsidRPr="00750A20" w:rsidRDefault="00534763" w:rsidP="00534763">
      <w:pPr>
        <w:jc w:val="both"/>
        <w:rPr>
          <w:rFonts w:ascii="Arial" w:hAnsi="Arial" w:cs="Arial"/>
          <w:sz w:val="22"/>
          <w:szCs w:val="22"/>
        </w:rPr>
      </w:pPr>
    </w:p>
    <w:p w:rsidR="00534763" w:rsidRPr="00750A20" w:rsidRDefault="00534763" w:rsidP="00534763">
      <w:pPr>
        <w:jc w:val="both"/>
        <w:rPr>
          <w:rFonts w:ascii="Arial" w:hAnsi="Arial" w:cs="Arial"/>
          <w:sz w:val="22"/>
          <w:szCs w:val="22"/>
        </w:rPr>
      </w:pPr>
    </w:p>
    <w:p w:rsidR="00AC42ED" w:rsidRPr="00750A20" w:rsidRDefault="00AC42ED" w:rsidP="00763DAD">
      <w:pPr>
        <w:pStyle w:val="Sangra2detindependiente"/>
        <w:ind w:left="0"/>
        <w:jc w:val="center"/>
        <w:rPr>
          <w:b/>
          <w:bCs/>
          <w:sz w:val="22"/>
          <w:szCs w:val="22"/>
        </w:rPr>
      </w:pPr>
      <w:r w:rsidRPr="00750A20">
        <w:rPr>
          <w:sz w:val="22"/>
          <w:szCs w:val="22"/>
        </w:rPr>
        <w:br w:type="page"/>
      </w:r>
      <w:r w:rsidRPr="00750A20">
        <w:rPr>
          <w:b/>
          <w:bCs/>
          <w:sz w:val="22"/>
          <w:szCs w:val="22"/>
        </w:rPr>
        <w:lastRenderedPageBreak/>
        <w:t>SUSTANCIAS QUIMICAS CONTROLADAS (</w:t>
      </w:r>
      <w:r w:rsidRPr="00750A20">
        <w:rPr>
          <w:b/>
          <w:bCs/>
          <w:caps/>
          <w:sz w:val="22"/>
          <w:szCs w:val="22"/>
        </w:rPr>
        <w:t>Policía Nacional de Colombia)</w:t>
      </w:r>
    </w:p>
    <w:p w:rsidR="00AC42ED" w:rsidRPr="00750A20" w:rsidRDefault="00AC42ED" w:rsidP="00763DAD">
      <w:pPr>
        <w:pStyle w:val="Textosinformato"/>
        <w:jc w:val="center"/>
        <w:rPr>
          <w:rFonts w:ascii="Arial" w:hAnsi="Arial"/>
          <w:sz w:val="22"/>
          <w:szCs w:val="22"/>
        </w:rPr>
      </w:pPr>
    </w:p>
    <w:p w:rsidR="00AC42ED" w:rsidRPr="00750A20" w:rsidRDefault="00AC42ED">
      <w:pPr>
        <w:pStyle w:val="Textosinformato"/>
        <w:jc w:val="both"/>
        <w:rPr>
          <w:rFonts w:ascii="Arial" w:hAnsi="Arial"/>
          <w:sz w:val="22"/>
          <w:szCs w:val="22"/>
        </w:rPr>
      </w:pPr>
      <w:r w:rsidRPr="00750A20">
        <w:rPr>
          <w:rFonts w:ascii="Arial" w:hAnsi="Arial"/>
          <w:sz w:val="22"/>
          <w:szCs w:val="22"/>
        </w:rPr>
        <w:t xml:space="preserve">Para contrarrestar de alguna forma la producción de drogas estupefacientes, el Gobierno Nacional a través de </w:t>
      </w:r>
      <w:smartTag w:uri="urn:schemas-microsoft-com:office:smarttags" w:element="PersonName">
        <w:smartTagPr>
          <w:attr w:name="ProductID" w:val="la Direcci￳n Nacional"/>
        </w:smartTagPr>
        <w:r w:rsidRPr="00750A20">
          <w:rPr>
            <w:rFonts w:ascii="Arial" w:hAnsi="Arial"/>
            <w:sz w:val="22"/>
            <w:szCs w:val="22"/>
          </w:rPr>
          <w:t>la Dirección Nacional</w:t>
        </w:r>
      </w:smartTag>
      <w:r w:rsidRPr="00750A20">
        <w:rPr>
          <w:rFonts w:ascii="Arial" w:hAnsi="Arial"/>
          <w:sz w:val="22"/>
          <w:szCs w:val="22"/>
        </w:rPr>
        <w:t xml:space="preserve"> de Estupefacientes,  ha impuesto un control de tipo administrativo sobre las sustancias que son utilizadas con mayor frecuencia en la producción de narcóticos, estableciendo unos topes mínimos y máximos para la comercialización libre de estas sustancias, entre ellas encontramos:</w:t>
      </w:r>
    </w:p>
    <w:tbl>
      <w:tblPr>
        <w:tblW w:w="9793" w:type="dxa"/>
        <w:tblInd w:w="-345" w:type="dxa"/>
        <w:tblCellMar>
          <w:left w:w="0" w:type="dxa"/>
          <w:right w:w="0" w:type="dxa"/>
        </w:tblCellMar>
        <w:tblLook w:val="0000"/>
      </w:tblPr>
      <w:tblGrid>
        <w:gridCol w:w="320"/>
        <w:gridCol w:w="9473"/>
      </w:tblGrid>
      <w:tr w:rsidR="00AC42ED" w:rsidRPr="00750A20" w:rsidTr="00750A20">
        <w:trPr>
          <w:trHeight w:val="255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  <w:r w:rsidRPr="00750A20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</w:tc>
        <w:tc>
          <w:tcPr>
            <w:tcW w:w="9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  <w:lang w:val="en-GB"/>
              </w:rPr>
            </w:pPr>
            <w:r w:rsidRPr="00750A20">
              <w:rPr>
                <w:rFonts w:ascii="Arial" w:hAnsi="Arial" w:cs="Arial"/>
                <w:sz w:val="22"/>
                <w:szCs w:val="22"/>
                <w:lang w:val="en-GB"/>
              </w:rPr>
              <w:t>A.C.P.M.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Acetato de butilo.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Acetato de etilo.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Acetona (2-propanona; dimetil-cetona).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Acido Clorhídrico.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Ácido Sulfúrico.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Alcohol butílico (1-butanol; butil alcohol; propil carbinol).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Alcohol Isopropílico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Amoníaco (amonio hidróxido).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750A20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Anhídrido</w:t>
            </w:r>
            <w:r w:rsidR="00AC42ED" w:rsidRPr="00750A20">
              <w:rPr>
                <w:rFonts w:ascii="Arial" w:hAnsi="Arial" w:cs="Arial"/>
                <w:sz w:val="22"/>
                <w:szCs w:val="22"/>
              </w:rPr>
              <w:t xml:space="preserve"> acético.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Carbonatos de Sodio.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Cemento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Cloroformo (</w:t>
            </w:r>
            <w:r w:rsidRPr="00750A20">
              <w:rPr>
                <w:rFonts w:ascii="Arial" w:hAnsi="Arial" w:cs="Arial"/>
                <w:sz w:val="22"/>
                <w:szCs w:val="22"/>
                <w:lang w:val="es-CO"/>
              </w:rPr>
              <w:t>triclorometano</w:t>
            </w:r>
            <w:r w:rsidRPr="00750A20"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AC42ED" w:rsidRPr="00750A20" w:rsidTr="00750A20">
        <w:trPr>
          <w:trHeight w:val="26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Cocaína o cualquier otra droga que produzca dependencia física o mental.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Diacetona alcohol (pyranton).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Disolvente 1</w:t>
            </w:r>
            <w:r w:rsidR="008F774A" w:rsidRPr="00750A20">
              <w:rPr>
                <w:rFonts w:ascii="Arial" w:hAnsi="Arial" w:cs="Arial"/>
                <w:sz w:val="22"/>
                <w:szCs w:val="22"/>
              </w:rPr>
              <w:t>ª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Disolvente alifático No. 1 (shellsol 1)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Disolvente alifático No. 2 (shellsol 2).</w:t>
            </w:r>
          </w:p>
        </w:tc>
      </w:tr>
      <w:tr w:rsidR="00AC42ED" w:rsidRPr="00750A20" w:rsidTr="00750A20">
        <w:trPr>
          <w:trHeight w:val="1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Escopolamina o cualquier otra droga que ponga en situación de indefensión a quien la consume.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750A20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Éter</w:t>
            </w:r>
            <w:r w:rsidR="00AC42ED" w:rsidRPr="00750A20">
              <w:rPr>
                <w:rFonts w:ascii="Arial" w:hAnsi="Arial" w:cs="Arial"/>
                <w:sz w:val="22"/>
                <w:szCs w:val="22"/>
              </w:rPr>
              <w:t xml:space="preserve"> etílico (éter sulfúrico, óxido de etilo, dietílico).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Gasolina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Hexano.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Metanol o alcohol metílico.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Metil etil cetona.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Metil Isobutil Cetona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Permanganato de potasio.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Querosene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Thinner.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 xml:space="preserve">Tolueno (también conocido como toluol o como metil benceno) </w:t>
            </w:r>
          </w:p>
        </w:tc>
      </w:tr>
      <w:tr w:rsidR="00AC42ED" w:rsidRPr="00750A20" w:rsidTr="00750A20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42ED" w:rsidRPr="00750A20" w:rsidRDefault="00AC42ED">
            <w:pPr>
              <w:jc w:val="both"/>
              <w:rPr>
                <w:rFonts w:ascii="Arial" w:eastAsia="Arial Unicode MS" w:hAnsi="Arial" w:cs="Arial"/>
                <w:sz w:val="22"/>
                <w:szCs w:val="22"/>
              </w:rPr>
            </w:pPr>
            <w:r w:rsidRPr="00750A20">
              <w:rPr>
                <w:rFonts w:ascii="Arial" w:hAnsi="Arial" w:cs="Arial"/>
                <w:sz w:val="22"/>
                <w:szCs w:val="22"/>
              </w:rPr>
              <w:t>Urea</w:t>
            </w:r>
          </w:p>
        </w:tc>
      </w:tr>
    </w:tbl>
    <w:p w:rsidR="00AC42ED" w:rsidRPr="00750A20" w:rsidRDefault="00AC42ED">
      <w:pPr>
        <w:jc w:val="both"/>
        <w:rPr>
          <w:rFonts w:ascii="Arial" w:hAnsi="Arial" w:cs="Arial"/>
          <w:sz w:val="22"/>
          <w:szCs w:val="22"/>
        </w:rPr>
      </w:pPr>
    </w:p>
    <w:p w:rsidR="0056067F" w:rsidRDefault="0056067F" w:rsidP="0056067F">
      <w:pPr>
        <w:jc w:val="both"/>
        <w:rPr>
          <w:rFonts w:ascii="Arial" w:hAnsi="Arial"/>
          <w:sz w:val="22"/>
          <w:szCs w:val="22"/>
        </w:rPr>
      </w:pPr>
      <w:r w:rsidRPr="00750A20">
        <w:rPr>
          <w:rFonts w:ascii="Arial" w:hAnsi="Arial"/>
          <w:sz w:val="22"/>
          <w:szCs w:val="22"/>
        </w:rPr>
        <w:t xml:space="preserve">Las sustancias listadas se controlan en cantidades mensuales superiores a </w:t>
      </w:r>
      <w:smartTag w:uri="urn:schemas-microsoft-com:office:smarttags" w:element="metricconverter">
        <w:smartTagPr>
          <w:attr w:name="ProductID" w:val="5 litros"/>
        </w:smartTagPr>
        <w:r w:rsidRPr="00750A20">
          <w:rPr>
            <w:rFonts w:ascii="Arial" w:hAnsi="Arial"/>
            <w:sz w:val="22"/>
            <w:szCs w:val="22"/>
          </w:rPr>
          <w:t>5 litros</w:t>
        </w:r>
      </w:smartTag>
      <w:r w:rsidRPr="00750A20">
        <w:rPr>
          <w:rFonts w:ascii="Arial" w:hAnsi="Arial"/>
          <w:sz w:val="22"/>
          <w:szCs w:val="22"/>
        </w:rPr>
        <w:t xml:space="preserve"> para líquidos, 5 kilos para sólidos, </w:t>
      </w:r>
      <w:smartTag w:uri="urn:schemas-microsoft-com:office:smarttags" w:element="metricconverter">
        <w:smartTagPr>
          <w:attr w:name="ProductID" w:val="110 Galones"/>
        </w:smartTagPr>
        <w:r w:rsidRPr="00750A20">
          <w:rPr>
            <w:rFonts w:ascii="Arial" w:hAnsi="Arial"/>
            <w:sz w:val="22"/>
            <w:szCs w:val="22"/>
          </w:rPr>
          <w:t>110 Galones</w:t>
        </w:r>
      </w:smartTag>
      <w:r w:rsidRPr="00750A20">
        <w:rPr>
          <w:rFonts w:ascii="Arial" w:hAnsi="Arial"/>
          <w:sz w:val="22"/>
          <w:szCs w:val="22"/>
        </w:rPr>
        <w:t xml:space="preserve"> para el Thinner y en cualquier cantidad para el Anhídrido Acético.</w:t>
      </w:r>
    </w:p>
    <w:p w:rsidR="00750A20" w:rsidRPr="00750A20" w:rsidRDefault="00750A20" w:rsidP="0056067F">
      <w:pPr>
        <w:jc w:val="both"/>
        <w:rPr>
          <w:rFonts w:ascii="Arial" w:hAnsi="Arial"/>
          <w:sz w:val="22"/>
          <w:szCs w:val="22"/>
        </w:rPr>
      </w:pPr>
    </w:p>
    <w:p w:rsidR="00AC42ED" w:rsidRPr="00750A20" w:rsidRDefault="0056067F">
      <w:pPr>
        <w:pStyle w:val="Textosinformato"/>
        <w:jc w:val="both"/>
        <w:rPr>
          <w:rFonts w:ascii="Arial" w:hAnsi="Arial"/>
          <w:sz w:val="22"/>
          <w:szCs w:val="22"/>
        </w:rPr>
      </w:pPr>
      <w:r w:rsidRPr="00750A20">
        <w:rPr>
          <w:rFonts w:ascii="Arial" w:hAnsi="Arial"/>
          <w:b/>
          <w:sz w:val="22"/>
          <w:szCs w:val="22"/>
        </w:rPr>
        <w:t>NOTA:</w:t>
      </w:r>
      <w:r w:rsidR="00AC42ED" w:rsidRPr="00750A20">
        <w:rPr>
          <w:rFonts w:ascii="Arial" w:hAnsi="Arial"/>
          <w:sz w:val="22"/>
          <w:szCs w:val="22"/>
        </w:rPr>
        <w:t xml:space="preserve"> </w:t>
      </w:r>
      <w:r w:rsidRPr="00750A20">
        <w:rPr>
          <w:rFonts w:ascii="Arial" w:hAnsi="Arial"/>
          <w:sz w:val="22"/>
          <w:szCs w:val="22"/>
        </w:rPr>
        <w:t>E</w:t>
      </w:r>
      <w:r w:rsidR="00AC42ED" w:rsidRPr="00750A20">
        <w:rPr>
          <w:rFonts w:ascii="Arial" w:hAnsi="Arial"/>
          <w:sz w:val="22"/>
          <w:szCs w:val="22"/>
        </w:rPr>
        <w:t>stas sustancias son igualmente utilizad</w:t>
      </w:r>
      <w:r w:rsidRPr="00750A20">
        <w:rPr>
          <w:rFonts w:ascii="Arial" w:hAnsi="Arial"/>
          <w:sz w:val="22"/>
          <w:szCs w:val="22"/>
        </w:rPr>
        <w:t>a</w:t>
      </w:r>
      <w:r w:rsidR="00AC42ED" w:rsidRPr="00750A20">
        <w:rPr>
          <w:rFonts w:ascii="Arial" w:hAnsi="Arial"/>
          <w:sz w:val="22"/>
          <w:szCs w:val="22"/>
        </w:rPr>
        <w:t>s en procesos industriales</w:t>
      </w:r>
      <w:r w:rsidRPr="00750A20">
        <w:rPr>
          <w:rFonts w:ascii="Arial" w:hAnsi="Arial"/>
          <w:sz w:val="22"/>
          <w:szCs w:val="22"/>
        </w:rPr>
        <w:t xml:space="preserve"> lícitos</w:t>
      </w:r>
      <w:r w:rsidR="00AC42ED" w:rsidRPr="00750A20">
        <w:rPr>
          <w:rFonts w:ascii="Arial" w:hAnsi="Arial"/>
          <w:sz w:val="22"/>
          <w:szCs w:val="22"/>
        </w:rPr>
        <w:t xml:space="preserve"> </w:t>
      </w:r>
      <w:r w:rsidRPr="00750A20">
        <w:rPr>
          <w:rFonts w:ascii="Arial" w:hAnsi="Arial"/>
          <w:sz w:val="22"/>
          <w:szCs w:val="22"/>
        </w:rPr>
        <w:t xml:space="preserve">tales como </w:t>
      </w:r>
      <w:r w:rsidR="00AC42ED" w:rsidRPr="00750A20">
        <w:rPr>
          <w:rFonts w:ascii="Arial" w:hAnsi="Arial"/>
          <w:sz w:val="22"/>
          <w:szCs w:val="22"/>
        </w:rPr>
        <w:t>la producción de jabones, medicamentos, curtiembres, e</w:t>
      </w:r>
      <w:r w:rsidRPr="00750A20">
        <w:rPr>
          <w:rFonts w:ascii="Arial" w:hAnsi="Arial"/>
          <w:sz w:val="22"/>
          <w:szCs w:val="22"/>
        </w:rPr>
        <w:t>ntre otros</w:t>
      </w:r>
      <w:r w:rsidR="00AC42ED" w:rsidRPr="00750A20">
        <w:rPr>
          <w:rFonts w:ascii="Arial" w:hAnsi="Arial"/>
          <w:sz w:val="22"/>
          <w:szCs w:val="22"/>
        </w:rPr>
        <w:t xml:space="preserve">. </w:t>
      </w:r>
      <w:r w:rsidR="00D46AC3" w:rsidRPr="00750A20">
        <w:rPr>
          <w:rFonts w:ascii="Arial" w:hAnsi="Arial"/>
          <w:sz w:val="22"/>
          <w:szCs w:val="22"/>
        </w:rPr>
        <w:t xml:space="preserve">No obstante personas inescrupulosas utilizan el buen nombre de las empresas para desviar o contrabandear estas sustancias hacia el narcotráfico. </w:t>
      </w:r>
    </w:p>
    <w:p w:rsidR="00AC42ED" w:rsidRPr="00750A20" w:rsidRDefault="00AC42ED">
      <w:pPr>
        <w:jc w:val="both"/>
        <w:rPr>
          <w:rFonts w:ascii="Arial" w:hAnsi="Arial"/>
          <w:sz w:val="22"/>
          <w:szCs w:val="22"/>
        </w:rPr>
        <w:sectPr w:rsidR="00AC42ED" w:rsidRPr="00750A20" w:rsidSect="00763DAD">
          <w:headerReference w:type="default" r:id="rId7"/>
          <w:pgSz w:w="12242" w:h="15842" w:code="119"/>
          <w:pgMar w:top="1411" w:right="1699" w:bottom="1260" w:left="1699" w:header="706" w:footer="706" w:gutter="0"/>
          <w:cols w:space="708"/>
          <w:docGrid w:linePitch="360"/>
        </w:sectPr>
      </w:pPr>
    </w:p>
    <w:p w:rsidR="00AC42ED" w:rsidRPr="00750A20" w:rsidRDefault="0078422B" w:rsidP="00757913">
      <w:pPr>
        <w:jc w:val="center"/>
        <w:rPr>
          <w:sz w:val="22"/>
          <w:szCs w:val="22"/>
        </w:rPr>
      </w:pPr>
      <w:r>
        <w:object w:dxaOrig="14443" w:dyaOrig="100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4.5pt;height:408pt" o:ole="">
            <v:imagedata r:id="rId8" o:title=""/>
          </v:shape>
          <o:OLEObject Type="Embed" ProgID="Visio.Drawing.11" ShapeID="_x0000_i1025" DrawAspect="Content" ObjectID="_1403369111" r:id="rId9"/>
        </w:object>
      </w:r>
    </w:p>
    <w:sectPr w:rsidR="00AC42ED" w:rsidRPr="00750A20">
      <w:pgSz w:w="15842" w:h="12242" w:orient="landscape" w:code="119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66C" w:rsidRDefault="000F366C">
      <w:r>
        <w:separator/>
      </w:r>
    </w:p>
  </w:endnote>
  <w:endnote w:type="continuationSeparator" w:id="1">
    <w:p w:rsidR="000F366C" w:rsidRDefault="000F36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66C" w:rsidRDefault="000F366C">
      <w:r>
        <w:separator/>
      </w:r>
    </w:p>
  </w:footnote>
  <w:footnote w:type="continuationSeparator" w:id="1">
    <w:p w:rsidR="000F366C" w:rsidRDefault="000F36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1" w:type="dxa"/>
      <w:jc w:val="center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70" w:type="dxa"/>
        <w:right w:w="70" w:type="dxa"/>
      </w:tblCellMar>
      <w:tblLook w:val="00BF"/>
    </w:tblPr>
    <w:tblGrid>
      <w:gridCol w:w="3047"/>
      <w:gridCol w:w="3119"/>
      <w:gridCol w:w="2835"/>
    </w:tblGrid>
    <w:tr w:rsidR="00597B7D">
      <w:tblPrEx>
        <w:tblCellMar>
          <w:top w:w="0" w:type="dxa"/>
          <w:bottom w:w="0" w:type="dxa"/>
        </w:tblCellMar>
      </w:tblPrEx>
      <w:trPr>
        <w:trHeight w:val="20"/>
        <w:jc w:val="center"/>
      </w:trPr>
      <w:tc>
        <w:tcPr>
          <w:tcW w:w="3047" w:type="dxa"/>
          <w:vAlign w:val="center"/>
        </w:tcPr>
        <w:p w:rsidR="00597B7D" w:rsidRDefault="000624DD">
          <w:pPr>
            <w:rPr>
              <w:b/>
              <w:smallCaps/>
              <w:sz w:val="18"/>
            </w:rPr>
          </w:pPr>
          <w:r>
            <w:rPr>
              <w:b/>
              <w:smallCaps/>
              <w:noProof/>
              <w:sz w:val="18"/>
            </w:rPr>
            <w:drawing>
              <wp:inline distT="0" distB="0" distL="0" distR="0">
                <wp:extent cx="1857375" cy="247650"/>
                <wp:effectExtent l="19050" t="0" r="9525" b="0"/>
                <wp:docPr id="4" name="Imagen 1" descr="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</w:tcPr>
        <w:p w:rsidR="00597B7D" w:rsidRDefault="00597B7D">
          <w:pPr>
            <w:pStyle w:val="Ttulo5"/>
            <w:jc w:val="left"/>
            <w:rPr>
              <w:rFonts w:cs="Arial"/>
              <w:b w:val="0"/>
              <w:sz w:val="20"/>
            </w:rPr>
          </w:pPr>
        </w:p>
        <w:p w:rsidR="00597B7D" w:rsidRDefault="00597B7D">
          <w:pPr>
            <w:pStyle w:val="Ttulo5"/>
            <w:rPr>
              <w:rFonts w:cs="Arial"/>
              <w:sz w:val="20"/>
              <w:szCs w:val="18"/>
            </w:rPr>
          </w:pPr>
          <w:r>
            <w:rPr>
              <w:rFonts w:cs="Arial"/>
              <w:sz w:val="20"/>
              <w:szCs w:val="18"/>
            </w:rPr>
            <w:t>POLITICA REGLAMENTARIA</w:t>
          </w:r>
        </w:p>
      </w:tc>
      <w:tc>
        <w:tcPr>
          <w:tcW w:w="2835" w:type="dxa"/>
        </w:tcPr>
        <w:p w:rsidR="00597B7D" w:rsidRDefault="00597B7D">
          <w:pPr>
            <w:pStyle w:val="Textoindependiente2"/>
          </w:pPr>
          <w:r>
            <w:t>CODIGO Y No.:</w:t>
          </w:r>
        </w:p>
        <w:p w:rsidR="00597B7D" w:rsidRDefault="00597B7D" w:rsidP="008A2182">
          <w:pPr>
            <w:pStyle w:val="Ttulo5"/>
            <w:jc w:val="left"/>
            <w:rPr>
              <w:rFonts w:cs="Arial"/>
              <w:sz w:val="20"/>
            </w:rPr>
          </w:pPr>
          <w:r>
            <w:rPr>
              <w:rFonts w:cs="Arial"/>
              <w:b w:val="0"/>
              <w:smallCaps w:val="0"/>
              <w:sz w:val="20"/>
            </w:rPr>
            <w:t xml:space="preserve">                  </w:t>
          </w:r>
          <w:r w:rsidR="0078422B">
            <w:rPr>
              <w:rFonts w:cs="Arial"/>
              <w:sz w:val="20"/>
            </w:rPr>
            <w:t>NI-AD-006-05</w:t>
          </w:r>
        </w:p>
      </w:tc>
    </w:tr>
    <w:tr w:rsidR="00597B7D">
      <w:tblPrEx>
        <w:tblCellMar>
          <w:top w:w="0" w:type="dxa"/>
          <w:bottom w:w="0" w:type="dxa"/>
        </w:tblCellMar>
      </w:tblPrEx>
      <w:trPr>
        <w:trHeight w:val="20"/>
        <w:jc w:val="center"/>
      </w:trPr>
      <w:tc>
        <w:tcPr>
          <w:tcW w:w="3047" w:type="dxa"/>
        </w:tcPr>
        <w:p w:rsidR="00597B7D" w:rsidRDefault="00597B7D" w:rsidP="00F01175">
          <w:pPr>
            <w:pStyle w:val="Ttulo5"/>
            <w:rPr>
              <w:b w:val="0"/>
              <w:sz w:val="20"/>
            </w:rPr>
          </w:pPr>
          <w:r w:rsidRPr="00F01175">
            <w:rPr>
              <w:b w:val="0"/>
              <w:sz w:val="20"/>
            </w:rPr>
            <w:t>AREAS EMISORAS</w:t>
          </w:r>
          <w:r>
            <w:rPr>
              <w:b w:val="0"/>
              <w:sz w:val="20"/>
            </w:rPr>
            <w:t xml:space="preserve">: </w:t>
          </w:r>
          <w:r w:rsidRPr="00F01175">
            <w:rPr>
              <w:b w:val="0"/>
              <w:sz w:val="20"/>
            </w:rPr>
            <w:t xml:space="preserve"> </w:t>
          </w:r>
        </w:p>
        <w:p w:rsidR="00597B7D" w:rsidRDefault="00597B7D">
          <w:pPr>
            <w:pStyle w:val="Ttulo5"/>
            <w:rPr>
              <w:sz w:val="18"/>
            </w:rPr>
          </w:pPr>
          <w:r w:rsidRPr="00F01175">
            <w:rPr>
              <w:b w:val="0"/>
              <w:sz w:val="20"/>
            </w:rPr>
            <w:t>SISTEMAS DE GESTIÓN</w:t>
          </w:r>
        </w:p>
      </w:tc>
      <w:tc>
        <w:tcPr>
          <w:tcW w:w="3119" w:type="dxa"/>
        </w:tcPr>
        <w:p w:rsidR="00597B7D" w:rsidRDefault="00597B7D">
          <w:pPr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AREAS RECEPTORAS:</w:t>
          </w:r>
        </w:p>
        <w:p w:rsidR="00597B7D" w:rsidRDefault="00597B7D">
          <w:pPr>
            <w:jc w:val="center"/>
            <w:rPr>
              <w:rFonts w:ascii="Arial" w:hAnsi="Arial" w:cs="Arial"/>
              <w:smallCaps/>
              <w:sz w:val="20"/>
            </w:rPr>
          </w:pPr>
          <w:r>
            <w:rPr>
              <w:rFonts w:ascii="Arial" w:hAnsi="Arial" w:cs="Arial"/>
              <w:smallCaps/>
              <w:sz w:val="20"/>
            </w:rPr>
            <w:t>TODAS</w:t>
          </w:r>
        </w:p>
      </w:tc>
      <w:tc>
        <w:tcPr>
          <w:tcW w:w="2835" w:type="dxa"/>
        </w:tcPr>
        <w:p w:rsidR="00597B7D" w:rsidRDefault="00597B7D">
          <w:pPr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FECHA DE EMISION:</w:t>
          </w:r>
        </w:p>
        <w:p w:rsidR="00597B7D" w:rsidRDefault="0078422B">
          <w:pPr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20-10-2011</w:t>
          </w:r>
        </w:p>
      </w:tc>
    </w:tr>
    <w:tr w:rsidR="00597B7D">
      <w:tblPrEx>
        <w:tblCellMar>
          <w:top w:w="0" w:type="dxa"/>
          <w:bottom w:w="0" w:type="dxa"/>
        </w:tblCellMar>
      </w:tblPrEx>
      <w:trPr>
        <w:trHeight w:val="20"/>
        <w:jc w:val="center"/>
      </w:trPr>
      <w:tc>
        <w:tcPr>
          <w:tcW w:w="9001" w:type="dxa"/>
          <w:gridSpan w:val="3"/>
          <w:vAlign w:val="bottom"/>
        </w:tcPr>
        <w:p w:rsidR="00597B7D" w:rsidRDefault="00597B7D">
          <w:pPr>
            <w:jc w:val="center"/>
            <w:rPr>
              <w:rFonts w:ascii="Arial" w:hAnsi="Arial" w:cs="Arial"/>
              <w:b/>
              <w:smallCaps/>
              <w:sz w:val="20"/>
            </w:rPr>
          </w:pPr>
          <w:r>
            <w:rPr>
              <w:rFonts w:ascii="Arial" w:hAnsi="Arial" w:cs="Arial"/>
              <w:sz w:val="20"/>
            </w:rPr>
            <w:t xml:space="preserve">TEMA: </w:t>
          </w:r>
          <w:r>
            <w:rPr>
              <w:rFonts w:ascii="Arial" w:hAnsi="Arial" w:cs="Arial"/>
              <w:bCs/>
              <w:sz w:val="20"/>
            </w:rPr>
            <w:t>REPORTE DE OPERACIONES O ACTIVIDADES SOSPECHOSAS</w:t>
          </w:r>
        </w:p>
      </w:tc>
    </w:tr>
  </w:tbl>
  <w:p w:rsidR="00597B7D" w:rsidRDefault="00597B7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43BDD"/>
    <w:multiLevelType w:val="hybridMultilevel"/>
    <w:tmpl w:val="89E0F8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187DE7"/>
    <w:multiLevelType w:val="hybridMultilevel"/>
    <w:tmpl w:val="A6ACA3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41C7805"/>
    <w:multiLevelType w:val="hybridMultilevel"/>
    <w:tmpl w:val="A1ACC30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C6788A"/>
    <w:multiLevelType w:val="multilevel"/>
    <w:tmpl w:val="61A43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6EA6437"/>
    <w:multiLevelType w:val="hybridMultilevel"/>
    <w:tmpl w:val="BC62AF3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7FF7E25"/>
    <w:multiLevelType w:val="hybridMultilevel"/>
    <w:tmpl w:val="44A4BA5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C50088C">
      <w:start w:val="1"/>
      <w:numFmt w:val="upp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A656861"/>
    <w:multiLevelType w:val="hybridMultilevel"/>
    <w:tmpl w:val="4A48FB6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F8D38E0"/>
    <w:multiLevelType w:val="hybridMultilevel"/>
    <w:tmpl w:val="826E21CC"/>
    <w:lvl w:ilvl="0" w:tplc="0C0A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B9752F"/>
    <w:multiLevelType w:val="hybridMultilevel"/>
    <w:tmpl w:val="DBBE8B2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644E58B8"/>
    <w:multiLevelType w:val="hybridMultilevel"/>
    <w:tmpl w:val="826E21CC"/>
    <w:lvl w:ilvl="0" w:tplc="EC7C00D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AD13397"/>
    <w:multiLevelType w:val="singleLevel"/>
    <w:tmpl w:val="291A4AE2"/>
    <w:lvl w:ilvl="0">
      <w:start w:val="1"/>
      <w:numFmt w:val="bullet"/>
      <w:lvlText w:val=""/>
      <w:lvlJc w:val="left"/>
      <w:pPr>
        <w:tabs>
          <w:tab w:val="num" w:pos="567"/>
        </w:tabs>
        <w:ind w:left="567" w:hanging="567"/>
      </w:pPr>
      <w:rPr>
        <w:rFonts w:ascii="Monotype Sorts" w:hAnsi="Monotype Sorts" w:hint="default"/>
        <w:sz w:val="24"/>
      </w:rPr>
    </w:lvl>
  </w:abstractNum>
  <w:abstractNum w:abstractNumId="11">
    <w:nsid w:val="715C36D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72AD1719"/>
    <w:multiLevelType w:val="hybridMultilevel"/>
    <w:tmpl w:val="AEBE2B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182"/>
    <w:rsid w:val="000508B1"/>
    <w:rsid w:val="000624DD"/>
    <w:rsid w:val="000860D6"/>
    <w:rsid w:val="000939D4"/>
    <w:rsid w:val="000E57A4"/>
    <w:rsid w:val="000F366C"/>
    <w:rsid w:val="000F5E74"/>
    <w:rsid w:val="00171F2A"/>
    <w:rsid w:val="00211B3A"/>
    <w:rsid w:val="003E6E4A"/>
    <w:rsid w:val="004610F0"/>
    <w:rsid w:val="004B2B05"/>
    <w:rsid w:val="00534763"/>
    <w:rsid w:val="0056067F"/>
    <w:rsid w:val="00597B7D"/>
    <w:rsid w:val="006414E3"/>
    <w:rsid w:val="006A096C"/>
    <w:rsid w:val="00750A20"/>
    <w:rsid w:val="00757913"/>
    <w:rsid w:val="00763DAD"/>
    <w:rsid w:val="0078422B"/>
    <w:rsid w:val="008075F8"/>
    <w:rsid w:val="00845EC7"/>
    <w:rsid w:val="008A2182"/>
    <w:rsid w:val="008C6BA7"/>
    <w:rsid w:val="008F774A"/>
    <w:rsid w:val="00A762AF"/>
    <w:rsid w:val="00AC42ED"/>
    <w:rsid w:val="00B17E64"/>
    <w:rsid w:val="00BE0D9A"/>
    <w:rsid w:val="00D46AC3"/>
    <w:rsid w:val="00D80D0E"/>
    <w:rsid w:val="00DB7623"/>
    <w:rsid w:val="00DC5CC0"/>
    <w:rsid w:val="00E83A21"/>
    <w:rsid w:val="00EE1706"/>
    <w:rsid w:val="00F01175"/>
    <w:rsid w:val="00F25FF8"/>
    <w:rsid w:val="00F51981"/>
    <w:rsid w:val="00FE1C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outlineLvl w:val="0"/>
    </w:pPr>
    <w:rPr>
      <w:rFonts w:ascii="Arial" w:hAnsi="Arial" w:cs="Arial"/>
      <w:b/>
      <w:caps/>
      <w:lang w:val="es-MX"/>
    </w:rPr>
  </w:style>
  <w:style w:type="paragraph" w:styleId="Ttulo2">
    <w:name w:val="heading 2"/>
    <w:basedOn w:val="Normal"/>
    <w:next w:val="Normal"/>
    <w:qFormat/>
    <w:pPr>
      <w:keepNext/>
      <w:spacing w:before="240" w:after="240"/>
      <w:outlineLvl w:val="1"/>
    </w:pPr>
    <w:rPr>
      <w:rFonts w:cs="Arial"/>
      <w:b/>
      <w:iCs/>
      <w:caps/>
      <w:szCs w:val="28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ind w:left="360"/>
      <w:jc w:val="both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2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smallCap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Arial" w:hAnsi="Arial"/>
      <w:i/>
      <w:sz w:val="20"/>
      <w:szCs w:val="20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spacing w:after="120"/>
    </w:pPr>
  </w:style>
  <w:style w:type="paragraph" w:styleId="Sangradetextonormal">
    <w:name w:val="Body Text Indent"/>
    <w:basedOn w:val="Normal"/>
    <w:rPr>
      <w:rFonts w:ascii="Tahoma" w:hAnsi="Tahoma" w:cs="Tahoma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360"/>
      <w:jc w:val="both"/>
    </w:pPr>
    <w:rPr>
      <w:rFonts w:ascii="Arial" w:hAnsi="Arial" w:cs="Arial"/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szCs w:val="20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ind w:left="360" w:right="-547"/>
      <w:jc w:val="both"/>
    </w:pPr>
    <w:rPr>
      <w:rFonts w:ascii="Arial" w:hAnsi="Arial"/>
      <w:snapToGrid w:val="0"/>
      <w:sz w:val="20"/>
      <w:lang w:val="es-CO"/>
    </w:rPr>
  </w:style>
  <w:style w:type="paragraph" w:styleId="Sangra3detindependiente">
    <w:name w:val="Body Text Indent 3"/>
    <w:basedOn w:val="Normal"/>
    <w:pPr>
      <w:ind w:left="708"/>
      <w:jc w:val="both"/>
    </w:pPr>
    <w:rPr>
      <w:rFonts w:ascii="Arial" w:hAnsi="Arial" w:cs="Arial"/>
      <w:sz w:val="20"/>
    </w:rPr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sz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2179</Words>
  <Characters>11986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DE OPERACIONES O ACTIVIDADES SOSPECHOSAS</vt:lpstr>
    </vt:vector>
  </TitlesOfParts>
  <Company>TRANSBORDER</Company>
  <LinksUpToDate>false</LinksUpToDate>
  <CharactersWithSpaces>14137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OPERACIONES O ACTIVIDADES SOSPECHOSAS</dc:title>
  <dc:subject/>
  <dc:creator>Alejandro Carrión Rincón</dc:creator>
  <cp:keywords/>
  <dc:description/>
  <cp:lastModifiedBy>Transborder</cp:lastModifiedBy>
  <cp:revision>2</cp:revision>
  <cp:lastPrinted>2006-06-22T02:10:00Z</cp:lastPrinted>
  <dcterms:created xsi:type="dcterms:W3CDTF">2012-07-10T00:59:00Z</dcterms:created>
  <dcterms:modified xsi:type="dcterms:W3CDTF">2012-07-10T00:59:00Z</dcterms:modified>
</cp:coreProperties>
</file>