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9F1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spacing w:before="100" w:beforeAutospacing="1"/>
        <w:ind w:hanging="284"/>
        <w:rPr>
          <w:b/>
        </w:rPr>
      </w:pPr>
      <w:r>
        <w:rPr>
          <w:b/>
        </w:rPr>
        <w:t>OBJETIVO</w:t>
      </w:r>
    </w:p>
    <w:p w:rsidR="007F39F1" w:rsidRDefault="007F39F1" w:rsidP="007F39F1">
      <w:pPr>
        <w:pStyle w:val="Textoindependiente"/>
        <w:ind w:left="1701" w:right="1274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>Establecer disposiciones y directrices que orienten las actividades de inducción a todos los funcionarios que ingresan a la Entidad y de reinducción para los funcionarios antiguos, en virtud de los cambios producidos en materia</w:t>
      </w:r>
      <w:r w:rsidRPr="009468A8">
        <w:rPr>
          <w:spacing w:val="-37"/>
          <w:lang w:val="es-CO"/>
        </w:rPr>
        <w:t xml:space="preserve"> </w:t>
      </w:r>
      <w:r w:rsidRPr="009468A8">
        <w:rPr>
          <w:lang w:val="es-CO"/>
        </w:rPr>
        <w:t>organizacional.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sz w:val="22"/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0" w:name="2._ALCANCE"/>
      <w:bookmarkStart w:id="1" w:name="_bookmark1"/>
      <w:bookmarkEnd w:id="0"/>
      <w:bookmarkEnd w:id="1"/>
      <w:r w:rsidRPr="009468A8">
        <w:rPr>
          <w:b/>
          <w:lang w:val="es-CO"/>
        </w:rPr>
        <w:t>ALCANCE</w:t>
      </w:r>
    </w:p>
    <w:p w:rsidR="007F39F1" w:rsidRPr="009468A8" w:rsidRDefault="007F39F1" w:rsidP="007F39F1">
      <w:pPr>
        <w:pStyle w:val="Textoindependiente"/>
        <w:spacing w:before="5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Las directrices y orientaciones definidas en este documento aplican para las actividades de planeación, ejecución y evaluación de Inducción y Reinducción en el </w:t>
      </w:r>
      <w:r w:rsidR="00F21CDF">
        <w:rPr>
          <w:lang w:val="es-CO"/>
        </w:rPr>
        <w:t>área logística.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sz w:val="22"/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2" w:name="3._TERMINOS_Y_DEFINICIONES"/>
      <w:bookmarkStart w:id="3" w:name="_bookmark2"/>
      <w:bookmarkEnd w:id="2"/>
      <w:bookmarkEnd w:id="3"/>
      <w:r w:rsidRPr="009468A8">
        <w:rPr>
          <w:b/>
          <w:lang w:val="es-CO"/>
        </w:rPr>
        <w:t>TERMINOS Y</w:t>
      </w:r>
      <w:r w:rsidRPr="009468A8">
        <w:rPr>
          <w:b/>
          <w:spacing w:val="-11"/>
          <w:lang w:val="es-CO"/>
        </w:rPr>
        <w:t xml:space="preserve"> </w:t>
      </w:r>
      <w:r w:rsidRPr="009468A8">
        <w:rPr>
          <w:b/>
          <w:lang w:val="es-CO"/>
        </w:rPr>
        <w:t>DEFINICIONES</w:t>
      </w:r>
    </w:p>
    <w:p w:rsidR="007F39F1" w:rsidRPr="009468A8" w:rsidRDefault="007F39F1" w:rsidP="007F39F1">
      <w:pPr>
        <w:pStyle w:val="Textoindependiente"/>
        <w:spacing w:before="5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1701" w:right="1508"/>
        <w:jc w:val="both"/>
        <w:rPr>
          <w:lang w:val="es-CO"/>
        </w:rPr>
      </w:pPr>
      <w:r w:rsidRPr="009468A8">
        <w:rPr>
          <w:b/>
          <w:lang w:val="es-CO"/>
        </w:rPr>
        <w:t>Compromisos Laborales</w:t>
      </w:r>
      <w:r w:rsidRPr="009468A8">
        <w:rPr>
          <w:lang w:val="es-CO"/>
        </w:rPr>
        <w:t>: Son los productos, servicios o resultados susceptibles de ser medidos, cuantificados y verificados, que el evaluado deberá alcanzar durante el período de evaluación respectivo.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3"/>
        <w:jc w:val="both"/>
        <w:rPr>
          <w:lang w:val="es-CO"/>
        </w:rPr>
      </w:pPr>
      <w:r w:rsidRPr="009468A8">
        <w:rPr>
          <w:b/>
          <w:lang w:val="es-CO"/>
        </w:rPr>
        <w:t>Inducción</w:t>
      </w:r>
      <w:r w:rsidRPr="009468A8">
        <w:rPr>
          <w:lang w:val="es-CO"/>
        </w:rPr>
        <w:t>: Es un proceso dirigido a iniciar al nuevo funcionario en su integración a la cultura organizacional, proporcionándole los medios necesarios para su adaptación a su nuevo rol laboral.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b/>
          <w:lang w:val="es-CO"/>
        </w:rPr>
        <w:t>Puesto de Trabajo</w:t>
      </w:r>
      <w:r w:rsidRPr="009468A8">
        <w:rPr>
          <w:lang w:val="es-CO"/>
        </w:rPr>
        <w:t>: Espacio que ocupa en una empresa, institución o entidad desarrollando algún tipo de actividad o empleo con la cual se recibe por ella un salario o sueldo específico.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3"/>
        <w:jc w:val="both"/>
        <w:rPr>
          <w:lang w:val="es-CO"/>
        </w:rPr>
      </w:pPr>
      <w:r w:rsidRPr="009468A8">
        <w:rPr>
          <w:b/>
          <w:lang w:val="es-CO"/>
        </w:rPr>
        <w:t xml:space="preserve">Reinducción: </w:t>
      </w:r>
      <w:r w:rsidRPr="009468A8">
        <w:rPr>
          <w:lang w:val="es-CO"/>
        </w:rPr>
        <w:t>Es un proceso dirigido a actualizar a los funcionarios en relación con la normatividad, estructura, procedimientos, así como a reorientar su integración a la cultura organizacional; se debe realizar cada dos año, o cuando la entidad enfrente cambios significativos en sus procesos.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2"/>
        <w:rPr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4" w:name="4._ETAPAS_DEL_PROCESO_DE_INDUCCIÓN"/>
      <w:bookmarkStart w:id="5" w:name="_bookmark3"/>
      <w:bookmarkEnd w:id="4"/>
      <w:bookmarkEnd w:id="5"/>
      <w:r w:rsidRPr="009468A8">
        <w:rPr>
          <w:b/>
          <w:lang w:val="es-CO"/>
        </w:rPr>
        <w:t>ETAPAS DEL PROCESO DE</w:t>
      </w:r>
      <w:r w:rsidRPr="009468A8">
        <w:rPr>
          <w:b/>
          <w:spacing w:val="-12"/>
          <w:lang w:val="es-CO"/>
        </w:rPr>
        <w:t xml:space="preserve"> </w:t>
      </w:r>
      <w:r w:rsidRPr="009468A8">
        <w:rPr>
          <w:b/>
          <w:lang w:val="es-CO"/>
        </w:rPr>
        <w:t>INDUCCIÓN</w:t>
      </w:r>
    </w:p>
    <w:p w:rsidR="007F39F1" w:rsidRPr="009468A8" w:rsidRDefault="007F39F1" w:rsidP="007F39F1">
      <w:pPr>
        <w:pStyle w:val="Textoindependiente"/>
        <w:spacing w:before="4"/>
        <w:rPr>
          <w:b/>
          <w:sz w:val="23"/>
          <w:lang w:val="es-CO"/>
        </w:rPr>
      </w:pPr>
    </w:p>
    <w:p w:rsidR="007F39F1" w:rsidRDefault="007F39F1" w:rsidP="007F39F1">
      <w:pPr>
        <w:pStyle w:val="Textoindependiente"/>
        <w:ind w:left="1701" w:right="1274"/>
        <w:jc w:val="both"/>
        <w:rPr>
          <w:lang w:val="es-CO"/>
        </w:rPr>
      </w:pPr>
      <w:r w:rsidRPr="009468A8">
        <w:rPr>
          <w:lang w:val="es-CO"/>
        </w:rPr>
        <w:t xml:space="preserve">Se inicia con la notificación del acto administrativo de nombramiento al aspirante, quien debe informar si acepta o no el cargo por el cual ha sido nombrado. En caso de aceptar, el </w:t>
      </w:r>
      <w:r w:rsidR="008B4754">
        <w:rPr>
          <w:lang w:val="es-CO"/>
        </w:rPr>
        <w:t>coordinador</w:t>
      </w:r>
      <w:r w:rsidR="00F21CDF">
        <w:rPr>
          <w:lang w:val="es-CO"/>
        </w:rPr>
        <w:t xml:space="preserve"> administrativo,</w:t>
      </w:r>
      <w:r w:rsidRPr="009468A8">
        <w:rPr>
          <w:lang w:val="es-CO"/>
        </w:rPr>
        <w:t xml:space="preserve"> informará al Jefe Inmediato sobre el ingreso del funcionario y le da las indicaciones necesarias para la inducción en el puesto de trabajo, que se detalla más</w:t>
      </w:r>
      <w:r w:rsidRPr="009468A8">
        <w:rPr>
          <w:spacing w:val="-20"/>
          <w:lang w:val="es-CO"/>
        </w:rPr>
        <w:t xml:space="preserve"> </w:t>
      </w:r>
      <w:r w:rsidRPr="009468A8">
        <w:rPr>
          <w:lang w:val="es-CO"/>
        </w:rPr>
        <w:t>adelante.</w:t>
      </w:r>
    </w:p>
    <w:p w:rsidR="007F39F1" w:rsidRDefault="007F39F1" w:rsidP="007F39F1">
      <w:pPr>
        <w:pStyle w:val="Textoindependiente"/>
        <w:ind w:left="1701" w:right="1274"/>
        <w:jc w:val="both"/>
        <w:rPr>
          <w:lang w:val="es-CO"/>
        </w:rPr>
      </w:pPr>
    </w:p>
    <w:p w:rsidR="007F39F1" w:rsidRDefault="007F39F1" w:rsidP="007F39F1">
      <w:pPr>
        <w:pStyle w:val="Textoindependiente"/>
        <w:ind w:left="1701" w:right="1274"/>
        <w:jc w:val="both"/>
        <w:rPr>
          <w:lang w:val="es-CO"/>
        </w:rPr>
      </w:pPr>
    </w:p>
    <w:p w:rsidR="007F39F1" w:rsidRDefault="007F39F1" w:rsidP="007F39F1">
      <w:pPr>
        <w:pStyle w:val="Textoindependiente"/>
        <w:ind w:left="1701" w:right="1274"/>
        <w:jc w:val="both"/>
        <w:rPr>
          <w:lang w:val="es-CO"/>
        </w:rPr>
      </w:pPr>
    </w:p>
    <w:p w:rsidR="007F39F1" w:rsidRPr="009468A8" w:rsidRDefault="007F39F1" w:rsidP="008B4754">
      <w:pPr>
        <w:pStyle w:val="Textoindependiente"/>
        <w:spacing w:before="81"/>
        <w:ind w:left="1701" w:right="1273"/>
        <w:jc w:val="both"/>
        <w:rPr>
          <w:lang w:val="es-CO"/>
        </w:rPr>
      </w:pPr>
      <w:r w:rsidRPr="009468A8">
        <w:rPr>
          <w:lang w:val="es-CO"/>
        </w:rPr>
        <w:t xml:space="preserve">El proceso de Inducción se desarrolla a través de las siguientes etapas, con el fin de lograr que el funcionario se familiarice con la cultura organizacional de la Entidad y conozca las funciones de su </w:t>
      </w:r>
      <w:r w:rsidR="008B4754">
        <w:rPr>
          <w:lang w:val="es-CO"/>
        </w:rPr>
        <w:t>cargo</w:t>
      </w:r>
      <w:r w:rsidRPr="009468A8">
        <w:rPr>
          <w:lang w:val="es-CO"/>
        </w:rPr>
        <w:t>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7F39F1" w:rsidRPr="009468A8" w:rsidRDefault="007F39F1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 w:rsidRPr="009468A8">
        <w:rPr>
          <w:lang w:val="es-CO"/>
        </w:rPr>
        <w:t>Inducción a la</w:t>
      </w:r>
      <w:r w:rsidRPr="009468A8">
        <w:rPr>
          <w:spacing w:val="-13"/>
          <w:lang w:val="es-CO"/>
        </w:rPr>
        <w:t xml:space="preserve"> </w:t>
      </w:r>
      <w:r w:rsidRPr="009468A8">
        <w:rPr>
          <w:lang w:val="es-CO"/>
        </w:rPr>
        <w:t>Entidad.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2127" w:right="1273"/>
        <w:jc w:val="both"/>
        <w:rPr>
          <w:lang w:val="es-CO"/>
        </w:rPr>
      </w:pPr>
      <w:r w:rsidRPr="009468A8">
        <w:rPr>
          <w:lang w:val="es-CO"/>
        </w:rPr>
        <w:t xml:space="preserve">Consiste en mostrarle al nuevo funcionario los principales aspectos de la Entidad, los cuales le servirán para el normal desarrollo de las funciones asignadas. Para esta actividad, el </w:t>
      </w:r>
      <w:r w:rsidR="008B4754">
        <w:rPr>
          <w:lang w:val="es-CO"/>
        </w:rPr>
        <w:t>coordinador administrativo</w:t>
      </w:r>
      <w:r w:rsidRPr="009468A8">
        <w:rPr>
          <w:lang w:val="es-CO"/>
        </w:rPr>
        <w:t xml:space="preserve"> coordina con los responsables de las dependencias (</w:t>
      </w:r>
      <w:r w:rsidR="008B4754">
        <w:rPr>
          <w:lang w:val="es-CO"/>
        </w:rPr>
        <w:t>Área Logística, Área Contable, Área administrativa, Área de Seguridad Satelital)</w:t>
      </w:r>
      <w:r w:rsidRPr="009468A8">
        <w:rPr>
          <w:lang w:val="es-CO"/>
        </w:rPr>
        <w:t xml:space="preserve"> la información acerca de los contenidos que se van a presentar.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8B4754">
      <w:pPr>
        <w:pStyle w:val="Textoindependiente"/>
        <w:ind w:left="2127"/>
        <w:rPr>
          <w:lang w:val="es-CO"/>
        </w:rPr>
      </w:pPr>
    </w:p>
    <w:p w:rsidR="007F39F1" w:rsidRPr="009468A8" w:rsidRDefault="007F39F1" w:rsidP="007F39F1">
      <w:pPr>
        <w:pStyle w:val="Textoindependiente"/>
        <w:ind w:left="2127" w:right="1274"/>
        <w:jc w:val="both"/>
        <w:rPr>
          <w:lang w:val="es-CO"/>
        </w:rPr>
      </w:pPr>
      <w:r w:rsidRPr="009468A8">
        <w:rPr>
          <w:lang w:val="es-CO"/>
        </w:rPr>
        <w:t>La Inducción a la Entidad se realizará de manera trimestral, siempre y cuando hayan ingresado funcionarios nuevos durante el periodo.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7F39F1" w:rsidRPr="009468A8" w:rsidRDefault="007F39F1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 w:rsidRPr="009468A8">
        <w:rPr>
          <w:lang w:val="es-CO"/>
        </w:rPr>
        <w:t>Inducción en el Puesto de</w:t>
      </w:r>
      <w:r w:rsidRPr="009468A8">
        <w:rPr>
          <w:spacing w:val="-18"/>
          <w:lang w:val="es-CO"/>
        </w:rPr>
        <w:t xml:space="preserve"> </w:t>
      </w:r>
      <w:r w:rsidRPr="009468A8">
        <w:rPr>
          <w:lang w:val="es-CO"/>
        </w:rPr>
        <w:t>Trabajo.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2269" w:right="1272"/>
        <w:jc w:val="both"/>
        <w:rPr>
          <w:lang w:val="es-CO"/>
        </w:rPr>
      </w:pPr>
      <w:r w:rsidRPr="009468A8">
        <w:rPr>
          <w:lang w:val="es-CO"/>
        </w:rPr>
        <w:t>Consiste en facilitarle al nuevo funcionario su adaptación en el puesto de trabajo, incluyendo aspectos relacionados con su ubicación física, manejo de elementos  y equipos, información específica, procedimientos, entre otros aspectos propios del</w:t>
      </w:r>
      <w:r w:rsidRPr="009468A8">
        <w:rPr>
          <w:spacing w:val="-7"/>
          <w:lang w:val="es-CO"/>
        </w:rPr>
        <w:t xml:space="preserve"> </w:t>
      </w:r>
      <w:r w:rsidRPr="009468A8">
        <w:rPr>
          <w:lang w:val="es-CO"/>
        </w:rPr>
        <w:t>cargo.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2269"/>
        <w:jc w:val="both"/>
        <w:rPr>
          <w:lang w:val="es-CO"/>
        </w:rPr>
      </w:pPr>
      <w:r w:rsidRPr="009468A8">
        <w:rPr>
          <w:lang w:val="es-CO"/>
        </w:rPr>
        <w:t>El jefe inmediato debe realizar las siguientes actividades: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2269" w:right="1273"/>
        <w:jc w:val="both"/>
        <w:rPr>
          <w:lang w:val="es-CO"/>
        </w:rPr>
      </w:pPr>
      <w:r w:rsidRPr="009468A8">
        <w:rPr>
          <w:lang w:val="es-CO"/>
        </w:rPr>
        <w:t>Informar a su equipo de trabajo con anticipación la llegada del nuevo servidor y motivarlo para que lo acojan y lo reciban adecuadamente.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2269" w:right="1273"/>
        <w:jc w:val="both"/>
        <w:rPr>
          <w:lang w:val="es-CO"/>
        </w:rPr>
      </w:pPr>
      <w:r w:rsidRPr="009468A8">
        <w:rPr>
          <w:lang w:val="es-CO"/>
        </w:rPr>
        <w:t>Prever el sitio físico donde va a quedar ubicado, así como los equipos y herramientas necesarias para el cumplimiento de sus funciones.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2269" w:right="1273"/>
        <w:jc w:val="both"/>
        <w:rPr>
          <w:lang w:val="es-CO"/>
        </w:rPr>
      </w:pPr>
      <w:r w:rsidRPr="009468A8">
        <w:rPr>
          <w:lang w:val="es-CO"/>
        </w:rPr>
        <w:t>Presentar al grupo de trabajo que va a interactuar con el nuevo funcionario, entregar la información sobre los procesos y procedimientos en los que  se espera va a participar</w:t>
      </w:r>
      <w:r w:rsidR="008B4754">
        <w:rPr>
          <w:lang w:val="es-CO"/>
        </w:rPr>
        <w:t>.</w:t>
      </w:r>
    </w:p>
    <w:p w:rsidR="007F39F1" w:rsidRPr="009468A8" w:rsidRDefault="007F39F1" w:rsidP="007F39F1">
      <w:pPr>
        <w:jc w:val="both"/>
        <w:rPr>
          <w:lang w:val="es-CO"/>
        </w:rPr>
        <w:sectPr w:rsidR="007F39F1" w:rsidRPr="009468A8">
          <w:headerReference w:type="default" r:id="rId7"/>
          <w:footerReference w:type="default" r:id="rId8"/>
          <w:pgSz w:w="12250" w:h="15850"/>
          <w:pgMar w:top="2140" w:right="0" w:bottom="1560" w:left="0" w:header="597" w:footer="1367" w:gutter="0"/>
          <w:cols w:space="720"/>
        </w:sectPr>
      </w:pPr>
      <w:bookmarkStart w:id="6" w:name="_GoBack"/>
      <w:bookmarkEnd w:id="6"/>
    </w:p>
    <w:p w:rsidR="007F39F1" w:rsidRPr="009468A8" w:rsidRDefault="007F39F1" w:rsidP="007F39F1">
      <w:pPr>
        <w:pStyle w:val="Textoindependiente"/>
        <w:rPr>
          <w:sz w:val="25"/>
          <w:lang w:val="es-CO"/>
        </w:rPr>
      </w:pPr>
    </w:p>
    <w:p w:rsidR="007F39F1" w:rsidRPr="009468A8" w:rsidRDefault="007F39F1" w:rsidP="007F39F1">
      <w:pPr>
        <w:pStyle w:val="Textoindependiente"/>
        <w:spacing w:before="70"/>
        <w:ind w:left="2269" w:right="1273"/>
        <w:jc w:val="both"/>
        <w:rPr>
          <w:lang w:val="es-CO"/>
        </w:rPr>
      </w:pPr>
      <w:r w:rsidRPr="009468A8">
        <w:rPr>
          <w:lang w:val="es-CO"/>
        </w:rPr>
        <w:t xml:space="preserve">Así mismo, es necesario precisar al nuevo funcionario su ámbito de acción y la responsabilidad de su papel en </w:t>
      </w:r>
      <w:r w:rsidR="008B4754">
        <w:rPr>
          <w:lang w:val="es-CO"/>
        </w:rPr>
        <w:t>el cargo</w:t>
      </w:r>
      <w:r w:rsidRPr="009468A8">
        <w:rPr>
          <w:lang w:val="es-CO"/>
        </w:rPr>
        <w:t xml:space="preserve"> en la cual se desempeñara, con el fin de evitar una posible extralimitación de</w:t>
      </w:r>
      <w:r w:rsidRPr="009468A8">
        <w:rPr>
          <w:spacing w:val="-26"/>
          <w:lang w:val="es-CO"/>
        </w:rPr>
        <w:t xml:space="preserve"> </w:t>
      </w:r>
      <w:r w:rsidRPr="009468A8">
        <w:rPr>
          <w:lang w:val="es-CO"/>
        </w:rPr>
        <w:t>funciones.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2269" w:right="1273"/>
        <w:jc w:val="both"/>
        <w:rPr>
          <w:lang w:val="es-CO"/>
        </w:rPr>
      </w:pPr>
      <w:r w:rsidRPr="009468A8">
        <w:rPr>
          <w:lang w:val="es-CO"/>
        </w:rPr>
        <w:t>En este momento, se hará entrega de aquellos equipos y materiales necesarios para el desarrollo de sus funciones, de manera que se incluya en el inventario a su cargo.</w:t>
      </w:r>
    </w:p>
    <w:p w:rsidR="007F39F1" w:rsidRPr="009468A8" w:rsidRDefault="007F39F1" w:rsidP="007F39F1">
      <w:pPr>
        <w:pStyle w:val="Textoindependiente"/>
        <w:spacing w:before="10"/>
        <w:rPr>
          <w:sz w:val="23"/>
          <w:lang w:val="es-CO"/>
        </w:rPr>
      </w:pPr>
    </w:p>
    <w:p w:rsidR="008B4754" w:rsidRDefault="007F39F1" w:rsidP="008B4754">
      <w:pPr>
        <w:pStyle w:val="Textoindependiente"/>
        <w:ind w:left="2269" w:right="1273"/>
        <w:jc w:val="both"/>
        <w:rPr>
          <w:lang w:val="es-CO"/>
        </w:rPr>
      </w:pPr>
      <w:r w:rsidRPr="009468A8">
        <w:rPr>
          <w:lang w:val="es-CO"/>
        </w:rPr>
        <w:t>Para facilitar y evidenciar esta inducción, se debe diligenciar el formato “Inducción en el Puesto de Trabajo”</w:t>
      </w:r>
      <w:r w:rsidR="008B4754">
        <w:rPr>
          <w:lang w:val="es-CO"/>
        </w:rPr>
        <w:t xml:space="preserve"> (SB-018)</w:t>
      </w:r>
    </w:p>
    <w:p w:rsidR="008B4754" w:rsidRDefault="008B4754" w:rsidP="008B4754">
      <w:pPr>
        <w:pStyle w:val="Textoindependiente"/>
        <w:ind w:left="2269" w:right="1273"/>
        <w:jc w:val="both"/>
        <w:rPr>
          <w:lang w:val="es-CO"/>
        </w:rPr>
      </w:pPr>
    </w:p>
    <w:p w:rsidR="007F39F1" w:rsidRPr="009468A8" w:rsidRDefault="007F39F1" w:rsidP="007F39F1">
      <w:pPr>
        <w:pStyle w:val="Textoindependiente"/>
        <w:spacing w:before="10"/>
        <w:rPr>
          <w:b/>
          <w:i/>
          <w:sz w:val="23"/>
          <w:lang w:val="es-CO"/>
        </w:rPr>
      </w:pPr>
    </w:p>
    <w:p w:rsidR="007F39F1" w:rsidRPr="009468A8" w:rsidRDefault="007F39F1" w:rsidP="007F39F1">
      <w:pPr>
        <w:pStyle w:val="Ttulo2"/>
        <w:numPr>
          <w:ilvl w:val="1"/>
          <w:numId w:val="1"/>
        </w:numPr>
        <w:tabs>
          <w:tab w:val="left" w:pos="2270"/>
        </w:tabs>
        <w:jc w:val="both"/>
        <w:rPr>
          <w:lang w:val="es-CO"/>
        </w:rPr>
      </w:pPr>
      <w:r w:rsidRPr="009468A8">
        <w:rPr>
          <w:lang w:val="es-CO"/>
        </w:rPr>
        <w:t>Acompañamiento y</w:t>
      </w:r>
      <w:r w:rsidRPr="009468A8">
        <w:rPr>
          <w:spacing w:val="-17"/>
          <w:lang w:val="es-CO"/>
        </w:rPr>
        <w:t xml:space="preserve"> </w:t>
      </w:r>
      <w:r w:rsidRPr="009468A8">
        <w:rPr>
          <w:lang w:val="es-CO"/>
        </w:rPr>
        <w:t>seguimiento</w:t>
      </w:r>
    </w:p>
    <w:p w:rsidR="007F39F1" w:rsidRPr="009468A8" w:rsidRDefault="007F39F1" w:rsidP="007F39F1">
      <w:pPr>
        <w:pStyle w:val="Textoindependiente"/>
        <w:spacing w:before="10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2269" w:right="1274"/>
        <w:jc w:val="both"/>
        <w:rPr>
          <w:lang w:val="es-CO"/>
        </w:rPr>
      </w:pPr>
      <w:r w:rsidRPr="009468A8">
        <w:rPr>
          <w:lang w:val="es-CO"/>
        </w:rPr>
        <w:t>El Jefe inmediato podrá designar a alguno de los integrantes del grupo  de trabajo, como “tutor” o “acompañante” en el proceso de adaptación e integración, de manera que oriente al nuevo funcionario en la forma cómo se adelantan los procesos y lo contextualice permanentemente en las labores cotidianas.</w:t>
      </w:r>
    </w:p>
    <w:p w:rsidR="007F39F1" w:rsidRPr="009468A8" w:rsidRDefault="007F39F1" w:rsidP="007F39F1">
      <w:pPr>
        <w:pStyle w:val="Textoindependiente"/>
        <w:spacing w:before="2"/>
        <w:rPr>
          <w:lang w:val="es-CO"/>
        </w:rPr>
      </w:pPr>
    </w:p>
    <w:p w:rsidR="007F39F1" w:rsidRPr="009468A8" w:rsidRDefault="007F39F1" w:rsidP="007F39F1">
      <w:pPr>
        <w:pStyle w:val="Prrafodelista"/>
        <w:numPr>
          <w:ilvl w:val="0"/>
          <w:numId w:val="1"/>
        </w:numPr>
        <w:tabs>
          <w:tab w:val="left" w:pos="1702"/>
        </w:tabs>
        <w:ind w:hanging="284"/>
        <w:rPr>
          <w:b/>
          <w:lang w:val="es-CO"/>
        </w:rPr>
      </w:pPr>
      <w:bookmarkStart w:id="7" w:name="5._PROCESO_DE_REINDUCCIÓN"/>
      <w:bookmarkStart w:id="8" w:name="_bookmark4"/>
      <w:bookmarkEnd w:id="7"/>
      <w:bookmarkEnd w:id="8"/>
      <w:r w:rsidRPr="009468A8">
        <w:rPr>
          <w:b/>
          <w:lang w:val="es-CO"/>
        </w:rPr>
        <w:t>PROCESO DE</w:t>
      </w:r>
      <w:r w:rsidRPr="009468A8">
        <w:rPr>
          <w:b/>
          <w:spacing w:val="-11"/>
          <w:lang w:val="es-CO"/>
        </w:rPr>
        <w:t xml:space="preserve"> </w:t>
      </w:r>
      <w:r w:rsidRPr="009468A8">
        <w:rPr>
          <w:b/>
          <w:lang w:val="es-CO"/>
        </w:rPr>
        <w:t>REINDUCCIÓN</w:t>
      </w:r>
    </w:p>
    <w:p w:rsidR="007F39F1" w:rsidRPr="009468A8" w:rsidRDefault="007F39F1" w:rsidP="007F39F1">
      <w:pPr>
        <w:pStyle w:val="Textoindependiente"/>
        <w:spacing w:before="5"/>
        <w:rPr>
          <w:b/>
          <w:sz w:val="23"/>
          <w:lang w:val="es-CO"/>
        </w:rPr>
      </w:pPr>
    </w:p>
    <w:p w:rsidR="007F39F1" w:rsidRPr="009468A8" w:rsidRDefault="007F39F1" w:rsidP="007F39F1">
      <w:pPr>
        <w:pStyle w:val="Textoindependiente"/>
        <w:ind w:left="1701" w:right="1272"/>
        <w:jc w:val="both"/>
        <w:rPr>
          <w:lang w:val="es-CO"/>
        </w:rPr>
      </w:pPr>
      <w:r w:rsidRPr="009468A8">
        <w:rPr>
          <w:lang w:val="es-CO"/>
        </w:rPr>
        <w:t>Está dirigido a todos los funcionarios antiguos de la Entidad y consiste en reorientar su integración a la nueva cultura organizacional, producto de los cambios producidos en materia de normatividad, procesos, valores y demás cambios importantes que puedan afectar el normal desarrollo de sus funciones.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5"/>
        <w:jc w:val="both"/>
        <w:rPr>
          <w:lang w:val="es-CO"/>
        </w:rPr>
      </w:pPr>
      <w:r w:rsidRPr="009468A8">
        <w:rPr>
          <w:lang w:val="es-CO"/>
        </w:rPr>
        <w:t>La reinducción es un proceso que se realizará cada dos años, o cada que ocurran los cambios mencionados anteriormente.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p w:rsidR="007F39F1" w:rsidRPr="009468A8" w:rsidRDefault="007F39F1" w:rsidP="007F39F1">
      <w:pPr>
        <w:pStyle w:val="Textoindependiente"/>
        <w:ind w:left="1701" w:right="1273"/>
        <w:jc w:val="both"/>
        <w:rPr>
          <w:lang w:val="es-CO"/>
        </w:rPr>
      </w:pPr>
      <w:r w:rsidRPr="009468A8">
        <w:rPr>
          <w:lang w:val="es-CO"/>
        </w:rPr>
        <w:t xml:space="preserve">El </w:t>
      </w:r>
      <w:r w:rsidR="008B4754">
        <w:rPr>
          <w:lang w:val="es-CO"/>
        </w:rPr>
        <w:t xml:space="preserve">coordinador administrativo </w:t>
      </w:r>
      <w:r w:rsidRPr="009468A8">
        <w:rPr>
          <w:lang w:val="es-CO"/>
        </w:rPr>
        <w:t>coordina con las dependencias responsables de los cambios organizacionales los temas que se van a presentar, y realiza la convocatoria  a todos los funcionarios por lo menos con ocho (8) días de</w:t>
      </w:r>
      <w:r w:rsidRPr="009468A8">
        <w:rPr>
          <w:spacing w:val="-36"/>
          <w:lang w:val="es-CO"/>
        </w:rPr>
        <w:t xml:space="preserve"> </w:t>
      </w:r>
      <w:r w:rsidRPr="009468A8">
        <w:rPr>
          <w:lang w:val="es-CO"/>
        </w:rPr>
        <w:t>anticipación.</w:t>
      </w:r>
    </w:p>
    <w:p w:rsidR="007F39F1" w:rsidRPr="009468A8" w:rsidRDefault="007F39F1" w:rsidP="007F39F1">
      <w:pPr>
        <w:pStyle w:val="Textoindependiente"/>
        <w:rPr>
          <w:lang w:val="es-CO"/>
        </w:rPr>
      </w:pPr>
    </w:p>
    <w:tbl>
      <w:tblPr>
        <w:tblpPr w:leftFromText="141" w:rightFromText="141" w:vertAnchor="text" w:horzAnchor="margin" w:tblpXSpec="center" w:tblpY="-53"/>
        <w:tblW w:w="31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08"/>
        <w:gridCol w:w="2662"/>
        <w:gridCol w:w="2556"/>
      </w:tblGrid>
      <w:tr w:rsidR="008B4754" w:rsidRPr="00E872BC" w:rsidTr="008B4754">
        <w:trPr>
          <w:cantSplit/>
          <w:trHeight w:val="414"/>
        </w:trPr>
        <w:tc>
          <w:tcPr>
            <w:tcW w:w="1666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>ELABORÓ: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Jairo Enrique Angulo </w:t>
            </w:r>
          </w:p>
        </w:tc>
        <w:tc>
          <w:tcPr>
            <w:tcW w:w="1701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>REVISÓ</w:t>
            </w:r>
            <w:r w:rsidRPr="00E872BC">
              <w:rPr>
                <w:rFonts w:ascii="Arial" w:hAnsi="Arial" w:cs="Arial"/>
                <w:b/>
                <w:i/>
                <w:sz w:val="24"/>
                <w:szCs w:val="24"/>
              </w:rPr>
              <w:t xml:space="preserve">: 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Alberto Vargas otero</w:t>
            </w:r>
          </w:p>
        </w:tc>
        <w:tc>
          <w:tcPr>
            <w:tcW w:w="1633" w:type="pct"/>
            <w:tcBorders>
              <w:bottom w:val="single" w:sz="4" w:space="0" w:color="auto"/>
            </w:tcBorders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872BC">
              <w:rPr>
                <w:rFonts w:ascii="Arial" w:hAnsi="Arial" w:cs="Arial"/>
                <w:b/>
                <w:sz w:val="24"/>
                <w:szCs w:val="24"/>
              </w:rPr>
              <w:t xml:space="preserve">APROBÓ: </w:t>
            </w:r>
          </w:p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Alberto Vargas Otero </w:t>
            </w:r>
          </w:p>
        </w:tc>
      </w:tr>
      <w:tr w:rsidR="008B4754" w:rsidRPr="00E872BC" w:rsidTr="008B4754">
        <w:trPr>
          <w:trHeight w:val="601"/>
        </w:trPr>
        <w:tc>
          <w:tcPr>
            <w:tcW w:w="1666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Coord. Administrativo</w:t>
            </w:r>
          </w:p>
        </w:tc>
        <w:tc>
          <w:tcPr>
            <w:tcW w:w="1701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1633" w:type="pct"/>
          </w:tcPr>
          <w:p w:rsidR="008B4754" w:rsidRPr="00E872BC" w:rsidRDefault="008B4754" w:rsidP="008B4754">
            <w:pPr>
              <w:pStyle w:val="Sangra2detindependien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E872BC">
              <w:rPr>
                <w:rFonts w:ascii="Arial" w:hAnsi="Arial" w:cs="Arial"/>
                <w:sz w:val="24"/>
                <w:szCs w:val="24"/>
              </w:rPr>
              <w:t xml:space="preserve">Gerente </w:t>
            </w:r>
          </w:p>
        </w:tc>
      </w:tr>
    </w:tbl>
    <w:p w:rsidR="007F39F1" w:rsidRPr="009468A8" w:rsidRDefault="007F39F1" w:rsidP="007F39F1">
      <w:pPr>
        <w:pStyle w:val="Textoindependiente"/>
        <w:spacing w:before="1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  <w:bookmarkStart w:id="9" w:name="6._MARCO_LEGAL"/>
      <w:bookmarkStart w:id="10" w:name="_bookmark5"/>
      <w:bookmarkEnd w:id="9"/>
      <w:bookmarkEnd w:id="10"/>
      <w:r>
        <w:rPr>
          <w:lang w:val="es-CO"/>
        </w:rPr>
        <w:t xml:space="preserve"> </w:t>
      </w:r>
    </w:p>
    <w:p w:rsidR="007F39F1" w:rsidRDefault="007F39F1" w:rsidP="007F39F1">
      <w:pPr>
        <w:pStyle w:val="Textoindependiente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</w:p>
    <w:p w:rsidR="008B4754" w:rsidRDefault="008B4754" w:rsidP="007F39F1">
      <w:pPr>
        <w:pStyle w:val="Textoindependiente"/>
        <w:rPr>
          <w:lang w:val="es-CO"/>
        </w:rPr>
      </w:pPr>
      <w:r>
        <w:rPr>
          <w:lang w:val="es-CO"/>
        </w:rPr>
        <w:t xml:space="preserve">      </w:t>
      </w:r>
    </w:p>
    <w:sectPr w:rsidR="008B4754">
      <w:pgSz w:w="12250" w:h="15850"/>
      <w:pgMar w:top="2140" w:right="0" w:bottom="1560" w:left="0" w:header="597" w:footer="13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414" w:rsidRDefault="000D0414" w:rsidP="007F39F1">
      <w:r>
        <w:separator/>
      </w:r>
    </w:p>
  </w:endnote>
  <w:endnote w:type="continuationSeparator" w:id="0">
    <w:p w:rsidR="000D0414" w:rsidRDefault="000D0414" w:rsidP="007F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5EF" w:rsidRDefault="007F39F1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6882130</wp:posOffset>
              </wp:positionH>
              <wp:positionV relativeFrom="page">
                <wp:posOffset>9046210</wp:posOffset>
              </wp:positionV>
              <wp:extent cx="107315" cy="127000"/>
              <wp:effectExtent l="0" t="0" r="1905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25EF" w:rsidRDefault="000D0414">
                          <w:pPr>
                            <w:spacing w:line="183" w:lineRule="exact"/>
                            <w:ind w:left="4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541.9pt;margin-top:712.3pt;width:8.45pt;height:1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" filled="f" stroked="f">
              <v:textbox inset="0,0,0,0">
                <w:txbxContent>
                  <w:p w:rsidR="008625EF" w:rsidRDefault="006C6F5F">
                    <w:pPr>
                      <w:spacing w:line="183" w:lineRule="exact"/>
                      <w:ind w:left="40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414" w:rsidRDefault="000D0414" w:rsidP="007F39F1">
      <w:r>
        <w:separator/>
      </w:r>
    </w:p>
  </w:footnote>
  <w:footnote w:type="continuationSeparator" w:id="0">
    <w:p w:rsidR="000D0414" w:rsidRDefault="000D0414" w:rsidP="007F39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09" w:type="pct"/>
      <w:tblInd w:w="9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2"/>
      <w:gridCol w:w="981"/>
      <w:gridCol w:w="2848"/>
      <w:gridCol w:w="641"/>
      <w:gridCol w:w="410"/>
      <w:gridCol w:w="437"/>
      <w:gridCol w:w="437"/>
      <w:gridCol w:w="948"/>
    </w:tblGrid>
    <w:tr w:rsidR="00EF0D56" w:rsidTr="00F21CDF">
      <w:trPr>
        <w:cantSplit/>
        <w:trHeight w:val="441"/>
      </w:trPr>
      <w:tc>
        <w:tcPr>
          <w:tcW w:w="1748" w:type="pct"/>
          <w:vMerge w:val="restart"/>
          <w:vAlign w:val="center"/>
        </w:tcPr>
        <w:p w:rsidR="00F21CDF" w:rsidRDefault="00EF0D56" w:rsidP="00F21CDF">
          <w:pPr>
            <w:pStyle w:val="Encabezado"/>
            <w:ind w:right="360"/>
            <w:jc w:val="center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140970</wp:posOffset>
                </wp:positionH>
                <wp:positionV relativeFrom="paragraph">
                  <wp:posOffset>40640</wp:posOffset>
                </wp:positionV>
                <wp:extent cx="1885950" cy="82677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ervibun 2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50" cy="826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76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TIPO</w:t>
          </w:r>
        </w:p>
      </w:tc>
      <w:tc>
        <w:tcPr>
          <w:tcW w:w="1382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PROCEDIMIENTO</w:t>
          </w:r>
        </w:p>
      </w:tc>
      <w:tc>
        <w:tcPr>
          <w:tcW w:w="510" w:type="pct"/>
          <w:gridSpan w:val="2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CODIGO</w:t>
          </w:r>
        </w:p>
      </w:tc>
      <w:tc>
        <w:tcPr>
          <w:tcW w:w="884" w:type="pct"/>
          <w:gridSpan w:val="3"/>
          <w:vAlign w:val="center"/>
        </w:tcPr>
        <w:p w:rsidR="00F21CDF" w:rsidRPr="000A3FA3" w:rsidRDefault="00F21CDF" w:rsidP="00F21CDF">
          <w:pPr>
            <w:pStyle w:val="Encabezado"/>
            <w:spacing w:line="360" w:lineRule="auto"/>
            <w:jc w:val="center"/>
            <w:rPr>
              <w:b/>
              <w:color w:val="000000" w:themeColor="text1"/>
              <w:lang w:val="es-ES"/>
            </w:rPr>
          </w:pPr>
          <w:r>
            <w:rPr>
              <w:b/>
              <w:color w:val="000000" w:themeColor="text1"/>
              <w:lang w:val="es-ES"/>
            </w:rPr>
            <w:t>SB-017</w:t>
          </w:r>
        </w:p>
      </w:tc>
    </w:tr>
    <w:tr w:rsidR="00EF0D56" w:rsidTr="00F21CDF">
      <w:trPr>
        <w:cantSplit/>
        <w:trHeight w:val="452"/>
      </w:trPr>
      <w:tc>
        <w:tcPr>
          <w:tcW w:w="1748" w:type="pct"/>
          <w:vMerge/>
          <w:vAlign w:val="center"/>
        </w:tcPr>
        <w:p w:rsidR="00F21CDF" w:rsidRDefault="00F21CDF" w:rsidP="00F21CDF">
          <w:pPr>
            <w:pStyle w:val="Encabezado"/>
            <w:jc w:val="center"/>
            <w:rPr>
              <w:lang w:val="es-ES"/>
            </w:rPr>
          </w:pPr>
        </w:p>
      </w:tc>
      <w:tc>
        <w:tcPr>
          <w:tcW w:w="476" w:type="pct"/>
          <w:vMerge w:val="restar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TITULO</w:t>
          </w:r>
        </w:p>
      </w:tc>
      <w:tc>
        <w:tcPr>
          <w:tcW w:w="1382" w:type="pct"/>
          <w:vMerge w:val="restar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INDUCCION Y REINDUCCION</w:t>
          </w:r>
        </w:p>
      </w:tc>
      <w:tc>
        <w:tcPr>
          <w:tcW w:w="311" w:type="pct"/>
        </w:tcPr>
        <w:p w:rsidR="00F21CDF" w:rsidRDefault="00F21CDF" w:rsidP="00F21CDF">
          <w:pPr>
            <w:pStyle w:val="Encabezado"/>
            <w:spacing w:line="360" w:lineRule="auto"/>
            <w:rPr>
              <w:b/>
              <w:sz w:val="18"/>
            </w:rPr>
          </w:pPr>
          <w:r>
            <w:rPr>
              <w:b/>
              <w:sz w:val="18"/>
            </w:rPr>
            <w:t>No. REV.</w:t>
          </w:r>
        </w:p>
      </w:tc>
      <w:tc>
        <w:tcPr>
          <w:tcW w:w="199" w:type="pct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1</w:t>
          </w:r>
        </w:p>
      </w:tc>
      <w:tc>
        <w:tcPr>
          <w:tcW w:w="884" w:type="pct"/>
          <w:gridSpan w:val="3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</w:pPr>
          <w:r>
            <w:rPr>
              <w:b/>
              <w:sz w:val="16"/>
            </w:rPr>
            <w:t xml:space="preserve">PAG.  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F0D5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 w:rsidRPr="00043793">
            <w:rPr>
              <w:rStyle w:val="Nmerodepgina"/>
            </w:rPr>
            <w:fldChar w:fldCharType="begin"/>
          </w:r>
          <w:r w:rsidRPr="00043793">
            <w:rPr>
              <w:rStyle w:val="Nmerodepgina"/>
            </w:rPr>
            <w:instrText>PAGE   \* MERGEFORMAT</w:instrText>
          </w:r>
          <w:r w:rsidRPr="00043793">
            <w:rPr>
              <w:rStyle w:val="Nmerodepgina"/>
            </w:rPr>
            <w:fldChar w:fldCharType="separate"/>
          </w:r>
          <w:r w:rsidR="00EF0D56">
            <w:rPr>
              <w:rStyle w:val="Nmerodepgina"/>
              <w:noProof/>
            </w:rPr>
            <w:t>2</w:t>
          </w:r>
          <w:r w:rsidRPr="00043793">
            <w:rPr>
              <w:rStyle w:val="Nmerodepgina"/>
            </w:rPr>
            <w:fldChar w:fldCharType="end"/>
          </w:r>
        </w:p>
      </w:tc>
    </w:tr>
    <w:tr w:rsidR="00EF0D56" w:rsidTr="00F21CDF">
      <w:trPr>
        <w:cantSplit/>
        <w:trHeight w:val="133"/>
      </w:trPr>
      <w:tc>
        <w:tcPr>
          <w:tcW w:w="1748" w:type="pct"/>
          <w:vMerge/>
        </w:tcPr>
        <w:p w:rsidR="00F21CDF" w:rsidRDefault="00F21CDF" w:rsidP="00F21CDF">
          <w:pPr>
            <w:pStyle w:val="Encabezado"/>
          </w:pPr>
        </w:p>
      </w:tc>
      <w:tc>
        <w:tcPr>
          <w:tcW w:w="476" w:type="pct"/>
          <w:vMerge/>
          <w:vAlign w:val="center"/>
        </w:tcPr>
        <w:p w:rsidR="00F21CDF" w:rsidRDefault="00F21CDF" w:rsidP="00F21CDF">
          <w:pPr>
            <w:pStyle w:val="Encabezado"/>
            <w:spacing w:line="360" w:lineRule="auto"/>
            <w:rPr>
              <w:b/>
              <w:sz w:val="20"/>
            </w:rPr>
          </w:pPr>
        </w:p>
      </w:tc>
      <w:tc>
        <w:tcPr>
          <w:tcW w:w="1382" w:type="pct"/>
          <w:vMerge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24"/>
            </w:rPr>
          </w:pPr>
        </w:p>
      </w:tc>
      <w:tc>
        <w:tcPr>
          <w:tcW w:w="510" w:type="pct"/>
          <w:gridSpan w:val="2"/>
          <w:vAlign w:val="center"/>
        </w:tcPr>
        <w:p w:rsidR="00F21CDF" w:rsidRDefault="00F21CDF" w:rsidP="00F21CDF">
          <w:pPr>
            <w:pStyle w:val="Encabezado"/>
            <w:spacing w:line="360" w:lineRule="auto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FECHA VIGENCIA</w:t>
          </w:r>
        </w:p>
      </w:tc>
      <w:tc>
        <w:tcPr>
          <w:tcW w:w="212" w:type="pct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01</w:t>
          </w:r>
        </w:p>
      </w:tc>
      <w:tc>
        <w:tcPr>
          <w:tcW w:w="212" w:type="pct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rPr>
              <w:b/>
            </w:rPr>
          </w:pPr>
          <w:r>
            <w:rPr>
              <w:b/>
            </w:rPr>
            <w:t>05</w:t>
          </w:r>
        </w:p>
      </w:tc>
      <w:tc>
        <w:tcPr>
          <w:tcW w:w="460" w:type="pct"/>
          <w:vAlign w:val="center"/>
        </w:tcPr>
        <w:p w:rsidR="00F21CDF" w:rsidRPr="00E11426" w:rsidRDefault="00F21CDF" w:rsidP="00F21CDF">
          <w:pPr>
            <w:pStyle w:val="Encabezado"/>
            <w:spacing w:line="360" w:lineRule="auto"/>
            <w:jc w:val="center"/>
            <w:rPr>
              <w:b/>
            </w:rPr>
          </w:pPr>
          <w:r>
            <w:rPr>
              <w:b/>
            </w:rPr>
            <w:t>2017</w:t>
          </w:r>
        </w:p>
      </w:tc>
    </w:tr>
  </w:tbl>
  <w:p w:rsidR="00F21CDF" w:rsidRDefault="00F21CD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509EE"/>
    <w:multiLevelType w:val="multilevel"/>
    <w:tmpl w:val="50C623C8"/>
    <w:lvl w:ilvl="0">
      <w:start w:val="1"/>
      <w:numFmt w:val="decimal"/>
      <w:lvlText w:val="%1."/>
      <w:lvlJc w:val="left"/>
      <w:pPr>
        <w:ind w:left="1701" w:hanging="285"/>
        <w:jc w:val="lef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2269" w:hanging="568"/>
        <w:jc w:val="left"/>
      </w:pPr>
      <w:rPr>
        <w:rFonts w:ascii="Arial" w:eastAsia="Arial" w:hAnsi="Arial" w:cs="Arial" w:hint="default"/>
        <w:b/>
        <w:bCs/>
        <w:spacing w:val="-1"/>
        <w:w w:val="99"/>
        <w:sz w:val="24"/>
        <w:szCs w:val="24"/>
      </w:rPr>
    </w:lvl>
    <w:lvl w:ilvl="2">
      <w:numFmt w:val="bullet"/>
      <w:lvlText w:val="•"/>
      <w:lvlJc w:val="left"/>
      <w:pPr>
        <w:ind w:left="3369" w:hanging="568"/>
      </w:pPr>
      <w:rPr>
        <w:rFonts w:hint="default"/>
      </w:rPr>
    </w:lvl>
    <w:lvl w:ilvl="3">
      <w:numFmt w:val="bullet"/>
      <w:lvlText w:val="•"/>
      <w:lvlJc w:val="left"/>
      <w:pPr>
        <w:ind w:left="4478" w:hanging="568"/>
      </w:pPr>
      <w:rPr>
        <w:rFonts w:hint="default"/>
      </w:rPr>
    </w:lvl>
    <w:lvl w:ilvl="4">
      <w:numFmt w:val="bullet"/>
      <w:lvlText w:val="•"/>
      <w:lvlJc w:val="left"/>
      <w:pPr>
        <w:ind w:left="5587" w:hanging="568"/>
      </w:pPr>
      <w:rPr>
        <w:rFonts w:hint="default"/>
      </w:rPr>
    </w:lvl>
    <w:lvl w:ilvl="5">
      <w:numFmt w:val="bullet"/>
      <w:lvlText w:val="•"/>
      <w:lvlJc w:val="left"/>
      <w:pPr>
        <w:ind w:left="6696" w:hanging="568"/>
      </w:pPr>
      <w:rPr>
        <w:rFonts w:hint="default"/>
      </w:rPr>
    </w:lvl>
    <w:lvl w:ilvl="6">
      <w:numFmt w:val="bullet"/>
      <w:lvlText w:val="•"/>
      <w:lvlJc w:val="left"/>
      <w:pPr>
        <w:ind w:left="7805" w:hanging="568"/>
      </w:pPr>
      <w:rPr>
        <w:rFonts w:hint="default"/>
      </w:rPr>
    </w:lvl>
    <w:lvl w:ilvl="7">
      <w:numFmt w:val="bullet"/>
      <w:lvlText w:val="•"/>
      <w:lvlJc w:val="left"/>
      <w:pPr>
        <w:ind w:left="8914" w:hanging="568"/>
      </w:pPr>
      <w:rPr>
        <w:rFonts w:hint="default"/>
      </w:rPr>
    </w:lvl>
    <w:lvl w:ilvl="8">
      <w:numFmt w:val="bullet"/>
      <w:lvlText w:val="•"/>
      <w:lvlJc w:val="left"/>
      <w:pPr>
        <w:ind w:left="10024" w:hanging="56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9F1"/>
    <w:rsid w:val="00012819"/>
    <w:rsid w:val="000D0414"/>
    <w:rsid w:val="006C6F5F"/>
    <w:rsid w:val="007F39F1"/>
    <w:rsid w:val="008B4754"/>
    <w:rsid w:val="00EF0D56"/>
    <w:rsid w:val="00F2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140B49-EBB6-48C1-8C7F-67345CB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39F1"/>
    <w:pPr>
      <w:widowControl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2">
    <w:name w:val="heading 2"/>
    <w:basedOn w:val="Normal"/>
    <w:link w:val="Ttulo2Car"/>
    <w:uiPriority w:val="1"/>
    <w:qFormat/>
    <w:rsid w:val="007F39F1"/>
    <w:pPr>
      <w:ind w:left="2269" w:hanging="568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7F39F1"/>
    <w:rPr>
      <w:rFonts w:ascii="Arial" w:eastAsia="Arial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7F39F1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9F1"/>
    <w:rPr>
      <w:rFonts w:ascii="Arial" w:eastAsia="Arial" w:hAnsi="Arial" w:cs="Arial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7F39F1"/>
    <w:pPr>
      <w:ind w:left="1701" w:hanging="480"/>
    </w:pPr>
  </w:style>
  <w:style w:type="paragraph" w:styleId="Encabezado">
    <w:name w:val="header"/>
    <w:basedOn w:val="Normal"/>
    <w:link w:val="EncabezadoCar"/>
    <w:unhideWhenUsed/>
    <w:rsid w:val="007F39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39F1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F39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9F1"/>
    <w:rPr>
      <w:rFonts w:ascii="Arial" w:eastAsia="Arial" w:hAnsi="Arial" w:cs="Arial"/>
      <w:lang w:val="en-US"/>
    </w:rPr>
  </w:style>
  <w:style w:type="character" w:styleId="Nmerodepgina">
    <w:name w:val="page number"/>
    <w:semiHidden/>
    <w:rsid w:val="00F21CDF"/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8B4754"/>
    <w:pPr>
      <w:widowControl/>
      <w:spacing w:after="120" w:line="480" w:lineRule="auto"/>
      <w:ind w:left="283"/>
    </w:pPr>
    <w:rPr>
      <w:rFonts w:ascii="Calibri" w:eastAsia="Calibri" w:hAnsi="Calibri" w:cs="Times New Roman"/>
      <w:lang w:val="es-CO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8B475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Seguridad</dc:creator>
  <cp:keywords/>
  <dc:description/>
  <cp:lastModifiedBy>Equipo Seguridad</cp:lastModifiedBy>
  <cp:revision>2</cp:revision>
  <dcterms:created xsi:type="dcterms:W3CDTF">2017-08-30T19:27:00Z</dcterms:created>
  <dcterms:modified xsi:type="dcterms:W3CDTF">2017-08-30T19:27:00Z</dcterms:modified>
</cp:coreProperties>
</file>