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Exposure Category by Gender: Followup Analysis</w:t>
      </w:r>
    </w:p>
    <w:p>
      <w:pPr>
        <w:pStyle w:val="Author"/>
      </w:pPr>
      <w:r>
        <w:t xml:space="preserve">Yash Jaggi</w:t>
      </w:r>
    </w:p>
    <w:bookmarkStart w:id="9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To determine the relationship between gender and the main substance ingested, we stratified exposure counts by gender (Table @ref(tab:gender_by_exposure)). There was no overall systematic difference in exposures between genders.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Category by Gender: Followup Analysis</dc:title>
  <dc:creator>Yash Jaggi</dc:creator>
  <cp:keywords/>
  <dcterms:created xsi:type="dcterms:W3CDTF">2025-10-10T16:54:26Z</dcterms:created>
  <dcterms:modified xsi:type="dcterms:W3CDTF">2025-10-10T16:54:26Z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output">
    <vt:lpwstr/>
  </property>
</Properties>
</file>