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A89" w:rsidRPr="00E613A6" w:rsidRDefault="00835A89" w:rsidP="00835A89">
      <w:pPr>
        <w:rPr>
          <w:b/>
        </w:rPr>
      </w:pPr>
    </w:p>
    <w:tbl>
      <w:tblPr>
        <w:tblW w:w="0" w:type="auto"/>
        <w:tblLook w:val="00BF"/>
      </w:tblPr>
      <w:tblGrid>
        <w:gridCol w:w="4428"/>
        <w:gridCol w:w="4428"/>
      </w:tblGrid>
      <w:tr w:rsidR="00835A89" w:rsidRPr="00541852">
        <w:tc>
          <w:tcPr>
            <w:tcW w:w="4428" w:type="dxa"/>
          </w:tcPr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</w:rPr>
            </w:pPr>
          </w:p>
          <w:tbl>
            <w:tblPr>
              <w:tblW w:w="0" w:type="auto"/>
              <w:tblLook w:val="00BF"/>
            </w:tblPr>
            <w:tblGrid>
              <w:gridCol w:w="780"/>
              <w:gridCol w:w="531"/>
              <w:gridCol w:w="531"/>
              <w:gridCol w:w="531"/>
              <w:gridCol w:w="531"/>
              <w:gridCol w:w="531"/>
              <w:gridCol w:w="349"/>
            </w:tblGrid>
            <w:tr w:rsidR="00835A89" w:rsidRPr="00541852"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</w:tr>
            <w:tr w:rsidR="00835A89" w:rsidRPr="00541852"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.7</w:t>
                  </w:r>
                  <w:r>
                    <w:rPr>
                      <w:rFonts w:asciiTheme="minorHAnsi" w:eastAsiaTheme="minorHAnsi" w:hAnsiTheme="minorHAnsi" w:cstheme="minorBidi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.72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.68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.60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.97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.80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.67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.92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4428" w:type="dxa"/>
          </w:tcPr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  <w:b/>
              </w:rPr>
            </w:pPr>
          </w:p>
          <w:p w:rsidR="00835A89" w:rsidRPr="00541852" w:rsidRDefault="00605D11" w:rsidP="00814A22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Table X</w:t>
            </w:r>
            <w:r w:rsidR="00835A89" w:rsidRPr="00541852">
              <w:rPr>
                <w:rFonts w:asciiTheme="minorHAnsi" w:eastAsiaTheme="minorHAnsi" w:hAnsiTheme="minorHAnsi" w:cstheme="minorBidi"/>
                <w:b/>
              </w:rPr>
              <w:t xml:space="preserve">: </w:t>
            </w:r>
            <w:r>
              <w:rPr>
                <w:rFonts w:asciiTheme="minorHAnsi" w:eastAsiaTheme="minorHAnsi" w:hAnsiTheme="minorHAnsi" w:cstheme="minorBidi"/>
                <w:b/>
              </w:rPr>
              <w:t>Inter-rater reliability on</w:t>
            </w:r>
            <w:r w:rsidR="00835A89" w:rsidRPr="00541852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proofErr w:type="spellStart"/>
            <w:r w:rsidR="00835A89" w:rsidRPr="00541852">
              <w:rPr>
                <w:rFonts w:asciiTheme="minorHAnsi" w:eastAsiaTheme="minorHAnsi" w:hAnsiTheme="minorHAnsi" w:cstheme="minorBidi"/>
                <w:b/>
              </w:rPr>
              <w:t>histologic</w:t>
            </w:r>
            <w:proofErr w:type="spellEnd"/>
            <w:r w:rsidR="00835A89" w:rsidRPr="00541852">
              <w:rPr>
                <w:rFonts w:asciiTheme="minorHAnsi" w:eastAsiaTheme="minorHAnsi" w:hAnsiTheme="minorHAnsi" w:cstheme="minorBidi"/>
                <w:b/>
              </w:rPr>
              <w:t xml:space="preserve"> grading.</w:t>
            </w:r>
            <w:r w:rsidR="00835A89" w:rsidRPr="00541852">
              <w:rPr>
                <w:rFonts w:asciiTheme="minorHAnsi" w:eastAsiaTheme="minorHAnsi" w:hAnsiTheme="minorHAnsi" w:cstheme="minorBidi"/>
              </w:rPr>
              <w:t xml:space="preserve"> For each pair of raters, agreement is</w:t>
            </w:r>
            <w:r>
              <w:rPr>
                <w:rFonts w:asciiTheme="minorHAnsi" w:eastAsiaTheme="minorHAnsi" w:hAnsiTheme="minorHAnsi" w:cstheme="minorBidi"/>
              </w:rPr>
              <w:t xml:space="preserve"> Cohen’s kappa. </w:t>
            </w:r>
            <w:r w:rsidR="00835A89" w:rsidRPr="00541852">
              <w:rPr>
                <w:rFonts w:asciiTheme="minorHAnsi" w:eastAsiaTheme="minorHAnsi" w:hAnsiTheme="minorHAnsi" w:cstheme="minorBidi"/>
              </w:rPr>
              <w:t>Averag</w:t>
            </w:r>
            <w:r w:rsidR="00835A89">
              <w:rPr>
                <w:rFonts w:asciiTheme="minorHAnsi" w:eastAsiaTheme="minorHAnsi" w:hAnsiTheme="minorHAnsi" w:cstheme="minorBidi"/>
              </w:rPr>
              <w:t>e inter-rater agreement was 0.81</w:t>
            </w:r>
            <w:r w:rsidR="00835A89"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r w:rsidR="00835A89" w:rsidRPr="00541852">
              <w:rPr>
                <w:rFonts w:asciiTheme="minorHAnsi" w:eastAsiaTheme="minorHAnsi" w:hAnsiTheme="minorHAnsi" w:cstheme="minorBidi"/>
              </w:rPr>
              <w:sym w:font="Symbol" w:char="F0B1"/>
            </w:r>
            <w:r w:rsidR="00835A89">
              <w:rPr>
                <w:rFonts w:asciiTheme="minorHAnsi" w:eastAsiaTheme="minorHAnsi" w:hAnsiTheme="minorHAnsi" w:cstheme="minorBidi"/>
              </w:rPr>
              <w:t xml:space="preserve"> 0.07</w:t>
            </w:r>
            <w:r w:rsidR="00835A89" w:rsidRPr="00541852">
              <w:rPr>
                <w:rFonts w:asciiTheme="minorHAnsi" w:eastAsiaTheme="minorHAnsi" w:hAnsiTheme="minorHAnsi" w:cstheme="minorBidi"/>
              </w:rPr>
              <w:t xml:space="preserve">, expressed as median </w:t>
            </w:r>
            <w:r w:rsidR="00835A89" w:rsidRPr="00541852">
              <w:rPr>
                <w:rFonts w:asciiTheme="minorHAnsi" w:eastAsiaTheme="minorHAnsi" w:hAnsiTheme="minorHAnsi" w:cstheme="minorBidi"/>
              </w:rPr>
              <w:sym w:font="Symbol" w:char="F0B1"/>
            </w:r>
            <w:r w:rsidR="00835A89"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="00835A89" w:rsidRPr="00541852">
              <w:rPr>
                <w:rFonts w:asciiTheme="minorHAnsi" w:eastAsiaTheme="minorHAnsi" w:hAnsiTheme="minorHAnsi" w:cstheme="minorBidi"/>
              </w:rPr>
              <w:t>interquartile</w:t>
            </w:r>
            <w:proofErr w:type="spellEnd"/>
            <w:r w:rsidR="00835A89" w:rsidRPr="00541852">
              <w:rPr>
                <w:rFonts w:asciiTheme="minorHAnsi" w:eastAsiaTheme="minorHAnsi" w:hAnsiTheme="minorHAnsi" w:cstheme="minorBidi"/>
              </w:rPr>
              <w:t xml:space="preserve"> range.</w:t>
            </w:r>
          </w:p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835A89" w:rsidRPr="00E91FEE" w:rsidRDefault="00835A89" w:rsidP="00835A89"/>
    <w:p w:rsidR="00835A89" w:rsidRPr="00A20DB7" w:rsidRDefault="00835A89" w:rsidP="00835A89">
      <w:pPr>
        <w:rPr>
          <w:b/>
        </w:rPr>
      </w:pPr>
    </w:p>
    <w:tbl>
      <w:tblPr>
        <w:tblW w:w="0" w:type="auto"/>
        <w:tblLook w:val="00BF"/>
      </w:tblPr>
      <w:tblGrid>
        <w:gridCol w:w="4428"/>
        <w:gridCol w:w="4428"/>
      </w:tblGrid>
      <w:tr w:rsidR="00835A89" w:rsidRPr="00541852">
        <w:tc>
          <w:tcPr>
            <w:tcW w:w="4428" w:type="dxa"/>
          </w:tcPr>
          <w:p w:rsidR="00835A89" w:rsidRPr="00541852" w:rsidRDefault="00835A89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(-) IHC</w:t>
            </w:r>
          </w:p>
          <w:tbl>
            <w:tblPr>
              <w:tblW w:w="0" w:type="auto"/>
              <w:tblLook w:val="00BF"/>
            </w:tblPr>
            <w:tblGrid>
              <w:gridCol w:w="780"/>
              <w:gridCol w:w="531"/>
              <w:gridCol w:w="531"/>
              <w:gridCol w:w="531"/>
              <w:gridCol w:w="531"/>
              <w:gridCol w:w="531"/>
              <w:gridCol w:w="349"/>
            </w:tblGrid>
            <w:tr w:rsidR="00835A89" w:rsidRPr="00541852"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</w:tr>
            <w:tr w:rsidR="00835A89" w:rsidRPr="00541852"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93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86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62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59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.75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.93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.93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.89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.64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90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.86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.89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.73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.89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:rsidR="00835A89" w:rsidRPr="00541852" w:rsidRDefault="00835A89" w:rsidP="004F1205">
            <w:pPr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4428" w:type="dxa"/>
          </w:tcPr>
          <w:p w:rsidR="00835A89" w:rsidRPr="00541852" w:rsidRDefault="00835A89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(+) IHC</w:t>
            </w:r>
          </w:p>
          <w:tbl>
            <w:tblPr>
              <w:tblW w:w="0" w:type="auto"/>
              <w:tblLook w:val="00BF"/>
            </w:tblPr>
            <w:tblGrid>
              <w:gridCol w:w="780"/>
              <w:gridCol w:w="531"/>
              <w:gridCol w:w="531"/>
              <w:gridCol w:w="531"/>
              <w:gridCol w:w="531"/>
              <w:gridCol w:w="531"/>
              <w:gridCol w:w="349"/>
            </w:tblGrid>
            <w:tr w:rsidR="00835A89" w:rsidRPr="00541852"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Rater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</w:tr>
            <w:tr w:rsidR="00835A89" w:rsidRPr="00541852"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.83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61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77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42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.55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.67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.69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.91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.69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.48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  <w:tr w:rsidR="00835A89" w:rsidRPr="00541852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72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.57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.40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.27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.65</w:t>
                  </w:r>
                </w:p>
              </w:tc>
              <w:tc>
                <w:tcPr>
                  <w:tcW w:w="0" w:type="auto"/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</w:p>
              </w:tc>
            </w:tr>
          </w:tbl>
          <w:p w:rsidR="00835A89" w:rsidRPr="00541852" w:rsidRDefault="00835A89" w:rsidP="004F1205">
            <w:pPr>
              <w:rPr>
                <w:rFonts w:asciiTheme="minorHAnsi" w:eastAsiaTheme="minorHAnsi" w:hAnsiTheme="minorHAnsi" w:cstheme="minorBidi"/>
                <w:b/>
              </w:rPr>
            </w:pPr>
          </w:p>
        </w:tc>
      </w:tr>
      <w:tr w:rsidR="00835A89" w:rsidRPr="00541852">
        <w:tc>
          <w:tcPr>
            <w:tcW w:w="8856" w:type="dxa"/>
            <w:gridSpan w:val="2"/>
          </w:tcPr>
          <w:p w:rsidR="00835A89" w:rsidRPr="00EC2E54" w:rsidRDefault="00605D11" w:rsidP="009F20D7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Table X</w:t>
            </w:r>
            <w:r w:rsidR="00835A89" w:rsidRPr="00541852">
              <w:rPr>
                <w:rFonts w:asciiTheme="minorHAnsi" w:eastAsiaTheme="minorHAnsi" w:hAnsiTheme="minorHAnsi" w:cstheme="minorBidi"/>
                <w:b/>
              </w:rPr>
              <w:t>:  Inter-rate</w:t>
            </w:r>
            <w:r w:rsidR="009F20D7">
              <w:rPr>
                <w:rFonts w:asciiTheme="minorHAnsi" w:eastAsiaTheme="minorHAnsi" w:hAnsiTheme="minorHAnsi" w:cstheme="minorBidi"/>
                <w:b/>
              </w:rPr>
              <w:t xml:space="preserve">r reliability for assessing </w:t>
            </w:r>
            <w:proofErr w:type="spellStart"/>
            <w:r w:rsidR="009F20D7">
              <w:rPr>
                <w:rFonts w:asciiTheme="minorHAnsi" w:eastAsiaTheme="minorHAnsi" w:hAnsiTheme="minorHAnsi" w:cstheme="minorBidi"/>
                <w:b/>
              </w:rPr>
              <w:t>lymphovascular</w:t>
            </w:r>
            <w:proofErr w:type="spellEnd"/>
            <w:r w:rsidR="009F20D7">
              <w:rPr>
                <w:rFonts w:asciiTheme="minorHAnsi" w:eastAsiaTheme="minorHAnsi" w:hAnsiTheme="minorHAnsi" w:cstheme="minorBidi"/>
                <w:b/>
              </w:rPr>
              <w:t xml:space="preserve"> space invasion</w:t>
            </w:r>
            <w:r w:rsidR="00835A89" w:rsidRPr="00541852">
              <w:rPr>
                <w:rFonts w:asciiTheme="minorHAnsi" w:eastAsiaTheme="minorHAnsi" w:hAnsiTheme="minorHAnsi" w:cstheme="minorBidi"/>
                <w:b/>
              </w:rPr>
              <w:t xml:space="preserve"> with</w:t>
            </w:r>
            <w:r w:rsidR="00835A89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="009F20D7">
              <w:rPr>
                <w:rFonts w:asciiTheme="minorHAnsi" w:eastAsiaTheme="minorHAnsi" w:hAnsiTheme="minorHAnsi" w:cstheme="minorBidi"/>
                <w:b/>
              </w:rPr>
              <w:t xml:space="preserve">(+) </w:t>
            </w:r>
            <w:r w:rsidR="00835A89">
              <w:rPr>
                <w:rFonts w:asciiTheme="minorHAnsi" w:eastAsiaTheme="minorHAnsi" w:hAnsiTheme="minorHAnsi" w:cstheme="minorBidi"/>
                <w:b/>
              </w:rPr>
              <w:t xml:space="preserve">and without </w:t>
            </w:r>
            <w:r w:rsidR="009F20D7">
              <w:rPr>
                <w:rFonts w:asciiTheme="minorHAnsi" w:eastAsiaTheme="minorHAnsi" w:hAnsiTheme="minorHAnsi" w:cstheme="minorBidi"/>
                <w:b/>
              </w:rPr>
              <w:t xml:space="preserve">(-) </w:t>
            </w:r>
            <w:proofErr w:type="spellStart"/>
            <w:r w:rsidR="00835A89">
              <w:rPr>
                <w:rFonts w:asciiTheme="minorHAnsi" w:eastAsiaTheme="minorHAnsi" w:hAnsiTheme="minorHAnsi" w:cstheme="minorBidi"/>
                <w:b/>
              </w:rPr>
              <w:t>immunohistochemisty</w:t>
            </w:r>
            <w:proofErr w:type="spellEnd"/>
            <w:r w:rsidR="009F20D7">
              <w:rPr>
                <w:rFonts w:asciiTheme="minorHAnsi" w:eastAsiaTheme="minorHAnsi" w:hAnsiTheme="minorHAnsi" w:cstheme="minorBidi"/>
                <w:b/>
              </w:rPr>
              <w:t xml:space="preserve"> (IHC)</w:t>
            </w:r>
            <w:r w:rsidR="00835A89" w:rsidRPr="00541852">
              <w:rPr>
                <w:rFonts w:asciiTheme="minorHAnsi" w:eastAsiaTheme="minorHAnsi" w:hAnsiTheme="minorHAnsi" w:cstheme="minorBidi"/>
                <w:b/>
              </w:rPr>
              <w:t>.</w:t>
            </w:r>
            <w:r w:rsidR="00835A89">
              <w:rPr>
                <w:rFonts w:asciiTheme="minorHAnsi" w:eastAsiaTheme="minorHAnsi" w:hAnsiTheme="minorHAnsi" w:cstheme="minorBidi"/>
                <w:b/>
              </w:rPr>
              <w:t xml:space="preserve"> </w:t>
            </w:r>
            <w:r w:rsidR="00835A89">
              <w:rPr>
                <w:rFonts w:asciiTheme="minorHAnsi" w:eastAsiaTheme="minorHAnsi" w:hAnsiTheme="minorHAnsi" w:cstheme="minorBidi"/>
              </w:rPr>
              <w:t>Average inter-rater reliability was 0.65</w:t>
            </w:r>
            <w:r w:rsidR="00835A89"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r w:rsidR="00835A89" w:rsidRPr="00541852">
              <w:rPr>
                <w:rFonts w:asciiTheme="minorHAnsi" w:eastAsiaTheme="minorHAnsi" w:hAnsiTheme="minorHAnsi" w:cstheme="minorBidi"/>
              </w:rPr>
              <w:sym w:font="Symbol" w:char="F0B1"/>
            </w:r>
            <w:r w:rsidR="00835A89">
              <w:rPr>
                <w:rFonts w:asciiTheme="minorHAnsi" w:eastAsiaTheme="minorHAnsi" w:hAnsiTheme="minorHAnsi" w:cstheme="minorBidi"/>
              </w:rPr>
              <w:t xml:space="preserve"> 0.12</w:t>
            </w:r>
            <w:r w:rsidR="009F20D7">
              <w:rPr>
                <w:rFonts w:asciiTheme="minorHAnsi" w:eastAsiaTheme="minorHAnsi" w:hAnsiTheme="minorHAnsi" w:cstheme="minorBidi"/>
              </w:rPr>
              <w:t xml:space="preserve"> with IHC; 0.86</w:t>
            </w:r>
            <w:r w:rsidR="009F20D7"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r w:rsidR="009F20D7" w:rsidRPr="00541852">
              <w:rPr>
                <w:rFonts w:asciiTheme="minorHAnsi" w:eastAsiaTheme="minorHAnsi" w:hAnsiTheme="minorHAnsi" w:cstheme="minorBidi"/>
              </w:rPr>
              <w:sym w:font="Symbol" w:char="F0B1"/>
            </w:r>
            <w:r w:rsidR="009F20D7">
              <w:rPr>
                <w:rFonts w:asciiTheme="minorHAnsi" w:eastAsiaTheme="minorHAnsi" w:hAnsiTheme="minorHAnsi" w:cstheme="minorBidi"/>
              </w:rPr>
              <w:t xml:space="preserve"> 0.08 without IHC</w:t>
            </w:r>
          </w:p>
        </w:tc>
      </w:tr>
    </w:tbl>
    <w:p w:rsidR="00835A89" w:rsidRDefault="00835A89" w:rsidP="00835A89">
      <w:pPr>
        <w:rPr>
          <w:b/>
        </w:rPr>
      </w:pPr>
    </w:p>
    <w:tbl>
      <w:tblPr>
        <w:tblW w:w="0" w:type="auto"/>
        <w:tblLook w:val="00BF"/>
      </w:tblPr>
      <w:tblGrid>
        <w:gridCol w:w="3168"/>
        <w:gridCol w:w="5688"/>
      </w:tblGrid>
      <w:tr w:rsidR="00835A89" w:rsidRPr="00541852" w:rsidTr="0076363C">
        <w:tc>
          <w:tcPr>
            <w:tcW w:w="3168" w:type="dxa"/>
          </w:tcPr>
          <w:p w:rsidR="00835A89" w:rsidRPr="00541852" w:rsidRDefault="0076363C" w:rsidP="00814A22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  <w:tbl>
            <w:tblPr>
              <w:tblW w:w="0" w:type="auto"/>
              <w:jc w:val="center"/>
              <w:tblLook w:val="00BF"/>
            </w:tblPr>
            <w:tblGrid>
              <w:gridCol w:w="349"/>
              <w:gridCol w:w="531"/>
            </w:tblGrid>
            <w:tr w:rsidR="00835A89" w:rsidRPr="00541852">
              <w:trPr>
                <w:jc w:val="center"/>
              </w:trPr>
              <w:tc>
                <w:tcPr>
                  <w:tcW w:w="0" w:type="auto"/>
                  <w:gridSpan w:val="2"/>
                  <w:tcBorders>
                    <w:left w:val="nil"/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Rater</w:t>
                  </w:r>
                </w:p>
              </w:tc>
            </w:tr>
            <w:tr w:rsidR="00835A89" w:rsidRPr="00541852" w:rsidTr="0076363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835A89" w:rsidRPr="00541852" w:rsidRDefault="00835A89" w:rsidP="0076363C">
                  <w:pPr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835A89" w:rsidRPr="00541852" w:rsidRDefault="00835A89" w:rsidP="0076363C">
                  <w:pPr>
                    <w:jc w:val="center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.63</w:t>
                  </w:r>
                </w:p>
              </w:tc>
            </w:tr>
            <w:tr w:rsidR="00835A89" w:rsidRPr="00541852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.</w:t>
                  </w:r>
                  <w:r>
                    <w:rPr>
                      <w:rFonts w:asciiTheme="minorHAnsi" w:eastAsiaTheme="minorHAnsi" w:hAnsiTheme="minorHAnsi" w:cstheme="minorBidi"/>
                    </w:rPr>
                    <w:t>39</w:t>
                  </w:r>
                </w:p>
              </w:tc>
            </w:tr>
            <w:tr w:rsidR="00835A89" w:rsidRPr="00541852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.43</w:t>
                  </w:r>
                </w:p>
              </w:tc>
            </w:tr>
            <w:tr w:rsidR="00835A89" w:rsidRPr="00541852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.55</w:t>
                  </w:r>
                </w:p>
              </w:tc>
            </w:tr>
            <w:tr w:rsidR="00835A89" w:rsidRPr="00541852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.46</w:t>
                  </w:r>
                </w:p>
              </w:tc>
            </w:tr>
            <w:tr w:rsidR="00835A89" w:rsidRPr="00541852">
              <w:trPr>
                <w:jc w:val="center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 w:rsidRPr="00541852">
                    <w:rPr>
                      <w:rFonts w:asciiTheme="minorHAnsi" w:eastAsiaTheme="minorHAnsi" w:hAnsiTheme="minorHAnsi" w:cstheme="minorBidi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835A89" w:rsidRPr="00541852" w:rsidRDefault="00835A89" w:rsidP="00461A00">
                  <w:pPr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.82</w:t>
                  </w:r>
                </w:p>
              </w:tc>
            </w:tr>
          </w:tbl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  <w:b/>
              </w:rPr>
            </w:pPr>
          </w:p>
        </w:tc>
        <w:tc>
          <w:tcPr>
            <w:tcW w:w="5688" w:type="dxa"/>
          </w:tcPr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  <w:b/>
              </w:rPr>
            </w:pPr>
          </w:p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Table X</w:t>
            </w:r>
            <w:r w:rsidRPr="00541852">
              <w:rPr>
                <w:rFonts w:asciiTheme="minorHAnsi" w:eastAsiaTheme="minorHAnsi" w:hAnsiTheme="minorHAnsi" w:cstheme="minorBidi"/>
                <w:b/>
              </w:rPr>
              <w:t xml:space="preserve">: </w:t>
            </w:r>
            <w:r>
              <w:rPr>
                <w:rFonts w:asciiTheme="minorHAnsi" w:eastAsiaTheme="minorHAnsi" w:hAnsiTheme="minorHAnsi" w:cstheme="minorBidi"/>
                <w:b/>
              </w:rPr>
              <w:t xml:space="preserve"> Intra-rater reliability with and without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</w:rPr>
              <w:t>immunohistochemistry</w:t>
            </w:r>
            <w:proofErr w:type="spellEnd"/>
            <w:r>
              <w:rPr>
                <w:rFonts w:asciiTheme="minorHAnsi" w:eastAsiaTheme="minorHAnsi" w:hAnsiTheme="minorHAnsi" w:cstheme="minorBidi"/>
                <w:b/>
              </w:rPr>
              <w:t xml:space="preserve">. </w:t>
            </w:r>
            <w:r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r w:rsidR="009F20D7">
              <w:rPr>
                <w:rFonts w:asciiTheme="minorHAnsi" w:eastAsiaTheme="minorHAnsi" w:hAnsiTheme="minorHAnsi" w:cstheme="minorBidi"/>
              </w:rPr>
              <w:t xml:space="preserve">Intra-rater reliability between LVSI ratings with and without  </w:t>
            </w:r>
            <w:proofErr w:type="spellStart"/>
            <w:r w:rsidR="009F20D7">
              <w:rPr>
                <w:rFonts w:asciiTheme="minorHAnsi" w:eastAsiaTheme="minorHAnsi" w:hAnsiTheme="minorHAnsi" w:cstheme="minorBidi"/>
              </w:rPr>
              <w:t>immunohistochemical</w:t>
            </w:r>
            <w:proofErr w:type="spellEnd"/>
            <w:r w:rsidR="009F20D7">
              <w:rPr>
                <w:rFonts w:asciiTheme="minorHAnsi" w:eastAsiaTheme="minorHAnsi" w:hAnsiTheme="minorHAnsi" w:cstheme="minorBidi"/>
              </w:rPr>
              <w:t xml:space="preserve"> staining. </w:t>
            </w:r>
            <w:r w:rsidRPr="00541852">
              <w:rPr>
                <w:rFonts w:asciiTheme="minorHAnsi" w:eastAsiaTheme="minorHAnsi" w:hAnsiTheme="minorHAnsi" w:cstheme="minorBidi"/>
              </w:rPr>
              <w:t>Averag</w:t>
            </w:r>
            <w:r>
              <w:rPr>
                <w:rFonts w:asciiTheme="minorHAnsi" w:eastAsiaTheme="minorHAnsi" w:hAnsiTheme="minorHAnsi" w:cstheme="minorBidi"/>
              </w:rPr>
              <w:t xml:space="preserve">e </w:t>
            </w:r>
            <w:r w:rsidR="009F20D7">
              <w:rPr>
                <w:rFonts w:asciiTheme="minorHAnsi" w:eastAsiaTheme="minorHAnsi" w:hAnsiTheme="minorHAnsi" w:cstheme="minorBidi"/>
              </w:rPr>
              <w:t xml:space="preserve">inter-rater reliability </w:t>
            </w:r>
            <w:r>
              <w:rPr>
                <w:rFonts w:asciiTheme="minorHAnsi" w:eastAsiaTheme="minorHAnsi" w:hAnsiTheme="minorHAnsi" w:cstheme="minorBidi"/>
              </w:rPr>
              <w:t>was 0.51</w:t>
            </w:r>
            <w:r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r w:rsidRPr="00541852">
              <w:rPr>
                <w:rFonts w:asciiTheme="minorHAnsi" w:eastAsiaTheme="minorHAnsi" w:hAnsiTheme="minorHAnsi" w:cstheme="minorBidi"/>
              </w:rPr>
              <w:sym w:font="Symbol" w:char="F0B1"/>
            </w:r>
            <w:r>
              <w:rPr>
                <w:rFonts w:asciiTheme="minorHAnsi" w:eastAsiaTheme="minorHAnsi" w:hAnsiTheme="minorHAnsi" w:cstheme="minorBidi"/>
              </w:rPr>
              <w:t xml:space="preserve"> 0.09</w:t>
            </w:r>
            <w:r w:rsidRPr="00541852">
              <w:rPr>
                <w:rFonts w:asciiTheme="minorHAnsi" w:eastAsiaTheme="minorHAnsi" w:hAnsiTheme="minorHAnsi" w:cstheme="minorBidi"/>
              </w:rPr>
              <w:t xml:space="preserve">, expressed as median </w:t>
            </w:r>
            <w:r w:rsidRPr="00541852">
              <w:rPr>
                <w:rFonts w:asciiTheme="minorHAnsi" w:eastAsiaTheme="minorHAnsi" w:hAnsiTheme="minorHAnsi" w:cstheme="minorBidi"/>
              </w:rPr>
              <w:sym w:font="Symbol" w:char="F0B1"/>
            </w:r>
            <w:r w:rsidRPr="00541852"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 w:rsidRPr="00541852">
              <w:rPr>
                <w:rFonts w:asciiTheme="minorHAnsi" w:eastAsiaTheme="minorHAnsi" w:hAnsiTheme="minorHAnsi" w:cstheme="minorBidi"/>
              </w:rPr>
              <w:t>interquartile</w:t>
            </w:r>
            <w:proofErr w:type="spellEnd"/>
            <w:r w:rsidRPr="00541852">
              <w:rPr>
                <w:rFonts w:asciiTheme="minorHAnsi" w:eastAsiaTheme="minorHAnsi" w:hAnsiTheme="minorHAnsi" w:cstheme="minorBidi"/>
              </w:rPr>
              <w:t xml:space="preserve"> range.</w:t>
            </w:r>
          </w:p>
          <w:p w:rsidR="00835A89" w:rsidRPr="00541852" w:rsidRDefault="00835A89" w:rsidP="00814A22">
            <w:pPr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76363C" w:rsidRDefault="0076363C" w:rsidP="00835A89">
      <w:pPr>
        <w:rPr>
          <w:b/>
        </w:rPr>
      </w:pPr>
    </w:p>
    <w:p w:rsidR="0076363C" w:rsidRDefault="0076363C" w:rsidP="00835A89">
      <w:pPr>
        <w:rPr>
          <w:b/>
        </w:rPr>
      </w:pPr>
    </w:p>
    <w:p w:rsidR="0076363C" w:rsidRDefault="0076363C" w:rsidP="00835A89">
      <w:pPr>
        <w:rPr>
          <w:b/>
        </w:rPr>
      </w:pPr>
    </w:p>
    <w:p w:rsidR="0076363C" w:rsidRDefault="0076363C" w:rsidP="00835A89">
      <w:pPr>
        <w:rPr>
          <w:b/>
        </w:rPr>
      </w:pPr>
    </w:p>
    <w:p w:rsidR="0076363C" w:rsidRDefault="0076363C" w:rsidP="00835A89">
      <w:pPr>
        <w:rPr>
          <w:b/>
        </w:rPr>
      </w:pPr>
    </w:p>
    <w:p w:rsidR="0076363C" w:rsidRDefault="0076363C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835A89" w:rsidRPr="00E13289" w:rsidRDefault="00835A89" w:rsidP="00835A89">
      <w:pPr>
        <w:rPr>
          <w:b/>
        </w:rPr>
      </w:pPr>
      <w:r>
        <w:rPr>
          <w:b/>
        </w:rPr>
        <w:t>Comparison of inter-rater reliability across different staining methodologies</w:t>
      </w:r>
    </w:p>
    <w:tbl>
      <w:tblPr>
        <w:tblW w:w="0" w:type="auto"/>
        <w:tblLook w:val="00BF"/>
      </w:tblPr>
      <w:tblGrid>
        <w:gridCol w:w="4781"/>
        <w:gridCol w:w="4075"/>
      </w:tblGrid>
      <w:tr w:rsidR="00835A89" w:rsidRPr="00541852">
        <w:tc>
          <w:tcPr>
            <w:tcW w:w="4428" w:type="dxa"/>
          </w:tcPr>
          <w:p w:rsidR="00835A89" w:rsidRPr="00541852" w:rsidRDefault="00835A89" w:rsidP="004F1205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  <w:noProof/>
              </w:rPr>
              <w:drawing>
                <wp:inline distT="0" distB="0" distL="0" distR="0">
                  <wp:extent cx="2873066" cy="2319867"/>
                  <wp:effectExtent l="25400" t="0" r="0" b="0"/>
                  <wp:docPr id="4" name="Picture 1" descr="Macintosh HD:Users:michaelchary:LVSI:boxplot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ichaelchary:LVSI:boxplot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461" t="2459" r="6422" b="-3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066" cy="23198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835A89" w:rsidRPr="00541852" w:rsidRDefault="00835A89" w:rsidP="0076363C">
            <w:pPr>
              <w:rPr>
                <w:rFonts w:asciiTheme="minorHAnsi" w:eastAsiaTheme="minorHAnsi" w:hAnsiTheme="minorHAnsi" w:cstheme="minorBidi"/>
              </w:rPr>
            </w:pPr>
            <w:r w:rsidRPr="00541852">
              <w:rPr>
                <w:rFonts w:asciiTheme="minorHAnsi" w:eastAsiaTheme="minorHAnsi" w:hAnsiTheme="minorHAnsi" w:cstheme="minorBidi"/>
                <w:b/>
              </w:rPr>
              <w:t xml:space="preserve">Figure X: </w:t>
            </w:r>
            <w:r w:rsidR="0076363C">
              <w:rPr>
                <w:rFonts w:asciiTheme="minorHAnsi" w:eastAsiaTheme="minorHAnsi" w:hAnsiTheme="minorHAnsi" w:cstheme="minorBidi"/>
                <w:b/>
              </w:rPr>
              <w:t>Summary of inter-rater reliability across staining</w:t>
            </w:r>
            <w:r w:rsidRPr="00541852">
              <w:rPr>
                <w:rFonts w:asciiTheme="minorHAnsi" w:eastAsiaTheme="minorHAnsi" w:hAnsiTheme="minorHAnsi" w:cstheme="minorBidi"/>
                <w:b/>
              </w:rPr>
              <w:t xml:space="preserve"> methodologies. </w:t>
            </w:r>
            <w:r w:rsidRPr="00541852">
              <w:rPr>
                <w:rFonts w:asciiTheme="minorHAnsi" w:eastAsiaTheme="minorHAnsi" w:hAnsiTheme="minorHAnsi" w:cstheme="minorBidi"/>
              </w:rPr>
              <w:t xml:space="preserve">Box and whisker plot of </w:t>
            </w:r>
            <w:r w:rsidR="0076363C">
              <w:rPr>
                <w:rFonts w:asciiTheme="minorHAnsi" w:eastAsiaTheme="minorHAnsi" w:hAnsiTheme="minorHAnsi" w:cstheme="minorBidi"/>
              </w:rPr>
              <w:t>Cohen’s</w:t>
            </w:r>
            <w:r>
              <w:rPr>
                <w:rFonts w:asciiTheme="minorHAnsi" w:eastAsiaTheme="minorHAnsi" w:hAnsiTheme="minorHAnsi" w:cstheme="minorBidi"/>
              </w:rPr>
              <w:t xml:space="preserve"> kappa</w:t>
            </w:r>
            <w:r w:rsidR="0076363C">
              <w:rPr>
                <w:rFonts w:asciiTheme="minorHAnsi" w:eastAsiaTheme="minorHAnsi" w:hAnsiTheme="minorHAnsi" w:cstheme="minorBidi"/>
              </w:rPr>
              <w:t xml:space="preserve"> for </w:t>
            </w:r>
            <w:proofErr w:type="spellStart"/>
            <w:r w:rsidR="0076363C">
              <w:rPr>
                <w:rFonts w:asciiTheme="minorHAnsi" w:eastAsiaTheme="minorHAnsi" w:hAnsiTheme="minorHAnsi" w:cstheme="minorBidi"/>
              </w:rPr>
              <w:t>histologic</w:t>
            </w:r>
            <w:proofErr w:type="spellEnd"/>
            <w:r w:rsidR="0076363C">
              <w:rPr>
                <w:rFonts w:asciiTheme="minorHAnsi" w:eastAsiaTheme="minorHAnsi" w:hAnsiTheme="minorHAnsi" w:cstheme="minorBidi"/>
              </w:rPr>
              <w:t xml:space="preserve"> grading, assessment of LVSI without IHC (-IHC), assessment of LVSI with IHC (+IHC) and for intra-rater consistency of LVSI assessment with and without IHC</w:t>
            </w:r>
            <w:r w:rsidRPr="00541852">
              <w:rPr>
                <w:rFonts w:asciiTheme="minorHAnsi" w:eastAsiaTheme="minorHAnsi" w:hAnsiTheme="minorHAnsi" w:cstheme="minorBidi"/>
              </w:rPr>
              <w:t>.</w:t>
            </w:r>
            <w:r>
              <w:rPr>
                <w:rFonts w:asciiTheme="minorHAnsi" w:eastAsiaTheme="minorHAnsi" w:hAnsiTheme="minorHAnsi" w:cstheme="minorBidi"/>
              </w:rPr>
              <w:t xml:space="preserve"> Red line denotes the median. Boxes denote the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interquartile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range. Whiskers denote the 9</w:t>
            </w:r>
            <w:r w:rsidRPr="00541852">
              <w:rPr>
                <w:rFonts w:asciiTheme="minorHAnsi" w:eastAsiaTheme="minorHAnsi" w:hAnsiTheme="minorHAnsi" w:cstheme="minorBidi"/>
              </w:rPr>
              <w:t>5</w:t>
            </w:r>
            <w:r w:rsidRPr="00541852">
              <w:rPr>
                <w:rFonts w:asciiTheme="minorHAnsi" w:eastAsiaTheme="minorHAnsi" w:hAnsiTheme="minorHAnsi" w:cstheme="minorBidi"/>
                <w:vertAlign w:val="superscript"/>
              </w:rPr>
              <w:t>th</w:t>
            </w:r>
            <w:r>
              <w:rPr>
                <w:rFonts w:asciiTheme="minorHAnsi" w:eastAsiaTheme="minorHAnsi" w:hAnsiTheme="minorHAnsi" w:cstheme="minorBidi"/>
              </w:rPr>
              <w:t xml:space="preserve"> and </w:t>
            </w:r>
            <w:r w:rsidRPr="00541852">
              <w:rPr>
                <w:rFonts w:asciiTheme="minorHAnsi" w:eastAsiaTheme="minorHAnsi" w:hAnsiTheme="minorHAnsi" w:cstheme="minorBidi"/>
              </w:rPr>
              <w:t>5</w:t>
            </w:r>
            <w:r w:rsidRPr="00541852">
              <w:rPr>
                <w:rFonts w:asciiTheme="minorHAnsi" w:eastAsiaTheme="minorHAnsi" w:hAnsiTheme="minorHAnsi" w:cstheme="minorBidi"/>
                <w:vertAlign w:val="superscript"/>
              </w:rPr>
              <w:t>th</w:t>
            </w:r>
            <w:r w:rsidRPr="00541852">
              <w:rPr>
                <w:rFonts w:asciiTheme="minorHAnsi" w:eastAsiaTheme="minorHAnsi" w:hAnsiTheme="minorHAnsi" w:cstheme="minorBidi"/>
              </w:rPr>
              <w:t xml:space="preserve"> percentiles.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</w:tbl>
    <w:p w:rsidR="00835A89" w:rsidRDefault="00835A89" w:rsidP="00835A89">
      <w:pPr>
        <w:rPr>
          <w:b/>
        </w:rPr>
      </w:pPr>
    </w:p>
    <w:p w:rsidR="00835A89" w:rsidRDefault="00835A89" w:rsidP="00835A89">
      <w:pPr>
        <w:rPr>
          <w:b/>
        </w:rPr>
      </w:pPr>
    </w:p>
    <w:p w:rsidR="001551FE" w:rsidRDefault="0076363C"/>
    <w:sectPr w:rsidR="001551FE" w:rsidSect="001551F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1C72"/>
    <w:multiLevelType w:val="hybridMultilevel"/>
    <w:tmpl w:val="E412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77043"/>
    <w:multiLevelType w:val="hybridMultilevel"/>
    <w:tmpl w:val="09EC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E2435"/>
    <w:multiLevelType w:val="hybridMultilevel"/>
    <w:tmpl w:val="7CA2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5A89"/>
    <w:rsid w:val="00605D11"/>
    <w:rsid w:val="0076363C"/>
    <w:rsid w:val="00835A89"/>
    <w:rsid w:val="009F20D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A89"/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35A89"/>
    <w:pPr>
      <w:ind w:left="720"/>
      <w:contextualSpacing/>
    </w:pPr>
  </w:style>
  <w:style w:type="table" w:styleId="TableGrid">
    <w:name w:val="Table Grid"/>
    <w:basedOn w:val="TableNormal"/>
    <w:uiPriority w:val="59"/>
    <w:rsid w:val="00835A89"/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1179</Characters>
  <Application>Microsoft Macintosh Word</Application>
  <DocSecurity>0</DocSecurity>
  <Lines>9</Lines>
  <Paragraphs>2</Paragraphs>
  <ScaleCrop>false</ScaleCrop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Chary</dc:creator>
  <cp:keywords/>
  <cp:lastModifiedBy>Michael Chary</cp:lastModifiedBy>
  <cp:revision>4</cp:revision>
  <dcterms:created xsi:type="dcterms:W3CDTF">2015-02-07T20:15:00Z</dcterms:created>
  <dcterms:modified xsi:type="dcterms:W3CDTF">2015-02-07T20:23:00Z</dcterms:modified>
</cp:coreProperties>
</file>