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Note</w:t>
      </w:r>
    </w:p>
    <w:tbl>
      <w:tblPr>
        <w:tblW w:type="auto" w:w="0"/>
        <w:tblLook w:firstColumn="1" w:firstRow="1" w:lastColumn="0" w:lastRow="0" w:noHBand="0" w:noVBand="1" w:val="04A0"/>
      </w:tblPr>
      <w:tblGrid>
        <w:gridCol w:w="2160"/>
        <w:gridCol w:w="2160"/>
        <w:gridCol w:w="2160"/>
        <w:gridCol w:w="2160"/>
      </w:tblGrid>
      <w:tr>
        <w:tc>
          <w:tcPr>
            <w:tcW w:type="dxa" w:w="2160"/>
          </w:tcPr>
          <w:p>
            <w:r>
              <w:t>Department</w:t>
            </w:r>
          </w:p>
        </w:tc>
        <w:tc>
          <w:tcPr>
            <w:tcW w:type="dxa" w:w="2160"/>
          </w:tcPr>
          <w:p>
            <w:r>
              <w:t>R&amp;D</w:t>
            </w:r>
          </w:p>
        </w:tc>
        <w:tc>
          <w:tcPr>
            <w:tcW w:type="dxa" w:w="2160"/>
          </w:tcPr>
          <w:p>
            <w:r>
              <w:t>Position</w:t>
            </w:r>
          </w:p>
        </w:tc>
        <w:tc>
          <w:tcPr>
            <w:tcW w:type="dxa" w:w="2160"/>
          </w:tcPr>
          <w:p>
            <w:r>
              <w:t xml:space="preserve"> Research Fellow</w:t>
            </w:r>
          </w:p>
        </w:tc>
      </w:tr>
      <w:tr>
        <w:tc>
          <w:tcPr>
            <w:tcW w:type="dxa" w:w="2160"/>
          </w:tcPr>
          <w:p>
            <w:r>
              <w:t>ID</w:t>
            </w:r>
          </w:p>
        </w:tc>
        <w:tc>
          <w:tcPr>
            <w:tcW w:type="dxa" w:w="2160"/>
          </w:tcPr>
          <w:p>
            <w:r>
              <w:t xml:space="preserve"> 12</w:t>
            </w:r>
          </w:p>
        </w:tc>
        <w:tc>
          <w:tcPr>
            <w:tcW w:type="dxa" w:w="2160"/>
          </w:tcPr>
          <w:p>
            <w:r>
              <w:t>Name</w:t>
            </w:r>
          </w:p>
        </w:tc>
        <w:tc>
          <w:tcPr>
            <w:tcW w:type="dxa" w:w="2160"/>
          </w:tcPr>
          <w:p>
            <w:r>
              <w:t xml:space="preserve"> mac</w:t>
            </w:r>
          </w:p>
        </w:tc>
      </w:tr>
      <w:tr>
        <w:tc>
          <w:tcPr>
            <w:tcW w:type="dxa" w:w="2160"/>
          </w:tcPr>
          <w:p>
            <w:r>
              <w:t>Date</w:t>
            </w:r>
          </w:p>
        </w:tc>
        <w:tc>
          <w:tcPr>
            <w:tcW w:type="dxa" w:w="2160"/>
          </w:tcPr>
          <w:p>
            <w:r>
              <w:t>2022/1/2</w:t>
            </w:r>
          </w:p>
        </w:tc>
        <w:tc>
          <w:tcPr>
            <w:tcW w:type="dxa" w:w="2160"/>
          </w:tcPr>
          <w:p>
            <w:r>
              <w:t>Place</w:t>
            </w:r>
          </w:p>
        </w:tc>
        <w:tc>
          <w:tcPr>
            <w:tcW w:type="dxa" w:w="2160"/>
          </w:tcPr>
          <w:p>
            <w:r>
              <w:t xml:space="preserve"> office</w:t>
            </w:r>
          </w:p>
        </w:tc>
      </w:tr>
    </w:tbl>
    <w:tbl>
      <w:tblPr>
        <w:tblW w:type="auto" w:w="0"/>
        <w:tblLook w:firstColumn="1" w:firstRow="1" w:lastColumn="0" w:lastRow="0" w:noHBand="0" w:noVBand="1" w:val="04A0"/>
      </w:tblPr>
      <w:tblGrid>
        <w:gridCol w:w="8640"/>
      </w:tblGrid>
      <w:tr>
        <w:tc>
          <w:tcPr>
            <w:tcW w:type="dxa" w:w="8640"/>
          </w:tcPr>
          <w:p>
            <w:r>
              <w:t>Note</w:t>
            </w:r>
          </w:p>
        </w:tc>
      </w:tr>
      <w:tr>
        <w:tc>
          <w:tcPr>
            <w:tcW w:type="dxa" w:w="8640"/>
          </w:tcPr>
          <w:p>
            <w:r>
              <w:t>*문헌조사내용(일부)</w:t>
              <w:br/>
              <w:t>서는 리더십 팀에 전문적인 비즈니스 분석 전문 지식이 필요하고, 조직이 의사 결정을 내리는 방식을 바꿔야 한다는 점이다.데이터 기반 의사 결정 문화2020년 4월 옥스포드 경제연구는 19개국에 걸쳐 조사된 2,000개의 중소기업을 대상으로 인터뷰 조사를 수행하였다. 이 결과 다수가 디지털 전환에 준비되지 않은 상태를 발견했다. 설문 참가자의 약 절반이 팬데믹이 파트너와 신뢰를 구축하는 부분에 문제를 일으켰다고 보고했다. 40% 미만이 분석 기반 의사 결정을 지원하는 데 필요한 모든 데이터를 보유하고 있다고 말했다. 오늘날의 디지털 ...</w:t>
              <w:br/>
              <w:br/>
              <w:t>*주요연구내용(일부)</w:t>
              <w:br/>
              <w:t xml:space="preserve"> 혁신과 성장에 대해 이야기하도록 할 수 있다. 애자일 방법론민첩한 조직에서는 협력적인 접근 방식과 빈번한 회의가 필요한다. 그리고, 학제 간 팀이 아이디어와 정보를 공유한다. 기업은 새로운 접근 방식이나 기술을 신속하게 테스트한 다음 고객 피드백을 기반으로 반복적으로 개선할 수 있는 환경을 조성해야 한다.디지털 기술 환경으로의 전환새로운 기술 기능은 모든 디지털 혁신의 기초를 형성한다. 이상적으로 로드맵에서 이러한 기능을 설명하고 상거래 백본 서비스, 프런트 엔드, 통합 아키텍처, 프런트 엔드 및 백엔드 통합, 개발 및 운영을 위...</w:t>
              <w:br/>
              <w:b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Confirmation</w:t>
            </w:r>
          </w:p>
        </w:tc>
        <w:tc>
          <w:tcPr>
            <w:tcW w:type="dxa" w:w="1728"/>
          </w:tcPr>
          <w:p>
            <w:r>
              <w:t>Position</w:t>
            </w:r>
          </w:p>
        </w:tc>
        <w:tc>
          <w:tcPr>
            <w:tcW w:type="dxa" w:w="1728"/>
          </w:tcPr>
          <w:p>
            <w:r>
              <w:t>R&amp;D</w:t>
            </w:r>
          </w:p>
        </w:tc>
        <w:tc>
          <w:tcPr>
            <w:tcW w:type="dxa" w:w="1728"/>
          </w:tcPr>
          <w:p>
            <w:r>
              <w:t>Name</w:t>
            </w:r>
          </w:p>
        </w:tc>
        <w:tc>
          <w:tcPr>
            <w:tcW w:type="dxa" w:w="1728"/>
          </w:tcPr>
          <w:p>
            <w:r>
              <w:t xml:space="preserve"> mac (Sign)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