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A5F"/>
          <w:sz w:val="34"/>
          <w:szCs w:val="34"/>
        </w:rPr>
        <w:t xml:space="preserve">Measures of Performance and Measures of Effectiveness</w:t>
      </w:r>
    </w:p>
    <w:p>
      <w:pPr>
        <w:spacing w:after="220"/>
        <w:jc w:val="center"/>
      </w:pPr>
      <w:r>
        <w:rPr>
          <w:i/>
          <w:iCs/>
          <w:color w:val="404040"/>
          <w:sz w:val="22"/>
          <w:szCs w:val="22"/>
        </w:rPr>
        <w:t xml:space="preserve">Definitions, Industry Examples, and Practical Assessment Methods</w:t>
      </w:r>
    </w:p>
    <w:p>
      <w:pPr>
        <w:pStyle w:val="Heading1"/>
        <w:spacing w:after="120" w:before="200"/>
      </w:pPr>
      <w:r>
        <w:t xml:space="preserve">1. Formal Definitions and Purpose</w:t>
      </w:r>
    </w:p>
    <w:p>
      <w:pPr>
        <w:pStyle w:val="Heading2"/>
        <w:spacing w:after="80" w:before="160"/>
      </w:pPr>
      <w:r>
        <w:t xml:space="preserve">1.1 Measure of Effectiveness (MOE)</w:t>
      </w:r>
    </w:p>
    <w:p>
      <w:pPr>
        <w:spacing w:after="80" w:line="264"/>
        <w:jc w:val="both"/>
      </w:pPr>
      <w:r>
        <w:t xml:space="preserve">The INCOSE Systems Engineering Handbook defines a Measure of Effectiveness as an operational measure of success closely related to the achievement of the mission or operational objective being evaluated, in the intended operational environment under a specified set of conditions. MOEs are written in the stakeholder's vocabulary—the language of mission outcomes, business value, and user goals—and they are evaluated at the level where the system meets the world. They answer the question "is the system doing the right job?"</w:t>
      </w:r>
    </w:p>
    <w:p>
      <w:pPr>
        <w:spacing w:after="80" w:line="264"/>
        <w:jc w:val="both"/>
      </w:pPr>
      <w:r>
        <w:t xml:space="preserve">MOEs are deliberately independent of the solution. They describe what the operational community needs to be true after the system is fielded, without prescribing how the system delivers it. "Reduce traffic fatalities at signalized intersections by 30%" is an MOE; it would remain valid whether the chosen solution is camera-based enforcement, redesigned signal timing, or autonomous-vehicle infrastructure. Because MOEs measure outcomes rather than mechanisms, they tend to be evaluated in operational testing, fleet deployment, or live field use rather than on a test bench.</w:t>
      </w:r>
    </w:p>
    <w:p>
      <w:pPr>
        <w:pStyle w:val="Heading2"/>
        <w:spacing w:after="80" w:before="160"/>
      </w:pPr>
      <w:r>
        <w:t xml:space="preserve">1.2 Measure of Performance (MOP)</w:t>
      </w:r>
    </w:p>
    <w:p>
      <w:pPr>
        <w:spacing w:after="80" w:line="264"/>
        <w:jc w:val="both"/>
      </w:pPr>
      <w:r>
        <w:t xml:space="preserve">The INCOSE handbook defines a Measure of Performance as a measure that characterizes physical or functional attributes relating to the system operation. MOPs are engineering measures—written in the language of physical quantities, technical specifications, and verifiable system properties. They answer the question "is the system performing as designed?" They are evaluated through analysis, simulation, demonstration, inspection, or testing against documented technical requirements.</w:t>
      </w:r>
    </w:p>
    <w:p>
      <w:pPr>
        <w:spacing w:after="80" w:line="264"/>
        <w:jc w:val="both"/>
      </w:pPr>
      <w:r>
        <w:t xml:space="preserve">MOPs typically support MOEs from below. A single MOE will usually be served by several MOPs that, when met simultaneously, give the system its operational effectiveness. The relationship is causal but not always tightly bounded: a system can hit every MOP target and still fall short on its MOEs if the operational environment or user behavior differs from what designers assumed. This gap—between technically correct and operationally effective—is precisely why both kinds of measure exist.</w:t>
      </w:r>
    </w:p>
    <w:p>
      <w:pPr>
        <w:pStyle w:val="Heading2"/>
        <w:spacing w:after="80" w:before="160"/>
      </w:pPr>
      <w:r>
        <w:t xml:space="preserve">1.3 ISO/IEC/IEEE 15288 Context</w:t>
      </w:r>
    </w:p>
    <w:p>
      <w:pPr>
        <w:spacing w:after="80" w:line="264"/>
        <w:jc w:val="both"/>
      </w:pPr>
      <w:r>
        <w:t xml:space="preserve">ISO/IEC/IEEE 15288 (Systems and software engineering — System life cycle processes) does not coin the terms MOP and MOE, but it establishes the Measurement process and Stakeholder Needs and Requirements Definition process within which these measures live. The standard requires that stakeholder needs be elicited, refined into requirements, and verified through a measurement framework spanning the entire lifecycle. In practice, this maps cleanly: MOEs sit alongside stakeholder needs (operational success measures), while MOPs sit alongside system requirements (technical performance measures). The two-tier structure is what 15288 implicitly mandates and what INCOSE makes explicit.</w:t>
      </w:r>
    </w:p>
    <w:p>
      <w:pPr>
        <w:pStyle w:val="Heading2"/>
        <w:spacing w:after="80" w:before="160"/>
      </w:pPr>
      <w:r>
        <w:t xml:space="preserve">1.4 How They Differ at a Glance</w:t>
      </w:r>
    </w:p>
    <w:tbl>
      <w:tblPr>
        <w:tblW w:type="dxa" w:w="1062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4360"/>
      </w:tblGrid>
      <w:tr>
        <w:trPr>
          <w:tblHeader/>
        </w:trPr>
        <w:tc>
          <w:tcPr>
            <w:tcW w:type="dxa" w:w="19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Aspect</w:t>
            </w:r>
          </w:p>
        </w:tc>
        <w:tc>
          <w:tcPr>
            <w:tcW w:type="dxa" w:w="43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Measure of Effectiveness (MOE)</w:t>
            </w:r>
          </w:p>
        </w:tc>
        <w:tc>
          <w:tcPr>
            <w:tcW w:type="dxa" w:w="43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Measure of Performance (MOP)</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Question answered</w:t>
            </w:r>
          </w:p>
        </w:tc>
        <w:tc>
          <w:tcPr>
            <w:tcW w:type="dxa" w:w="4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Is the system doing the right job?</w:t>
            </w:r>
          </w:p>
        </w:tc>
        <w:tc>
          <w:tcPr>
            <w:tcW w:type="dxa" w:w="4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Is the system performing as designed?</w:t>
            </w:r>
          </w:p>
        </w:tc>
      </w:tr>
      <w:tr>
        <w:trPr>
          <w:tblHeader w:val="false"/>
        </w:trPr>
        <w:tc>
          <w:tcPr>
            <w:tcW w:type="dxa" w:w="19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Vocabulary</w:t>
            </w:r>
          </w:p>
        </w:tc>
        <w:tc>
          <w:tcPr>
            <w:tcW w:type="dxa" w:w="43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Mission, outcome, stakeholder value</w:t>
            </w:r>
          </w:p>
        </w:tc>
        <w:tc>
          <w:tcPr>
            <w:tcW w:type="dxa" w:w="43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Physical units, technical attributes</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Solution-dependence</w:t>
            </w:r>
          </w:p>
        </w:tc>
        <w:tc>
          <w:tcPr>
            <w:tcW w:type="dxa" w:w="4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Independent of solution choice</w:t>
            </w:r>
          </w:p>
        </w:tc>
        <w:tc>
          <w:tcPr>
            <w:tcW w:type="dxa" w:w="4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Specific to the chosen design</w:t>
            </w:r>
          </w:p>
        </w:tc>
      </w:tr>
      <w:tr>
        <w:trPr>
          <w:tblHeader w:val="false"/>
        </w:trPr>
        <w:tc>
          <w:tcPr>
            <w:tcW w:type="dxa" w:w="19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Verification context</w:t>
            </w:r>
          </w:p>
        </w:tc>
        <w:tc>
          <w:tcPr>
            <w:tcW w:type="dxa" w:w="43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Operational environment, fielded use</w:t>
            </w:r>
          </w:p>
        </w:tc>
        <w:tc>
          <w:tcPr>
            <w:tcW w:type="dxa" w:w="43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Bench test, simulation, demonstration</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Owned by</w:t>
            </w:r>
          </w:p>
        </w:tc>
        <w:tc>
          <w:tcPr>
            <w:tcW w:type="dxa" w:w="4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Stakeholders, operators, customers</w:t>
            </w:r>
          </w:p>
        </w:tc>
        <w:tc>
          <w:tcPr>
            <w:tcW w:type="dxa" w:w="4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Engineers, designers, test teams</w:t>
            </w:r>
          </w:p>
        </w:tc>
      </w:tr>
      <w:tr>
        <w:trPr>
          <w:tblHeader w:val="false"/>
        </w:trPr>
        <w:tc>
          <w:tcPr>
            <w:tcW w:type="dxa" w:w="19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Time horizon</w:t>
            </w:r>
          </w:p>
        </w:tc>
        <w:tc>
          <w:tcPr>
            <w:tcW w:type="dxa" w:w="43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Often months or years post-deployment</w:t>
            </w:r>
          </w:p>
        </w:tc>
        <w:tc>
          <w:tcPr>
            <w:tcW w:type="dxa" w:w="43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Available before deployment</w:t>
            </w:r>
          </w:p>
        </w:tc>
      </w:tr>
    </w:tbl>
    <w:p>
      <w:pPr>
        <w:pStyle w:val="Heading1"/>
        <w:spacing w:after="120" w:before="200"/>
      </w:pPr>
      <w:r>
        <w:t xml:space="preserve">2. Ten Examples Across Industries</w:t>
      </w:r>
    </w:p>
    <w:p>
      <w:pPr>
        <w:spacing w:after="80" w:line="264"/>
        <w:jc w:val="both"/>
      </w:pPr>
      <w:r>
        <w:t xml:space="preserve">The table below shows how MOPs and MOEs apply across ten systems drawn from five industries. The contrast in each row makes the boundary concrete: MOPs are what you measure on the system; MOEs are what the system causes to happen in the world.</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300"/>
        <w:gridCol w:w="3460"/>
      </w:tblGrid>
      <w:tr>
        <w:trPr>
          <w:tblHeader/>
        </w:trPr>
        <w:tc>
          <w:tcPr>
            <w:tcW w:type="dxa" w:w="16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Industry</w:t>
            </w:r>
          </w:p>
        </w:tc>
        <w:tc>
          <w:tcPr>
            <w:tcW w:type="dxa" w:w="15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System</w:t>
            </w:r>
          </w:p>
        </w:tc>
        <w:tc>
          <w:tcPr>
            <w:tcW w:type="dxa" w:w="33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Measure of Performance (MOP)</w:t>
            </w:r>
          </w:p>
        </w:tc>
        <w:tc>
          <w:tcPr>
            <w:tcW w:type="dxa" w:w="34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Measure of Effectiveness (MOE)</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Automotive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Airbag system</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Deployment time &lt; 30 ms; inflation pressure within ±10% of specification</w:t>
            </w:r>
          </w:p>
        </w:tc>
        <w:tc>
          <w:tcPr>
            <w:tcW w:type="dxa" w:w="34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Reduction in serious head and chest injury rates in frontal crashes (per NHTSA / Euro NCAP data)</w:t>
            </w:r>
          </w:p>
        </w:tc>
      </w:tr>
      <w:tr>
        <w:trPr>
          <w:tblHeader w:val="false"/>
        </w:trPr>
        <w:tc>
          <w:tcPr>
            <w:tcW w:type="dxa" w:w="16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Automotive</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EV powertrain</w:t>
            </w:r>
          </w:p>
        </w:tc>
        <w:tc>
          <w:tcPr>
            <w:tcW w:type="dxa" w:w="3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Energy consumption 15 kWh/100 km (WLTP); 0–100 km/h in 7.5 s</w:t>
            </w:r>
          </w:p>
        </w:tc>
        <w:tc>
          <w:tcPr>
            <w:tcW w:type="dxa" w:w="34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Customer range satisfaction; reduction in petrol-equivalent CO₂ emissions per vehicle</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Aerospace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Jet engine (commercial)</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Specific fuel consumption 0.55 kg/h/kN at cruise; mean time between failures &gt; 25,000 hours</w:t>
            </w:r>
          </w:p>
        </w:tc>
        <w:tc>
          <w:tcPr>
            <w:tcW w:type="dxa" w:w="34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Airline cost per available seat-mile reduced; on-time departure performance improved</w:t>
            </w:r>
          </w:p>
        </w:tc>
      </w:tr>
      <w:tr>
        <w:trPr>
          <w:tblHeader w:val="false"/>
        </w:trPr>
        <w:tc>
          <w:tcPr>
            <w:tcW w:type="dxa" w:w="16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Aerospace</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Air-defense radar</w:t>
            </w:r>
          </w:p>
        </w:tc>
        <w:tc>
          <w:tcPr>
            <w:tcW w:type="dxa" w:w="3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Detection range 400 km against 1 m² RCS target; track accuracy 50 m at 200 km</w:t>
            </w:r>
          </w:p>
        </w:tc>
        <w:tc>
          <w:tcPr>
            <w:tcW w:type="dxa" w:w="34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Probability of successful threat intercept; mission survivability of protected assets</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Healthcare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MRI scanner</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Field strength 3 Tesla; spatial resolution 0.5 mm; scan time &lt; 20 min for brain protocol</w:t>
            </w:r>
          </w:p>
        </w:tc>
        <w:tc>
          <w:tcPr>
            <w:tcW w:type="dxa" w:w="34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Diagnostic accuracy for tumor detection; reduction in unnecessary biopsies</w:t>
            </w:r>
          </w:p>
        </w:tc>
      </w:tr>
      <w:tr>
        <w:trPr>
          <w:tblHeader w:val="false"/>
        </w:trPr>
        <w:tc>
          <w:tcPr>
            <w:tcW w:type="dxa" w:w="16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Healthcare</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Emergency department workflow system</w:t>
            </w:r>
          </w:p>
        </w:tc>
        <w:tc>
          <w:tcPr>
            <w:tcW w:type="dxa" w:w="3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Average triage time &lt; 8 min; bed assignment &lt; 15 min; system uptime 99.99%</w:t>
            </w:r>
          </w:p>
        </w:tc>
        <w:tc>
          <w:tcPr>
            <w:tcW w:type="dxa" w:w="34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30-day mortality rate; patient satisfaction scores; ambulance diversion hours per month</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Software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Search engine</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Query latency p95 &lt; 200 ms; index refresh &lt; 60 s; throughput 10,000 QPS</w:t>
            </w:r>
          </w:p>
        </w:tc>
        <w:tc>
          <w:tcPr>
            <w:tcW w:type="dxa" w:w="34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Click-through rate on top-three results; user task-completion rate; revenue per query</w:t>
            </w:r>
          </w:p>
        </w:tc>
      </w:tr>
      <w:tr>
        <w:trPr>
          <w:tblHeader w:val="false"/>
        </w:trPr>
        <w:tc>
          <w:tcPr>
            <w:tcW w:type="dxa" w:w="16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Software</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Video streaming platform</w:t>
            </w:r>
          </w:p>
        </w:tc>
        <w:tc>
          <w:tcPr>
            <w:tcW w:type="dxa" w:w="3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Startup time &lt; 2 s; rebuffering ratio &lt; 0.5%; encoding ladder covering 240p–4K</w:t>
            </w:r>
          </w:p>
        </w:tc>
        <w:tc>
          <w:tcPr>
            <w:tcW w:type="dxa" w:w="34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Average daily watch time per user; subscription retention; net promoter score</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Manufacturing</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Robotic assembly line</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Cycle time 45 s per unit; robot uptime &gt; 98%; defect rate &lt; 50 ppm</w:t>
            </w:r>
          </w:p>
        </w:tc>
        <w:tc>
          <w:tcPr>
            <w:tcW w:type="dxa" w:w="34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Units produced per shift met against target; cost per unit; on-time delivery to customers</w:t>
            </w:r>
          </w:p>
        </w:tc>
      </w:tr>
      <w:tr>
        <w:trPr>
          <w:tblHeader w:val="false"/>
        </w:trPr>
        <w:tc>
          <w:tcPr>
            <w:tcW w:type="dxa" w:w="16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Manufacturing</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Pharmaceutical production line</w:t>
            </w:r>
          </w:p>
        </w:tc>
        <w:tc>
          <w:tcPr>
            <w:tcW w:type="dxa" w:w="3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Process yield &gt; 92%; batch-to-batch potency variance &lt; 3%; particulate contamination &lt; 100 ppm</w:t>
            </w:r>
          </w:p>
        </w:tc>
        <w:tc>
          <w:tcPr>
            <w:tcW w:type="dxa" w:w="34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Drug supply reliability; regulatory inspection pass rate; patient adverse-event reduction</w:t>
            </w:r>
          </w:p>
        </w:tc>
      </w:tr>
    </w:tbl>
    <w:p>
      <w:pPr>
        <w:spacing w:after="80" w:line="264"/>
        <w:jc w:val="both"/>
      </w:pPr>
      <w:r>
        <w:t xml:space="preserve">Across all ten rows, the MOPs are quantities an engineer measures on the system itself, often before it leaves the factory. The MOEs are quantities the world reports back after the system has been in service, often months later, and frequently involve actors and conditions outside the engineering team's direct control.</w:t>
      </w:r>
    </w:p>
    <w:p>
      <w:pPr>
        <w:pStyle w:val="Heading1"/>
        <w:spacing w:after="120" w:before="200"/>
      </w:pPr>
      <w:r>
        <w:t xml:space="preserve">3. Five Requirements Where Both MOP and MOE Apply</w:t>
      </w:r>
    </w:p>
    <w:p>
      <w:pPr>
        <w:spacing w:after="80" w:line="264"/>
        <w:jc w:val="both"/>
      </w:pPr>
      <w:r>
        <w:t xml:space="preserve">Most well-formed requirements admit both kinds of measure simultaneously: an MOP that lets engineers verify the system on the bench, and an MOE that lets operators verify the outcome in service. The following five examples illustrate this pairing and then describe how the assessment is actually conducted in industry practice.</w:t>
      </w:r>
    </w:p>
    <w:p>
      <w:pPr>
        <w:pStyle w:val="Heading2"/>
        <w:spacing w:after="80" w:before="160"/>
      </w:pPr>
      <w:r>
        <w:t xml:space="preserve">3.1 Automotive — Automatic Emergency Braking (AEB)</w:t>
      </w:r>
    </w:p>
    <w:p>
      <w:pPr>
        <w:spacing w:after="80" w:line="264"/>
        <w:jc w:val="both"/>
      </w:pPr>
      <w:r>
        <w:t xml:space="preserve">Requirement: "The vehicle shall detect imminent forward collisions and automatically apply maximum braking to avoid or mitigate impact."</w:t>
      </w:r>
    </w:p>
    <w:p>
      <w:pPr>
        <w:pStyle w:val="ListParagraph"/>
        <w:numPr>
          <w:ilvl w:val="0"/>
          <w:numId w:val="2"/>
        </w:numPr>
        <w:spacing w:after="40" w:line="256"/>
      </w:pPr>
      <w:r>
        <w:rPr>
          <w:b/>
          <w:bCs/>
        </w:rPr>
        <w:t xml:space="preserve">MOPs: </w:t>
      </w:r>
      <w:r>
        <w:t xml:space="preserve">Time from threat detection to brake actuation (&lt; 200 ms); deceleration achieved (≥ 9 m/s²); detection range against a stationary vehicle target (≥ 80 m at 50 km/h closing speed); false-positive rate per 1,000 km of normal driving (&lt; 0.1).</w:t>
      </w:r>
    </w:p>
    <w:p>
      <w:pPr>
        <w:pStyle w:val="ListParagraph"/>
        <w:numPr>
          <w:ilvl w:val="0"/>
          <w:numId w:val="2"/>
        </w:numPr>
        <w:spacing w:after="40" w:line="256"/>
      </w:pPr>
      <w:r>
        <w:rPr>
          <w:b/>
          <w:bCs/>
        </w:rPr>
        <w:t xml:space="preserve">MOEs: </w:t>
      </w:r>
      <w:r>
        <w:t xml:space="preserve">Reduction in rear-end crash frequency per vehicle per year (IIHS / HLDI report a 50% reduction across modern fleets); reduction in insurance bodily-injury claim severity; reduction in pedestrian fatalities at AEB-equipped vehicles.</w:t>
      </w:r>
    </w:p>
    <w:p>
      <w:pPr>
        <w:pStyle w:val="Heading3"/>
        <w:spacing w:after="60" w:before="140"/>
      </w:pPr>
      <w:r>
        <w:t xml:space="preserve">Real-World Assessment Process</w:t>
      </w:r>
    </w:p>
    <w:p>
      <w:pPr>
        <w:spacing w:after="80" w:line="264"/>
        <w:jc w:val="both"/>
      </w:pPr>
      <w:r>
        <w:t xml:space="preserve">MOP assessment happens at the engineering test track during system verification. Engineers use instrumented target vehicles (typically Euro NCAP global vehicle targets), measure brake-pedal-equivalent pressure and wheel speed via CAN-bus logging, and time-stamp every event to sub-millisecond accuracy with a synchronized GPS clock. A complete test campaign includes the Euro NCAP CCRs (Car-to-Car Rear stationary), CCRm (moving), and VRU (pedestrian and cyclist) scenarios at multiple speeds and approach geometries. Data collection runs for several weeks and produces tens of thousands of recorded events. Success criterion: 100% performance against the documented test matrix at the OEM's chosen NCAP star rating.</w:t>
      </w:r>
    </w:p>
    <w:p>
      <w:pPr>
        <w:spacing w:after="80" w:line="264"/>
        <w:jc w:val="both"/>
      </w:pPr>
      <w:r>
        <w:t xml:space="preserve">MOE assessment, by contrast, requires fleet data and runs for years. Insurance research bodies such as IIHS / HLDI in the United States and Thatcham Research in the United Kingdom maintain databases of millions of insured vehicles and compare claim frequencies between AEB-equipped and non-equipped variants of the same model after controlling for driver demographics. OEMs supplement this with their own connected-vehicle telemetry, recording AEB activation events and their outcomes (collision avoided, collision mitigated, false alarm). Success criterion: statistically significant reduction in the targeted crash class—typically at the 30%–50% level for first-generation systems—against a matched baseline population.</w:t>
      </w:r>
    </w:p>
    <w:p>
      <w:pPr>
        <w:pStyle w:val="Heading2"/>
        <w:spacing w:after="80" w:before="160"/>
      </w:pPr>
      <w:r>
        <w:t xml:space="preserve">3.2 Healthcare — Emergency Department Information System</w:t>
      </w:r>
    </w:p>
    <w:p>
      <w:pPr>
        <w:spacing w:after="80" w:line="264"/>
        <w:jc w:val="both"/>
      </w:pPr>
      <w:r>
        <w:t xml:space="preserve">Requirement: "The system shall support emergency clinicians from patient arrival through disposition, ensuring timely access to clinical information."</w:t>
      </w:r>
    </w:p>
    <w:p>
      <w:pPr>
        <w:pStyle w:val="ListParagraph"/>
        <w:numPr>
          <w:ilvl w:val="0"/>
          <w:numId w:val="2"/>
        </w:numPr>
        <w:spacing w:after="40" w:line="256"/>
      </w:pPr>
      <w:r>
        <w:rPr>
          <w:b/>
          <w:bCs/>
        </w:rPr>
        <w:t xml:space="preserve">MOPs: </w:t>
      </w:r>
      <w:r>
        <w:t xml:space="preserve">Record-retrieval latency &lt; 3 s at p95; system availability ≥ 99.99% for clinical screens; concurrent-user capacity ≥ 200 without performance degradation; data-integrity error rate &lt; 0.01% of transactions.</w:t>
      </w:r>
    </w:p>
    <w:p>
      <w:pPr>
        <w:pStyle w:val="ListParagraph"/>
        <w:numPr>
          <w:ilvl w:val="0"/>
          <w:numId w:val="2"/>
        </w:numPr>
        <w:spacing w:after="40" w:line="256"/>
      </w:pPr>
      <w:r>
        <w:rPr>
          <w:b/>
          <w:bCs/>
        </w:rPr>
        <w:t xml:space="preserve">MOEs: </w:t>
      </w:r>
      <w:r>
        <w:t xml:space="preserve">Door-to-physician time; door-to-disposition time; medication-error rate per 1,000 patient encounters; 30-day mortality for time-critical conditions (sepsis, STEMI, stroke); patient satisfaction (Press Ganey or HCAHPS scores).</w:t>
      </w:r>
    </w:p>
    <w:p>
      <w:pPr>
        <w:pStyle w:val="Heading3"/>
        <w:spacing w:after="60" w:before="140"/>
      </w:pPr>
      <w:r>
        <w:t xml:space="preserve">Real-World Assessment Process</w:t>
      </w:r>
    </w:p>
    <w:p>
      <w:pPr>
        <w:spacing w:after="80" w:line="264"/>
        <w:jc w:val="both"/>
      </w:pPr>
      <w:r>
        <w:t xml:space="preserve">MOP assessment combines automated and operational sources. Application performance monitoring tools (e.g., Datadog, Dynatrace, AppDynamics) instrument every clinical screen to record p50, p95, and p99 response times; synthetic transactions exercise the system around the clock; uptime is calculated from a monitoring service that probes the system every 30 seconds and excludes pre-announced maintenance windows. Concurrent-user capacity is verified during pre-deployment load testing, typically using JMeter or LoadRunner driving realistic clinical workflows from twenty or more virtual users per physical workstation. Data collection is continuous; success criteria are reviewed against the service-level agreement monthly.</w:t>
      </w:r>
    </w:p>
    <w:p>
      <w:pPr>
        <w:spacing w:after="80" w:line="264"/>
        <w:jc w:val="both"/>
      </w:pPr>
      <w:r>
        <w:t xml:space="preserve">MOE assessment runs through the hospital's clinical operations and quality improvement functions. Door-to-physician and door-to-disposition times are extracted from the EHR each month and benchmarked against the prior twelve months, national peer percentiles (from CMS or comparable national datasets), and internal targets set by the medical executive committee. Medication-error rate comes from the hospital's safety reporting system, which is audited quarterly. Thirty-day mortality is calculated from death records linked back to ED encounters and risk-adjusted against case-mix indices. Patient satisfaction surveys are mailed within 48 hours of discharge and scored centrally. Success is judged not by hitting absolute numbers but by sustained improvement in the year following the system's go-live, typically 5–15% improvement in key metrics over an 18-month observation window.</w:t>
      </w:r>
    </w:p>
    <w:p>
      <w:pPr>
        <w:pStyle w:val="Heading2"/>
        <w:spacing w:after="80" w:before="160"/>
      </w:pPr>
      <w:r>
        <w:t xml:space="preserve">3.3 Software — Mobile Banking Application</w:t>
      </w:r>
    </w:p>
    <w:p>
      <w:pPr>
        <w:spacing w:after="80" w:line="264"/>
        <w:jc w:val="both"/>
      </w:pPr>
      <w:r>
        <w:t xml:space="preserve">Requirement: "The mobile banking application shall enable customers to manage their accounts on their personal device."</w:t>
      </w:r>
    </w:p>
    <w:p>
      <w:pPr>
        <w:pStyle w:val="ListParagraph"/>
        <w:numPr>
          <w:ilvl w:val="0"/>
          <w:numId w:val="2"/>
        </w:numPr>
        <w:spacing w:after="40" w:line="256"/>
      </w:pPr>
      <w:r>
        <w:rPr>
          <w:b/>
          <w:bCs/>
        </w:rPr>
        <w:t xml:space="preserve">MOPs: </w:t>
      </w:r>
      <w:r>
        <w:t xml:space="preserve">Cold-start time to dashboard &lt; 2 s on 3-year-old devices; transaction confirmation latency &lt; 1.5 s at p95; crash-free session rate ≥ 99.9%; battery consumption &lt; 5% per active hour.</w:t>
      </w:r>
    </w:p>
    <w:p>
      <w:pPr>
        <w:pStyle w:val="ListParagraph"/>
        <w:numPr>
          <w:ilvl w:val="0"/>
          <w:numId w:val="2"/>
        </w:numPr>
        <w:spacing w:after="40" w:line="256"/>
      </w:pPr>
      <w:r>
        <w:rPr>
          <w:b/>
          <w:bCs/>
        </w:rPr>
        <w:t xml:space="preserve">MOEs: </w:t>
      </w:r>
      <w:r>
        <w:t xml:space="preserve">Percentage of customers who complete ≥ 1 self-service transaction per month; reduction in branch-and-call-center volume per customer; fraud-loss reduction per dollar transacted; customer retention rate vs. control segment.</w:t>
      </w:r>
    </w:p>
    <w:p>
      <w:pPr>
        <w:pStyle w:val="Heading3"/>
        <w:spacing w:after="60" w:before="140"/>
      </w:pPr>
      <w:r>
        <w:t xml:space="preserve">Real-World Assessment Process</w:t>
      </w:r>
    </w:p>
    <w:p>
      <w:pPr>
        <w:spacing w:after="80" w:line="264"/>
        <w:jc w:val="both"/>
      </w:pPr>
      <w:r>
        <w:t xml:space="preserve">MOP assessment is heavily automated. Mobile telemetry SDKs (Firebase Performance Monitoring, New Relic Mobile, or in-house equivalents) emit startup, screen-render, and network-call timings from every real device in the field; the data lands in a dashboard refreshed hourly. Crash reporting (Crashlytics, Sentry) aggregates by app version, OS, and device model so engineering can isolate regressions. Battery and memory profiles are tested in lab using instrumented devices running automated user-journey scripts. Releases roll out via staged rollouts—1%, 5%, 25%, 100% of users over 5–10 days—with automated rollback if any MOP regresses beyond a defined threshold. Success criteria are evaluated per release and as monthly trends.</w:t>
      </w:r>
    </w:p>
    <w:p>
      <w:pPr>
        <w:spacing w:after="80" w:line="264"/>
        <w:jc w:val="both"/>
      </w:pPr>
      <w:r>
        <w:t xml:space="preserve">MOE assessment is done by the bank's analytics and risk teams. Each customer has a longitudinal record showing which channels they use; segmenting digitally-active customers from branch-dependent customers and tracking the ratio over time produces the core engagement MOE. Call-center and branch interaction volumes are tracked monthly from operational systems and divided by active-customer count. Fraud losses are computed by the financial crimes unit per transaction value and per channel, with mobile-specific controls (device binding, behavioral biometrics) credited against losses they prevent. Retention is measured by cohort: customers acquired in a given month are tracked for 12 and 24 months, and the curve compared against pre-launch baselines. The MOE picture takes 6–18 months to clarify after major releases.</w:t>
      </w:r>
    </w:p>
    <w:p>
      <w:pPr>
        <w:pStyle w:val="Heading2"/>
        <w:spacing w:after="80" w:before="160"/>
      </w:pPr>
      <w:r>
        <w:t xml:space="preserve">3.4 Aerospace — Fighter Aircraft Radar and Targeting System</w:t>
      </w:r>
    </w:p>
    <w:p>
      <w:pPr>
        <w:spacing w:after="80" w:line="264"/>
        <w:jc w:val="both"/>
      </w:pPr>
      <w:r>
        <w:t xml:space="preserve">Requirement: "The aircraft shall acquire, track, and engage airborne threats at beyond-visual-range distances."</w:t>
      </w:r>
    </w:p>
    <w:p>
      <w:pPr>
        <w:pStyle w:val="ListParagraph"/>
        <w:numPr>
          <w:ilvl w:val="0"/>
          <w:numId w:val="2"/>
        </w:numPr>
        <w:spacing w:after="40" w:line="256"/>
      </w:pPr>
      <w:r>
        <w:rPr>
          <w:b/>
          <w:bCs/>
        </w:rPr>
        <w:t xml:space="preserve">MOPs: </w:t>
      </w:r>
      <w:r>
        <w:t xml:space="preserve">Detection range against 1 m² RCS target ≥ 120 km; tracking accuracy 25 m at 80 km; simultaneous-track capacity ≥ 20; missile-lock acquisition time &lt; 3 s; jamming resistance ≥ specified threshold under defined ECM scenarios.</w:t>
      </w:r>
    </w:p>
    <w:p>
      <w:pPr>
        <w:pStyle w:val="ListParagraph"/>
        <w:numPr>
          <w:ilvl w:val="0"/>
          <w:numId w:val="2"/>
        </w:numPr>
        <w:spacing w:after="40" w:line="256"/>
      </w:pPr>
      <w:r>
        <w:rPr>
          <w:b/>
          <w:bCs/>
        </w:rPr>
        <w:t xml:space="preserve">MOEs: </w:t>
      </w:r>
      <w:r>
        <w:t xml:space="preserve">Probability of kill (Pk) against representative threats; mission success rate in operational exercises; pilot survivability (loss-exchange ratio); ability to complete air-superiority or strike missions under contested electromagnetic conditions.</w:t>
      </w:r>
    </w:p>
    <w:p>
      <w:pPr>
        <w:pStyle w:val="Heading3"/>
        <w:spacing w:after="60" w:before="140"/>
      </w:pPr>
      <w:r>
        <w:t xml:space="preserve">Real-World Assessment Process</w:t>
      </w:r>
    </w:p>
    <w:p>
      <w:pPr>
        <w:spacing w:after="80" w:line="264"/>
        <w:jc w:val="both"/>
      </w:pPr>
      <w:r>
        <w:t xml:space="preserve">MOP assessment occurs across multiple phases: anechoic chamber testing of the radar antenna, then captive-carry flight testing with the radar mounted on a test aircraft tracking calibrated targets (drones or instrumented manned aircraft), and finally integrated system testing on the production aircraft. Range and accuracy data come from time-aligned trajectory truth (typically GPS plus ground-radar tracking) compared against the system’s own track reports. Jamming resistance is tested against representative threat emulators at facilities such as the Benefield Anechoic Facility or open-air ranges like Eglin. Each MOP has a documented test plan with pass/fail criteria tied to the contract requirement; campaigns can run for years and produce thousands of test points.</w:t>
      </w:r>
    </w:p>
    <w:p>
      <w:pPr>
        <w:spacing w:after="80" w:line="264"/>
        <w:jc w:val="both"/>
      </w:pPr>
      <w:r>
        <w:t xml:space="preserve">MOE assessment is done in operational test and evaluation, typically by an independent body (e.g., DOT&amp;E in the United States) using force-on-force exercises against representative red-team threats. Probability of kill is estimated through Monte Carlo simulation calibrated to live-fire test data, supplemented by exercise outcomes where multi-aircraft engagements are scored against blue/red rules. Survivability is measured by loss-exchange ratios across many simulated engagements. The results feed initial operational capability (IOC) and full operational capability (FOC) milestones, with go/no-go decisions made by senior leadership. The full MOE picture often takes a decade from program start, and operational MOEs continue to evolve as adversary capabilities change—an unusually long feedback loop relative to the other examples.</w:t>
      </w:r>
    </w:p>
    <w:p>
      <w:pPr>
        <w:pStyle w:val="Heading2"/>
        <w:spacing w:after="80" w:before="160"/>
      </w:pPr>
      <w:r>
        <w:t xml:space="preserve">3.5 Manufacturing — Automated Bottling Line</w:t>
      </w:r>
    </w:p>
    <w:p>
      <w:pPr>
        <w:spacing w:after="80" w:line="264"/>
        <w:jc w:val="both"/>
      </w:pPr>
      <w:r>
        <w:t xml:space="preserve">Requirement: "The bottling line shall fill, cap, label, and pack consumer beverage containers at production volume."</w:t>
      </w:r>
    </w:p>
    <w:p>
      <w:pPr>
        <w:pStyle w:val="ListParagraph"/>
        <w:numPr>
          <w:ilvl w:val="0"/>
          <w:numId w:val="2"/>
        </w:numPr>
        <w:spacing w:after="40" w:line="256"/>
      </w:pPr>
      <w:r>
        <w:rPr>
          <w:b/>
          <w:bCs/>
        </w:rPr>
        <w:t xml:space="preserve">MOPs: </w:t>
      </w:r>
      <w:r>
        <w:t xml:space="preserve">Throughput ≥ 36,000 bottles per hour; fill-volume variance ≤ 0.5%; cap-torque within 1.2 to 1.8 Nm; label-placement accuracy ≤ 1 mm offset; line availability ≥ 92%.</w:t>
      </w:r>
    </w:p>
    <w:p>
      <w:pPr>
        <w:pStyle w:val="ListParagraph"/>
        <w:numPr>
          <w:ilvl w:val="0"/>
          <w:numId w:val="2"/>
        </w:numPr>
        <w:spacing w:after="40" w:line="256"/>
      </w:pPr>
      <w:r>
        <w:rPr>
          <w:b/>
          <w:bCs/>
        </w:rPr>
        <w:t xml:space="preserve">MOEs: </w:t>
      </w:r>
      <w:r>
        <w:t xml:space="preserve">Order fulfillment rate (orders shipped on time and complete); production cost per bottle; consumer complaint rate (leaks, mis-labeling); plant overall equipment effectiveness (OEE); revenue per shift.</w:t>
      </w:r>
    </w:p>
    <w:p>
      <w:pPr>
        <w:pStyle w:val="Heading3"/>
        <w:spacing w:after="60" w:before="140"/>
      </w:pPr>
      <w:r>
        <w:t xml:space="preserve">Real-World Assessment Process</w:t>
      </w:r>
    </w:p>
    <w:p>
      <w:pPr>
        <w:spacing w:after="80" w:line="264"/>
        <w:jc w:val="both"/>
      </w:pPr>
      <w:r>
        <w:t xml:space="preserve">MOP assessment is built into the line's SCADA and MES (manufacturing execution system). Every machine on the line reports counts, cycle times, faults, and quality samples to a central historian (OSIsoft PI, Wonderware, Ignition). Fill-volume is sampled by inline check-weighers on every bottle; cap torque is sampled by torque-test fixtures at a defined rate; label accuracy is checked by vision systems on the line. Out-of-spec bottles are automatically rejected and counted. Line availability is computed in real time from runtime versus scheduled production time. Engineers review MOP dashboards every shift, and shift supervisors are accountable for trending.</w:t>
      </w:r>
    </w:p>
    <w:p>
      <w:pPr>
        <w:spacing w:after="80" w:line="264"/>
        <w:jc w:val="both"/>
      </w:pPr>
      <w:r>
        <w:t xml:space="preserve">MOE assessment lives at the plant and business level. OEE is calculated from MOP data combined with quality and performance factors and reviewed weekly by plant management. Order fulfillment rate is tracked by the supply-chain group from ERP records. Production cost per bottle aggregates labor, materials, energy, and overhead and is reported monthly. Consumer complaint rate comes from customer-service systems and is broken down by lot code traced back to a specific shift and line. Revenue per shift compares actual throughput against the plan. When MOPs are healthy but MOEs lag, the diagnosis usually involves something outside the line itself—demand variability, upstream supply, or downstream logistics—and root-cause analysis becomes a cross-functional exercise rather than a purely engineering one.</w:t>
      </w:r>
    </w:p>
    <w:p>
      <w:pPr>
        <w:pStyle w:val="Heading1"/>
        <w:spacing w:after="120" w:before="200"/>
      </w:pPr>
      <w:r>
        <w:t xml:space="preserve">4. Comparison Table Across All Five Examples</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262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Dimension</w:t>
            </w:r>
          </w:p>
        </w:tc>
        <w:tc>
          <w:tcPr>
            <w:tcW w:type="dxa" w:w="13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AEB</w:t>
            </w:r>
          </w:p>
        </w:tc>
        <w:tc>
          <w:tcPr>
            <w:tcW w:type="dxa" w:w="13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ED System</w:t>
            </w:r>
          </w:p>
        </w:tc>
        <w:tc>
          <w:tcPr>
            <w:tcW w:type="dxa" w:w="13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Banking App</w:t>
            </w:r>
          </w:p>
        </w:tc>
        <w:tc>
          <w:tcPr>
            <w:tcW w:type="dxa" w:w="13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Fighter Radar</w:t>
            </w:r>
          </w:p>
        </w:tc>
        <w:tc>
          <w:tcPr>
            <w:tcW w:type="dxa" w:w="262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Bottling Line</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Primary MOP</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Brake actuation &lt; 200 ms</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Record retrieval &lt; 3 s</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Cold start &lt; 2 s</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Detection ≥ 120 km</w:t>
            </w:r>
          </w:p>
        </w:tc>
        <w:tc>
          <w:tcPr>
            <w:tcW w:type="dxa" w:w="262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 36,000 bottles/hr</w:t>
            </w:r>
          </w:p>
        </w:tc>
      </w:tr>
      <w:tr>
        <w:trPr>
          <w:tblHeader w:val="false"/>
        </w:trPr>
        <w:tc>
          <w:tcPr>
            <w:tcW w:type="dxa" w:w="1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Primary MOE</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50% rear-end crash reduction</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Door-to-physician time</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Monthly active users</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Probability of kill</w:t>
            </w:r>
          </w:p>
        </w:tc>
        <w:tc>
          <w:tcPr>
            <w:tcW w:type="dxa" w:w="262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Order fulfillment rate</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MOP venue</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Test track</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APM / load test</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Lab + telemetry</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Anechoic + flight test</w:t>
            </w:r>
          </w:p>
        </w:tc>
        <w:tc>
          <w:tcPr>
            <w:tcW w:type="dxa" w:w="262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SCADA / MES</w:t>
            </w:r>
          </w:p>
        </w:tc>
      </w:tr>
      <w:tr>
        <w:trPr>
          <w:tblHeader w:val="false"/>
        </w:trPr>
        <w:tc>
          <w:tcPr>
            <w:tcW w:type="dxa" w:w="1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MOE venue</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Insurance claim data</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EHR analytics</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Bank analytics</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Op test exercises</w:t>
            </w:r>
          </w:p>
        </w:tc>
        <w:tc>
          <w:tcPr>
            <w:tcW w:type="dxa" w:w="262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ERP / OEE review</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MOP timeframe</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Weeks</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Continuous</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Continuous</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Years (test program)</w:t>
            </w:r>
          </w:p>
        </w:tc>
        <w:tc>
          <w:tcPr>
            <w:tcW w:type="dxa" w:w="262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Continuous</w:t>
            </w:r>
          </w:p>
        </w:tc>
      </w:tr>
      <w:tr>
        <w:trPr>
          <w:tblHeader w:val="false"/>
        </w:trPr>
        <w:tc>
          <w:tcPr>
            <w:tcW w:type="dxa" w:w="1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MOE timeframe</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Years (fleet data)</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12–18 months</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6–18 months</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Decade</w:t>
            </w:r>
          </w:p>
        </w:tc>
        <w:tc>
          <w:tcPr>
            <w:tcW w:type="dxa" w:w="262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Monthly / quarterly</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Owner of MOP</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OEM engineering</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Platform engineering</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Mobile engineering</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Program test team</w:t>
            </w:r>
          </w:p>
        </w:tc>
        <w:tc>
          <w:tcPr>
            <w:tcW w:type="dxa" w:w="262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Plant engineering</w:t>
            </w:r>
          </w:p>
        </w:tc>
      </w:tr>
      <w:tr>
        <w:trPr>
          <w:tblHeader w:val="false"/>
        </w:trPr>
        <w:tc>
          <w:tcPr>
            <w:tcW w:type="dxa" w:w="1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Owner of MOE</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Insurance / regulators</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Hospital quality / clinical ops</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Bank product analytics</w:t>
            </w:r>
          </w:p>
        </w:tc>
        <w:tc>
          <w:tcPr>
            <w:tcW w:type="dxa" w:w="13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Operational T&amp;E (e.g., DOT&amp;E)</w:t>
            </w:r>
          </w:p>
        </w:tc>
        <w:tc>
          <w:tcPr>
            <w:tcW w:type="dxa" w:w="262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Plant management / supply chain</w:t>
            </w:r>
          </w:p>
        </w:tc>
      </w:tr>
    </w:tbl>
    <w:p>
      <w:pPr>
        <w:pStyle w:val="Heading1"/>
        <w:spacing w:after="120" w:before="200"/>
      </w:pPr>
      <w:r>
        <w:t xml:space="preserve">5. Practical Guidance</w:t>
      </w:r>
    </w:p>
    <w:p>
      <w:pPr>
        <w:pStyle w:val="Heading2"/>
        <w:spacing w:after="80" w:before="160"/>
      </w:pPr>
      <w:r>
        <w:t xml:space="preserve">5.1 When to Use Each Measure</w:t>
      </w:r>
    </w:p>
    <w:p>
      <w:pPr>
        <w:spacing w:after="80" w:line="264"/>
        <w:jc w:val="both"/>
      </w:pPr>
      <w:r>
        <w:t xml:space="preserve">MOPs and MOEs are not alternatives; mature systems engineering uses both. The choice is not which to use but where in the lifecycle to lean on which.</w:t>
      </w:r>
    </w:p>
    <w:p>
      <w:pPr>
        <w:pStyle w:val="ListParagraph"/>
        <w:numPr>
          <w:ilvl w:val="0"/>
          <w:numId w:val="2"/>
        </w:numPr>
        <w:spacing w:after="40" w:line="256"/>
      </w:pPr>
      <w:r>
        <w:rPr>
          <w:b/>
          <w:bCs/>
        </w:rPr>
        <w:t xml:space="preserve">Use MOPs when </w:t>
      </w:r>
      <w:r>
        <w:t xml:space="preserve">writing system requirements, verifying contractor deliverables, accepting hardware off the production line, regression-testing software releases, and diagnosing technical failures. MOPs are the language of acceptance and verification.</w:t>
      </w:r>
    </w:p>
    <w:p>
      <w:pPr>
        <w:pStyle w:val="ListParagraph"/>
        <w:numPr>
          <w:ilvl w:val="0"/>
          <w:numId w:val="2"/>
        </w:numPr>
        <w:spacing w:after="40" w:line="256"/>
      </w:pPr>
      <w:r>
        <w:rPr>
          <w:b/>
          <w:bCs/>
        </w:rPr>
        <w:t xml:space="preserve">Use MOEs when </w:t>
      </w:r>
      <w:r>
        <w:t xml:space="preserve">writing stakeholder needs, justifying programs to leadership, designing operational tests, evaluating fielded systems, and deciding whether a system has achieved its purpose. MOEs are the language of validation and mission success.</w:t>
      </w:r>
    </w:p>
    <w:p>
      <w:pPr>
        <w:pStyle w:val="Heading2"/>
        <w:spacing w:after="80" w:before="160"/>
      </w:pPr>
      <w:r>
        <w:t xml:space="preserve">5.2 How They Work Together</w:t>
      </w:r>
    </w:p>
    <w:p>
      <w:pPr>
        <w:spacing w:after="80" w:line="264"/>
        <w:jc w:val="both"/>
      </w:pPr>
      <w:r>
        <w:t xml:space="preserve">The relationship between MOPs and MOEs is one of necessary-but-not-sufficient. Hitting every MOP is necessary for a well-designed system but not sufficient to guarantee operational effectiveness; missing MOPs almost always degrades effectiveness, but meeting them does not guarantee it. The diagnostic value of this asymmetry is high. When MOPs are healthy but MOEs are not, the problem usually lies in scope, operational assumptions, user behavior, or the broader system-of-systems context—not in the engineering of the system itself. When MOPs are unhealthy, engineering is almost always implicated.</w:t>
      </w:r>
    </w:p>
    <w:p>
      <w:pPr>
        <w:spacing w:after="80" w:line="264"/>
        <w:jc w:val="both"/>
      </w:pPr>
      <w:r>
        <w:t xml:space="preserve">Good programs trace each MOE down to the specific MOPs that contribute to it, and trace each MOP up to the MOEs it serves. This bidirectional traceability is what 15288 calls for in its measurement and requirements processes, and it is what lets a team distinguish between "the system is broken" and "the system works but the mission has changed." Both situations require action; they require different actions.</w:t>
      </w:r>
    </w:p>
    <w:p>
      <w:pPr>
        <w:pStyle w:val="Heading2"/>
        <w:spacing w:after="80" w:before="160"/>
      </w:pPr>
      <w:r>
        <w:t xml:space="preserve">5.3 Common Pitfalls</w:t>
      </w:r>
    </w:p>
    <w:p>
      <w:pPr>
        <w:pStyle w:val="ListParagraph"/>
        <w:numPr>
          <w:ilvl w:val="0"/>
          <w:numId w:val="2"/>
        </w:numPr>
        <w:spacing w:after="40" w:line="256"/>
      </w:pPr>
      <w:r>
        <w:rPr>
          <w:b/>
          <w:bCs/>
        </w:rPr>
        <w:t xml:space="preserve">Treating MOPs as MOEs. </w:t>
      </w:r>
      <w:r>
        <w:t xml:space="preserve">Programs that report only MOPs to leadership produce the illusion of progress while losing visibility into whether the system is actually delivering value.</w:t>
      </w:r>
    </w:p>
    <w:p>
      <w:pPr>
        <w:pStyle w:val="ListParagraph"/>
        <w:numPr>
          <w:ilvl w:val="0"/>
          <w:numId w:val="2"/>
        </w:numPr>
        <w:spacing w:after="40" w:line="256"/>
      </w:pPr>
      <w:r>
        <w:rPr>
          <w:b/>
          <w:bCs/>
        </w:rPr>
        <w:t xml:space="preserve">Treating MOEs as MOPs. </w:t>
      </w:r>
      <w:r>
        <w:t xml:space="preserve">Trying to use a mission-level outcome ("reduce mortality") as an acceptance criterion for a single subsystem is unfair to engineering and unverifiable in any practical timeframe.</w:t>
      </w:r>
    </w:p>
    <w:p>
      <w:pPr>
        <w:pStyle w:val="ListParagraph"/>
        <w:numPr>
          <w:ilvl w:val="0"/>
          <w:numId w:val="2"/>
        </w:numPr>
        <w:spacing w:after="40" w:line="256"/>
      </w:pPr>
      <w:r>
        <w:rPr>
          <w:b/>
          <w:bCs/>
        </w:rPr>
        <w:t xml:space="preserve">Skipping the linkage. </w:t>
      </w:r>
      <w:r>
        <w:t xml:space="preserve">Defining MOPs and MOEs without explicit traceability between them leaves the program unable to predict whether good engineering will yield good outcomes.</w:t>
      </w:r>
    </w:p>
    <w:p>
      <w:pPr>
        <w:pStyle w:val="ListParagraph"/>
        <w:numPr>
          <w:ilvl w:val="0"/>
          <w:numId w:val="2"/>
        </w:numPr>
        <w:spacing w:after="40" w:line="256"/>
      </w:pPr>
      <w:r>
        <w:rPr>
          <w:b/>
          <w:bCs/>
        </w:rPr>
        <w:t xml:space="preserve">Optimizing the measurable at the expense of the meaningful. </w:t>
      </w:r>
      <w:r>
        <w:t xml:space="preserve">MOPs are easier to measure than MOEs, which biases programs toward MOP improvement even when the marginal effect on MOEs is negligible. Discipline is required to keep the operational outcome central.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80" w:before="1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MOP and MOE</dc:title>
  <dc:creator>Claude</dc:creator>
  <cp:lastModifiedBy>Un-named</cp:lastModifiedBy>
  <cp:revision>1</cp:revision>
  <dcterms:created xsi:type="dcterms:W3CDTF">2026-05-27T17:49:31.522Z</dcterms:created>
  <dcterms:modified xsi:type="dcterms:W3CDTF">2026-05-27T17:49:31.539Z</dcterms:modified>
</cp:coreProperties>
</file>

<file path=docProps/custom.xml><?xml version="1.0" encoding="utf-8"?>
<Properties xmlns="http://schemas.openxmlformats.org/officeDocument/2006/custom-properties" xmlns:vt="http://schemas.openxmlformats.org/officeDocument/2006/docPropsVTypes"/>
</file>