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9B59B6"/>
          <w:sz w:val="72"/>
          <w:szCs w:val="72"/>
        </w:rPr>
        <w:t xml:space="preserve">FIXARS</w:t>
      </w:r>
    </w:p>
    <w:p>
      <w:pPr>
        <w:spacing w:before="200"/>
        <w:jc w:val="center"/>
      </w:pPr>
      <w:r>
        <w:rPr>
          <w:rFonts w:ascii="Arial" w:cs="Arial" w:eastAsia="Arial" w:hAnsi="Arial"/>
          <w:b/>
          <w:bCs/>
          <w:color w:val="2C3E50"/>
          <w:sz w:val="44"/>
          <w:szCs w:val="44"/>
        </w:rPr>
        <w:t xml:space="preserve">IMPLEMENTATION ROADMAP</w:t>
      </w:r>
    </w:p>
    <w:p>
      <w:pPr>
        <w:spacing w:before="400"/>
        <w:jc w:val="center"/>
      </w:pPr>
      <w:r>
        <w:rPr>
          <w:rFonts w:ascii="Arial" w:cs="Arial" w:eastAsia="Arial" w:hAnsi="Arial"/>
          <w:color w:val="7F8C8D"/>
          <w:sz w:val="28"/>
          <w:szCs w:val="28"/>
        </w:rPr>
        <w:t xml:space="preserve">Phased Development Plan: 2026-2028</w:t>
      </w:r>
    </w:p>
    <w:p>
      <w:pPr>
        <w:spacing w:before="1000"/>
      </w:pP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sz w:val="20"/>
                <w:szCs w:val="20"/>
              </w:rPr>
              <w:t xml:space="preserve">Document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Implementation Roadmap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sz w:val="20"/>
                <w:szCs w:val="20"/>
              </w:rPr>
              <w:t xml:space="preserve">Author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Product &amp; Engineering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sz w:val="20"/>
                <w:szCs w:val="20"/>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February 2026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sz w:val="20"/>
                <w:szCs w:val="20"/>
              </w:rPr>
              <w:t xml:space="preserve">Horizon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3 Years (2026-2028)</w:t>
            </w:r>
          </w:p>
        </w:tc>
      </w:tr>
    </w:tbl>
    <w:p>
      <w:r>
        <w:br w:type="page"/>
      </w:r>
    </w:p>
    <w:p>
      <w:pPr>
        <w:pStyle w:val="Heading1"/>
      </w:pPr>
      <w:r>
        <w:rPr>
          <w:rFonts w:ascii="Arial" w:cs="Arial" w:eastAsia="Arial" w:hAnsi="Arial"/>
        </w:rPr>
        <w:t xml:space="preserve">Executive Summary</w:t>
      </w:r>
    </w:p>
    <w:p>
      <w:pPr>
        <w:spacing w:after="200"/>
      </w:pPr>
      <w:r>
        <w:rPr>
          <w:rFonts w:ascii="Arial" w:cs="Arial" w:eastAsia="Arial" w:hAnsi="Arial"/>
          <w:sz w:val="22"/>
          <w:szCs w:val="22"/>
        </w:rPr>
        <w:t xml:space="preserve">This roadmap outlines the phased development and launch of the Fixars ecosystem over three years, from foundation building through market leadership. The plan prioritizes risk mitigation, network effect cultivation, and sustainable growth.</w:t>
      </w:r>
    </w:p>
    <w:p>
      <w:pPr>
        <w:pStyle w:val="Heading2"/>
      </w:pPr>
      <w:r>
        <w:rPr>
          <w:rFonts w:ascii="Arial" w:cs="Arial" w:eastAsia="Arial" w:hAnsi="Arial"/>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930"/>
        <w:gridCol w:w="2930"/>
      </w:tblGrid>
      <w:tr>
        <w:tc>
          <w:tcPr>
            <w:tcW w:type="dxa" w:w="15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93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93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Key Outcome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Q1-Q2 2026</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Foundation: Core infrastructure + MVP</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Platform operational</w:t>
            </w:r>
          </w:p>
        </w:tc>
      </w:tr>
      <w:tr>
        <w:tc>
          <w:tcPr>
            <w:tcW w:type="dxa" w:w="15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2</w:t>
            </w:r>
          </w:p>
        </w:tc>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Q3-Q4 2026</w:t>
            </w:r>
          </w:p>
        </w:tc>
        <w:tc>
          <w:tcPr>
            <w:tcW w:type="dxa" w:w="293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Launch: Public release + traction</w:t>
            </w:r>
          </w:p>
        </w:tc>
        <w:tc>
          <w:tcPr>
            <w:tcW w:type="dxa" w:w="293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100K users, ₦500M revenue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2027 H1</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Intelligence: AI + Credit + Diaspora</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Network effects accelerating</w:t>
            </w:r>
          </w:p>
        </w:tc>
      </w:tr>
      <w:tr>
        <w:tc>
          <w:tcPr>
            <w:tcW w:type="dxa" w:w="15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4</w:t>
            </w:r>
          </w:p>
        </w:tc>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2027 H2</w:t>
            </w:r>
          </w:p>
        </w:tc>
        <w:tc>
          <w:tcPr>
            <w:tcW w:type="dxa" w:w="293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Expansion: Ghana, Kenya + Enterprise</w:t>
            </w:r>
          </w:p>
        </w:tc>
        <w:tc>
          <w:tcPr>
            <w:tcW w:type="dxa" w:w="293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International presence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2028</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Leadership: Market dominance + advanced features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Category leader</w:t>
            </w:r>
          </w:p>
        </w:tc>
      </w:tr>
    </w:tbl>
    <w:p>
      <w:r>
        <w:br w:type="page"/>
      </w:r>
    </w:p>
    <w:p>
      <w:pPr>
        <w:pStyle w:val="Heading1"/>
      </w:pPr>
      <w:r>
        <w:rPr>
          <w:rFonts w:ascii="Arial" w:cs="Arial" w:eastAsia="Arial" w:hAnsi="Arial"/>
        </w:rPr>
        <w:t xml:space="preserve">Phase 1: Foundation (Q1-Q2 2026)</w:t>
      </w:r>
    </w:p>
    <w:p>
      <w:pPr>
        <w:spacing w:after="200"/>
      </w:pPr>
      <w:r>
        <w:rPr>
          <w:rFonts w:ascii="Arial" w:cs="Arial" w:eastAsia="Arial" w:hAnsi="Arial"/>
          <w:sz w:val="22"/>
          <w:szCs w:val="22"/>
        </w:rPr>
        <w:t xml:space="preserve">Build the core infrastructure and MVP applications that form the Fixars ecosystem foundation.</w:t>
      </w:r>
    </w:p>
    <w:p>
      <w:pPr>
        <w:pStyle w:val="Heading2"/>
      </w:pPr>
      <w:r>
        <w:rPr>
          <w:rFonts w:ascii="Arial" w:cs="Arial" w:eastAsia="Arial" w:hAnsi="Arial"/>
        </w:rPr>
        <w:t xml:space="preserve">1.1 Core Infrastructure (Q1)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56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2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Identity Service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Mar 15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SSO, KYC (Tier 1-2), profile, reputation engine, JWT auth</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Payment Service</w:t>
            </w:r>
          </w:p>
        </w:tc>
        <w:tc>
          <w:tcPr>
            <w:tcW w:type="dxa" w:w="15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Mar 30</w:t>
            </w:r>
          </w:p>
        </w:tc>
        <w:tc>
          <w:tcPr>
            <w:tcW w:type="dxa" w:w="5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Escrow engine, wallet, Paystack integration, payout processing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Communication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Apr 15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Activity feed, DMs with E2E encryption, notification system</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Points Service</w:t>
            </w:r>
          </w:p>
        </w:tc>
        <w:tc>
          <w:tcPr>
            <w:tcW w:type="dxa" w:w="15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Apr 30</w:t>
            </w:r>
          </w:p>
        </w:tc>
        <w:tc>
          <w:tcPr>
            <w:tcW w:type="dxa" w:w="5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FXP earning rules, redemption, leaderboards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API Gateway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May 15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Kong setup, rate limiting, event bus (Kafka)</w:t>
            </w:r>
          </w:p>
        </w:tc>
      </w:tr>
    </w:tbl>
    <w:p>
      <w:pPr>
        <w:pStyle w:val="Heading2"/>
      </w:pPr>
      <w:r>
        <w:rPr>
          <w:rFonts w:ascii="Arial" w:cs="Arial" w:eastAsia="Arial" w:hAnsi="Arial"/>
        </w:rPr>
        <w:t xml:space="preserve">1.2 Application MVPs (Q2)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5800"/>
      </w:tblGrid>
      <w:tr>
        <w:tc>
          <w:tcPr>
            <w:tcW w:type="dxa" w:w="20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156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8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MVP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SkillsCanvas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Jun 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Skill profiles, verification assessments, basic matching, engagement flow</w:t>
            </w:r>
          </w:p>
        </w:tc>
      </w:tr>
      <w:tr>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ConceptNexus</w:t>
            </w:r>
          </w:p>
        </w:tc>
        <w:tc>
          <w:tcPr>
            <w:tcW w:type="dxa" w:w="15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Jun 15</w:t>
            </w:r>
          </w:p>
        </w:tc>
        <w:tc>
          <w:tcPr>
            <w:tcW w:type="dxa" w:w="5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Concept submission wizard, validation engine, task marketplace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InvestDen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Jun 30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Concept/Prediction stakes, portfolio dashboard, oracle integration</w:t>
            </w:r>
          </w:p>
        </w:tc>
      </w:tr>
      <w:tr>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CollaBoard</w:t>
            </w:r>
          </w:p>
        </w:tc>
        <w:tc>
          <w:tcPr>
            <w:tcW w:type="dxa" w:w="15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Jul 15</w:t>
            </w:r>
          </w:p>
        </w:tc>
        <w:tc>
          <w:tcPr>
            <w:tcW w:type="dxa" w:w="5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Project rooms, milestones, artifact management, investor view</w:t>
            </w:r>
          </w:p>
        </w:tc>
      </w:tr>
    </w:tbl>
    <w:p>
      <w:pPr>
        <w:pStyle w:val="Heading2"/>
      </w:pPr>
      <w:r>
        <w:rPr>
          <w:rFonts w:ascii="Arial" w:cs="Arial" w:eastAsia="Arial" w:hAnsi="Arial"/>
        </w:rPr>
        <w:t xml:space="preserve">1.3 Success Criteria</w:t>
      </w:r>
    </w:p>
    <w:p>
      <w:pPr>
        <w:pStyle w:val="ListParagraph"/>
        <w:numPr>
          <w:ilvl w:val="0"/>
          <w:numId w:val="2"/>
        </w:numPr>
      </w:pPr>
      <w:r>
        <w:rPr>
          <w:rFonts w:ascii="Arial" w:cs="Arial" w:eastAsia="Arial" w:hAnsi="Arial"/>
          <w:sz w:val="22"/>
          <w:szCs w:val="22"/>
        </w:rPr>
        <w:t xml:space="preserve">All core services operational with 99.5% uptime</w:t>
      </w:r>
    </w:p>
    <w:p>
      <w:pPr>
        <w:pStyle w:val="ListParagraph"/>
        <w:numPr>
          <w:ilvl w:val="0"/>
          <w:numId w:val="2"/>
        </w:numPr>
      </w:pPr>
      <w:r>
        <w:rPr>
          <w:rFonts w:ascii="Arial" w:cs="Arial" w:eastAsia="Arial" w:hAnsi="Arial"/>
          <w:sz w:val="22"/>
          <w:szCs w:val="22"/>
        </w:rPr>
        <w:t xml:space="preserve">All 4 apps functional on shared infrastructure</w:t>
      </w:r>
    </w:p>
    <w:p>
      <w:pPr>
        <w:pStyle w:val="ListParagraph"/>
        <w:numPr>
          <w:ilvl w:val="0"/>
          <w:numId w:val="2"/>
        </w:numPr>
      </w:pPr>
      <w:r>
        <w:rPr>
          <w:rFonts w:ascii="Arial" w:cs="Arial" w:eastAsia="Arial" w:hAnsi="Arial"/>
          <w:sz w:val="22"/>
          <w:szCs w:val="22"/>
        </w:rPr>
        <w:t xml:space="preserve">500 alpha users tested and provided feedback</w:t>
      </w:r>
    </w:p>
    <w:p>
      <w:pPr>
        <w:pStyle w:val="ListParagraph"/>
        <w:numPr>
          <w:ilvl w:val="0"/>
          <w:numId w:val="2"/>
        </w:numPr>
        <w:spacing w:after="200"/>
      </w:pPr>
      <w:r>
        <w:rPr>
          <w:rFonts w:ascii="Arial" w:cs="Arial" w:eastAsia="Arial" w:hAnsi="Arial"/>
          <w:sz w:val="22"/>
          <w:szCs w:val="22"/>
        </w:rPr>
        <w:t xml:space="preserve">Zero critical security vulnerabilities</w:t>
      </w:r>
    </w:p>
    <w:p>
      <w:r>
        <w:br w:type="page"/>
      </w:r>
    </w:p>
    <w:p>
      <w:pPr>
        <w:pStyle w:val="Heading1"/>
      </w:pPr>
      <w:r>
        <w:rPr>
          <w:rFonts w:ascii="Arial" w:cs="Arial" w:eastAsia="Arial" w:hAnsi="Arial"/>
        </w:rPr>
        <w:t xml:space="preserve">Phase 2: Launch (Q3-Q4 2026)</w:t>
      </w:r>
    </w:p>
    <w:p>
      <w:pPr>
        <w:spacing w:after="200"/>
      </w:pPr>
      <w:r>
        <w:rPr>
          <w:rFonts w:ascii="Arial" w:cs="Arial" w:eastAsia="Arial" w:hAnsi="Arial"/>
          <w:sz w:val="22"/>
          <w:szCs w:val="22"/>
        </w:rPr>
        <w:t xml:space="preserve">Public launch in Nigeria with aggressive user acquisition and product-market fit validation.</w:t>
      </w:r>
    </w:p>
    <w:p>
      <w:pPr>
        <w:pStyle w:val="Heading2"/>
      </w:pPr>
      <w:r>
        <w:rPr>
          <w:rFonts w:ascii="Arial" w:cs="Arial" w:eastAsia="Arial" w:hAnsi="Arial"/>
        </w:rPr>
        <w:t xml:space="preserve">2.1 Pre-Launch (August)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676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Mobile Apps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iOS and Android native apps via React Native; full ecosystem access</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Beta Launch</w:t>
            </w:r>
          </w:p>
        </w:tc>
        <w:tc>
          <w:tcPr>
            <w:tcW w:type="dxa" w:w="67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10,000 users in Lagos/Abuja; university partnerships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Anchor Investors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50 angels seeding InvestDen with ₦100M liquidity</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Validator Pool</w:t>
            </w:r>
          </w:p>
        </w:tc>
        <w:tc>
          <w:tcPr>
            <w:tcW w:type="dxa" w:w="67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500 verified validators across key sectors</w:t>
            </w:r>
          </w:p>
        </w:tc>
      </w:tr>
    </w:tbl>
    <w:p>
      <w:pPr>
        <w:pStyle w:val="Heading2"/>
      </w:pPr>
      <w:r>
        <w:rPr>
          <w:rFonts w:ascii="Arial" w:cs="Arial" w:eastAsia="Arial" w:hAnsi="Arial"/>
        </w:rPr>
        <w:t xml:space="preserve">2.2 Public Launch (October)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676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Nigeria-Wide Release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Full marketing push across Lagos, Abuja, PH, Kano, Ibadan</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Press Campaign</w:t>
            </w:r>
          </w:p>
        </w:tc>
        <w:tc>
          <w:tcPr>
            <w:tcW w:type="dxa" w:w="67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TechCabal, TechPoint, Disrupt Africa coverage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Referral Program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2,000 FXP per successful referral</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Creator Incentives</w:t>
            </w:r>
          </w:p>
        </w:tc>
        <w:tc>
          <w:tcPr>
            <w:tcW w:type="dxa" w:w="67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Subsidized validation for first 1,000 concepts</w:t>
            </w:r>
          </w:p>
        </w:tc>
      </w:tr>
    </w:tbl>
    <w:p>
      <w:pPr>
        <w:pStyle w:val="Heading2"/>
      </w:pPr>
      <w:r>
        <w:rPr>
          <w:rFonts w:ascii="Arial" w:cs="Arial" w:eastAsia="Arial" w:hAnsi="Arial"/>
        </w:rPr>
        <w:t xml:space="preserve">2.3 Q4 Optimization</w:t>
      </w:r>
    </w:p>
    <w:p>
      <w:pPr>
        <w:pStyle w:val="ListParagraph"/>
        <w:numPr>
          <w:ilvl w:val="0"/>
          <w:numId w:val="3"/>
        </w:numPr>
      </w:pPr>
      <w:r>
        <w:rPr>
          <w:rFonts w:ascii="Arial" w:cs="Arial" w:eastAsia="Arial" w:hAnsi="Arial"/>
          <w:sz w:val="22"/>
          <w:szCs w:val="22"/>
        </w:rPr>
        <w:t xml:space="preserve">Product iteration based on user feedback</w:t>
      </w:r>
    </w:p>
    <w:p>
      <w:pPr>
        <w:pStyle w:val="ListParagraph"/>
        <w:numPr>
          <w:ilvl w:val="0"/>
          <w:numId w:val="3"/>
        </w:numPr>
      </w:pPr>
      <w:r>
        <w:rPr>
          <w:rFonts w:ascii="Arial" w:cs="Arial" w:eastAsia="Arial" w:hAnsi="Arial"/>
          <w:sz w:val="22"/>
          <w:szCs w:val="22"/>
        </w:rPr>
        <w:t xml:space="preserve">Conversion funnel optimization</w:t>
      </w:r>
    </w:p>
    <w:p>
      <w:pPr>
        <w:pStyle w:val="ListParagraph"/>
        <w:numPr>
          <w:ilvl w:val="0"/>
          <w:numId w:val="3"/>
        </w:numPr>
      </w:pPr>
      <w:r>
        <w:rPr>
          <w:rFonts w:ascii="Arial" w:cs="Arial" w:eastAsia="Arial" w:hAnsi="Arial"/>
          <w:sz w:val="22"/>
          <w:szCs w:val="22"/>
        </w:rPr>
        <w:t xml:space="preserve">Payment failure rate reduction</w:t>
      </w:r>
    </w:p>
    <w:p>
      <w:pPr>
        <w:pStyle w:val="ListParagraph"/>
        <w:numPr>
          <w:ilvl w:val="0"/>
          <w:numId w:val="3"/>
        </w:numPr>
        <w:spacing w:after="200"/>
      </w:pPr>
      <w:r>
        <w:rPr>
          <w:rFonts w:ascii="Arial" w:cs="Arial" w:eastAsia="Arial" w:hAnsi="Arial"/>
          <w:sz w:val="22"/>
          <w:szCs w:val="22"/>
        </w:rPr>
        <w:t xml:space="preserve">Customer support scaling</w:t>
      </w:r>
    </w:p>
    <w:p>
      <w:pPr>
        <w:pStyle w:val="Heading2"/>
      </w:pPr>
      <w:r>
        <w:rPr>
          <w:rFonts w:ascii="Arial" w:cs="Arial" w:eastAsia="Arial" w:hAnsi="Arial"/>
        </w:rPr>
        <w:t xml:space="preserve">2.4 Phase 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Registered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Verified accounts</w:t>
            </w:r>
          </w:p>
        </w:tc>
      </w:tr>
      <w:tr>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MAU</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30,000</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1+ action/month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Concepts Validated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2,000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Score ≥70%</w:t>
            </w:r>
          </w:p>
        </w:tc>
      </w:tr>
      <w:tr>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Total Stakes</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₦1 billion</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Cumulative volume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₦100 million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All streams</w:t>
            </w:r>
          </w:p>
        </w:tc>
      </w:tr>
    </w:tbl>
    <w:p>
      <w:r>
        <w:br w:type="page"/>
      </w:r>
    </w:p>
    <w:p>
      <w:pPr>
        <w:pStyle w:val="Heading1"/>
      </w:pPr>
      <w:r>
        <w:rPr>
          <w:rFonts w:ascii="Arial" w:cs="Arial" w:eastAsia="Arial" w:hAnsi="Arial"/>
        </w:rPr>
        <w:t xml:space="preserve">Phase 3: Intelligence (2027 H1)</w:t>
      </w:r>
    </w:p>
    <w:p>
      <w:pPr>
        <w:spacing w:after="200"/>
      </w:pPr>
      <w:r>
        <w:rPr>
          <w:rFonts w:ascii="Arial" w:cs="Arial" w:eastAsia="Arial" w:hAnsi="Arial"/>
          <w:sz w:val="22"/>
          <w:szCs w:val="22"/>
        </w:rPr>
        <w:t xml:space="preserve">Layer on AI capabilities, credit products, and diaspora access to accelerate network effects.</w:t>
      </w:r>
    </w:p>
    <w:p>
      <w:pPr>
        <w:pStyle w:val="Heading2"/>
      </w:pPr>
      <w:r>
        <w:rPr>
          <w:rFonts w:ascii="Arial" w:cs="Arial" w:eastAsia="Arial" w:hAnsi="Arial"/>
        </w:rPr>
        <w:t xml:space="preserve">3.1 AI/ML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56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2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Success Prediction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Jan 2027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 success probability shown to investors</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Fraud Detection ML</w:t>
            </w:r>
          </w:p>
        </w:tc>
        <w:tc>
          <w:tcPr>
            <w:tcW w:type="dxa" w:w="15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Jan 2027</w:t>
            </w:r>
          </w:p>
        </w:tc>
        <w:tc>
          <w:tcPr>
            <w:tcW w:type="dxa" w:w="5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Real-time risk scoring on all transactions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Recommendation Engine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Feb 2027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Personalized concept/talent/stake suggestions</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AI Co-Pilots</w:t>
            </w:r>
          </w:p>
        </w:tc>
        <w:tc>
          <w:tcPr>
            <w:tcW w:type="dxa" w:w="15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Mar 2027</w:t>
            </w:r>
          </w:p>
        </w:tc>
        <w:tc>
          <w:tcPr>
            <w:tcW w:type="dxa" w:w="5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Per-app assistants for concept refinement, portfolio optimization</w:t>
            </w:r>
          </w:p>
        </w:tc>
      </w:tr>
    </w:tbl>
    <w:p>
      <w:pPr>
        <w:pStyle w:val="Heading2"/>
      </w:pPr>
      <w:r>
        <w:rPr>
          <w:rFonts w:ascii="Arial" w:cs="Arial" w:eastAsia="Arial" w:hAnsi="Arial"/>
        </w:rPr>
        <w:t xml:space="preserve">3.2 Financial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56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2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Credit Score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Feb 2027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Proprietary credit scoring from ecosystem activity</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Partner Lending</w:t>
            </w:r>
          </w:p>
        </w:tc>
        <w:tc>
          <w:tcPr>
            <w:tcW w:type="dxa" w:w="15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Mar 2027</w:t>
            </w:r>
          </w:p>
        </w:tc>
        <w:tc>
          <w:tcPr>
            <w:tcW w:type="dxa" w:w="5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First lending partner integration; working capital loans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Stake Advance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Apr 2027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Liquidity against active stakes</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Invoice Financing</w:t>
            </w:r>
          </w:p>
        </w:tc>
        <w:tc>
          <w:tcPr>
            <w:tcW w:type="dxa" w:w="15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May 2027</w:t>
            </w:r>
          </w:p>
        </w:tc>
        <w:tc>
          <w:tcPr>
            <w:tcW w:type="dxa" w:w="5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Advances on verified CollaBoard deliverables</w:t>
            </w:r>
          </w:p>
        </w:tc>
      </w:tr>
    </w:tbl>
    <w:p>
      <w:pPr>
        <w:pStyle w:val="Heading2"/>
      </w:pPr>
      <w:r>
        <w:rPr>
          <w:rFonts w:ascii="Arial" w:cs="Arial" w:eastAsia="Arial" w:hAnsi="Arial"/>
        </w:rPr>
        <w:t xml:space="preserve">3.3 Diaspora Bridge</w:t>
      </w:r>
    </w:p>
    <w:p>
      <w:pPr>
        <w:pStyle w:val="ListParagraph"/>
        <w:numPr>
          <w:ilvl w:val="0"/>
          <w:numId w:val="4"/>
        </w:numPr>
      </w:pPr>
      <w:r>
        <w:rPr>
          <w:rFonts w:ascii="Arial" w:cs="Arial" w:eastAsia="Arial" w:hAnsi="Arial"/>
          <w:sz w:val="22"/>
          <w:szCs w:val="22"/>
        </w:rPr>
        <w:t xml:space="preserve">USD/GBP/EUR payment rails via Wise/PayPal</w:t>
      </w:r>
    </w:p>
    <w:p>
      <w:pPr>
        <w:pStyle w:val="ListParagraph"/>
        <w:numPr>
          <w:ilvl w:val="0"/>
          <w:numId w:val="4"/>
        </w:numPr>
      </w:pPr>
      <w:r>
        <w:rPr>
          <w:rFonts w:ascii="Arial" w:cs="Arial" w:eastAsia="Arial" w:hAnsi="Arial"/>
          <w:sz w:val="22"/>
          <w:szCs w:val="22"/>
        </w:rPr>
        <w:t xml:space="preserve">Diaspora-targeted marketing (UK, US, Canada)</w:t>
      </w:r>
    </w:p>
    <w:p>
      <w:pPr>
        <w:pStyle w:val="ListParagraph"/>
        <w:numPr>
          <w:ilvl w:val="0"/>
          <w:numId w:val="4"/>
        </w:numPr>
      </w:pPr>
      <w:r>
        <w:rPr>
          <w:rFonts w:ascii="Arial" w:cs="Arial" w:eastAsia="Arial" w:hAnsi="Arial"/>
          <w:sz w:val="22"/>
          <w:szCs w:val="22"/>
        </w:rPr>
        <w:t xml:space="preserve">Multi-currency portfolio view</w:t>
      </w:r>
    </w:p>
    <w:p>
      <w:pPr>
        <w:pStyle w:val="ListParagraph"/>
        <w:numPr>
          <w:ilvl w:val="0"/>
          <w:numId w:val="4"/>
        </w:numPr>
        <w:spacing w:after="200"/>
      </w:pPr>
      <w:r>
        <w:rPr>
          <w:rFonts w:ascii="Arial" w:cs="Arial" w:eastAsia="Arial" w:hAnsi="Arial"/>
          <w:sz w:val="22"/>
          <w:szCs w:val="22"/>
        </w:rPr>
        <w:t xml:space="preserve">Tax documentation for international investors</w:t>
      </w:r>
    </w:p>
    <w:p>
      <w:pPr>
        <w:pStyle w:val="Heading2"/>
      </w:pPr>
      <w:r>
        <w:rPr>
          <w:rFonts w:ascii="Arial" w:cs="Arial" w:eastAsia="Arial" w:hAnsi="Arial"/>
        </w:rPr>
        <w:t xml:space="preserve">3.4 Phase 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Registered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300,000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Including 30K diaspora</w:t>
            </w:r>
          </w:p>
        </w:tc>
      </w:tr>
      <w:tr>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Credit Scores</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50,000</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Scores generated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Loans Facilitated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₦500 million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Through partners</w:t>
            </w:r>
          </w:p>
        </w:tc>
      </w:tr>
      <w:tr>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AI Accuracy</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&gt;75%</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Success prediction AUC</w:t>
            </w:r>
          </w:p>
        </w:tc>
      </w:tr>
    </w:tbl>
    <w:p>
      <w:r>
        <w:br w:type="page"/>
      </w:r>
    </w:p>
    <w:p>
      <w:pPr>
        <w:pStyle w:val="Heading1"/>
      </w:pPr>
      <w:r>
        <w:rPr>
          <w:rFonts w:ascii="Arial" w:cs="Arial" w:eastAsia="Arial" w:hAnsi="Arial"/>
        </w:rPr>
        <w:t xml:space="preserve">Phase 4: Expansion (2027 H2)</w:t>
      </w:r>
    </w:p>
    <w:p>
      <w:pPr>
        <w:spacing w:after="200"/>
      </w:pPr>
      <w:r>
        <w:rPr>
          <w:rFonts w:ascii="Arial" w:cs="Arial" w:eastAsia="Arial" w:hAnsi="Arial"/>
          <w:sz w:val="22"/>
          <w:szCs w:val="22"/>
        </w:rPr>
        <w:t xml:space="preserve">Geographic expansion to Ghana and Kenya; enterprise solutions for corporates and government.</w:t>
      </w:r>
    </w:p>
    <w:p>
      <w:pPr>
        <w:pStyle w:val="Heading2"/>
      </w:pPr>
      <w:r>
        <w:rPr>
          <w:rFonts w:ascii="Arial" w:cs="Arial" w:eastAsia="Arial" w:hAnsi="Arial"/>
        </w:rPr>
        <w:t xml:space="preserve">4.1 International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378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Launch</w:t>
            </w:r>
          </w:p>
        </w:tc>
        <w:tc>
          <w:tcPr>
            <w:tcW w:type="dxa" w:w="378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Localization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Ghana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Jul 2027</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GHS currency, MTN MoMo, GhanaCard KYC, local validators</w:t>
            </w:r>
          </w:p>
        </w:tc>
      </w:tr>
      <w:tr>
        <w:tc>
          <w:tcPr>
            <w:tcW w:type="dxa" w:w="1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Kenya</w:t>
            </w:r>
          </w:p>
        </w:tc>
        <w:tc>
          <w:tcPr>
            <w:tcW w:type="dxa" w:w="378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Sep 2027</w:t>
            </w:r>
          </w:p>
        </w:tc>
        <w:tc>
          <w:tcPr>
            <w:tcW w:type="dxa" w:w="378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KES currency, M-Pesa, Huduma Namba KYC, local partnerships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South Africa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Q4 2027</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ZAR currency, local payment rails, regulatory engagement</w:t>
            </w:r>
          </w:p>
        </w:tc>
      </w:tr>
    </w:tbl>
    <w:p>
      <w:pPr>
        <w:pStyle w:val="Heading2"/>
      </w:pPr>
      <w:r>
        <w:rPr>
          <w:rFonts w:ascii="Arial" w:cs="Arial" w:eastAsia="Arial" w:hAnsi="Arial"/>
        </w:rPr>
        <w:t xml:space="preserve">4.2 Enterprise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676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Corporate Innovation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Companies post challenges; ecosystem responds with fundable concepts</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Enterprise Talent</w:t>
            </w:r>
          </w:p>
        </w:tc>
        <w:tc>
          <w:tcPr>
            <w:tcW w:type="dxa" w:w="67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Bulk hiring with SLAs, dedicated management, compliance reporting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Government Integration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Grant disbursement via escrow; project tracking for transparency</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White-Label</w:t>
            </w:r>
          </w:p>
        </w:tc>
        <w:tc>
          <w:tcPr>
            <w:tcW w:type="dxa" w:w="67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Custom-branded instances for large organizations</w:t>
            </w:r>
          </w:p>
        </w:tc>
      </w:tr>
    </w:tbl>
    <w:p>
      <w:pPr>
        <w:pStyle w:val="Heading2"/>
      </w:pPr>
      <w:r>
        <w:rPr>
          <w:rFonts w:ascii="Arial" w:cs="Arial" w:eastAsia="Arial" w:hAnsi="Arial"/>
        </w:rPr>
        <w:t xml:space="preserve">4.3 Platform Enhancements</w:t>
      </w:r>
    </w:p>
    <w:p>
      <w:pPr>
        <w:pStyle w:val="ListParagraph"/>
        <w:numPr>
          <w:ilvl w:val="0"/>
          <w:numId w:val="5"/>
        </w:numPr>
      </w:pPr>
      <w:r>
        <w:rPr>
          <w:rFonts w:ascii="Arial" w:cs="Arial" w:eastAsia="Arial" w:hAnsi="Arial"/>
          <w:sz w:val="22"/>
          <w:szCs w:val="22"/>
        </w:rPr>
        <w:t xml:space="preserve">USSD interface for feature phone access</w:t>
      </w:r>
    </w:p>
    <w:p>
      <w:pPr>
        <w:pStyle w:val="ListParagraph"/>
        <w:numPr>
          <w:ilvl w:val="0"/>
          <w:numId w:val="5"/>
        </w:numPr>
      </w:pPr>
      <w:r>
        <w:rPr>
          <w:rFonts w:ascii="Arial" w:cs="Arial" w:eastAsia="Arial" w:hAnsi="Arial"/>
          <w:sz w:val="22"/>
          <w:szCs w:val="22"/>
        </w:rPr>
        <w:t xml:space="preserve">Agent network pilot for cash-in/cash-out</w:t>
      </w:r>
    </w:p>
    <w:p>
      <w:pPr>
        <w:pStyle w:val="ListParagraph"/>
        <w:numPr>
          <w:ilvl w:val="0"/>
          <w:numId w:val="5"/>
        </w:numPr>
      </w:pPr>
      <w:r>
        <w:rPr>
          <w:rFonts w:ascii="Arial" w:cs="Arial" w:eastAsia="Arial" w:hAnsi="Arial"/>
          <w:sz w:val="22"/>
          <w:szCs w:val="22"/>
        </w:rPr>
        <w:t xml:space="preserve">Fixars Learn education platform</w:t>
      </w:r>
    </w:p>
    <w:p>
      <w:pPr>
        <w:pStyle w:val="ListParagraph"/>
        <w:numPr>
          <w:ilvl w:val="0"/>
          <w:numId w:val="5"/>
        </w:numPr>
        <w:spacing w:after="200"/>
      </w:pPr>
      <w:r>
        <w:rPr>
          <w:rFonts w:ascii="Arial" w:cs="Arial" w:eastAsia="Arial" w:hAnsi="Arial"/>
          <w:sz w:val="22"/>
          <w:szCs w:val="22"/>
        </w:rPr>
        <w:t xml:space="preserve">Decentralized dispute resolution</w:t>
      </w:r>
    </w:p>
    <w:p>
      <w:r>
        <w:br w:type="page"/>
      </w:r>
    </w:p>
    <w:p>
      <w:pPr>
        <w:pStyle w:val="Heading1"/>
      </w:pPr>
      <w:r>
        <w:rPr>
          <w:rFonts w:ascii="Arial" w:cs="Arial" w:eastAsia="Arial" w:hAnsi="Arial"/>
        </w:rPr>
        <w:t xml:space="preserve">Phase 5: Leadership (2028)</w:t>
      </w:r>
    </w:p>
    <w:p>
      <w:pPr>
        <w:spacing w:after="200"/>
      </w:pPr>
      <w:r>
        <w:rPr>
          <w:rFonts w:ascii="Arial" w:cs="Arial" w:eastAsia="Arial" w:hAnsi="Arial"/>
          <w:sz w:val="22"/>
          <w:szCs w:val="22"/>
        </w:rPr>
        <w:t xml:space="preserve">Establish market leadership with advanced features, deeper moats, and ecosystem expansion.</w:t>
      </w:r>
    </w:p>
    <w:p>
      <w:pPr>
        <w:pStyle w:val="Heading2"/>
      </w:pPr>
      <w:r>
        <w:rPr>
          <w:rFonts w:ascii="Arial" w:cs="Arial" w:eastAsia="Arial" w:hAnsi="Arial"/>
        </w:rPr>
        <w:t xml:space="preserve">5.1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76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Secondary Market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Trade stakes before exit; price discovery and liquidity</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Tokenization (if regulatory)</w:t>
            </w:r>
          </w:p>
        </w:tc>
        <w:tc>
          <w:tcPr>
            <w:tcW w:type="dxa" w:w="67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Revenue-sharing tokens for fractional ownership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Portable Reputation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Blockchain-backed credentials exportable to other platforms</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Public APIs</w:t>
            </w:r>
          </w:p>
        </w:tc>
        <w:tc>
          <w:tcPr>
            <w:tcW w:type="dxa" w:w="67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Third-party apps integrate Fixars verification, escrow, reputation</w:t>
            </w:r>
          </w:p>
        </w:tc>
      </w:tr>
    </w:tbl>
    <w:p>
      <w:pPr>
        <w:pStyle w:val="Heading2"/>
      </w:pPr>
      <w:r>
        <w:rPr>
          <w:rFonts w:ascii="Arial" w:cs="Arial" w:eastAsia="Arial" w:hAnsi="Arial"/>
        </w:rPr>
        <w:t xml:space="preserve">5.2 Ecosystem Expansion</w:t>
      </w:r>
    </w:p>
    <w:p>
      <w:pPr>
        <w:pStyle w:val="ListParagraph"/>
        <w:numPr>
          <w:ilvl w:val="0"/>
          <w:numId w:val="6"/>
        </w:numPr>
      </w:pPr>
      <w:r>
        <w:rPr>
          <w:rFonts w:ascii="Arial" w:cs="Arial" w:eastAsia="Arial" w:hAnsi="Arial"/>
          <w:sz w:val="22"/>
          <w:szCs w:val="22"/>
        </w:rPr>
        <w:t xml:space="preserve">Fixars Accelerator: 12-week program for top concepts</w:t>
      </w:r>
    </w:p>
    <w:p>
      <w:pPr>
        <w:pStyle w:val="ListParagraph"/>
        <w:numPr>
          <w:ilvl w:val="0"/>
          <w:numId w:val="6"/>
        </w:numPr>
      </w:pPr>
      <w:r>
        <w:rPr>
          <w:rFonts w:ascii="Arial" w:cs="Arial" w:eastAsia="Arial" w:hAnsi="Arial"/>
          <w:sz w:val="22"/>
          <w:szCs w:val="22"/>
        </w:rPr>
        <w:t xml:space="preserve">Fixars Capital: Venture arm taking stakes in exceptional projects</w:t>
      </w:r>
    </w:p>
    <w:p>
      <w:pPr>
        <w:pStyle w:val="ListParagraph"/>
        <w:numPr>
          <w:ilvl w:val="0"/>
          <w:numId w:val="6"/>
        </w:numPr>
      </w:pPr>
      <w:r>
        <w:rPr>
          <w:rFonts w:ascii="Arial" w:cs="Arial" w:eastAsia="Arial" w:hAnsi="Arial"/>
          <w:sz w:val="22"/>
          <w:szCs w:val="22"/>
        </w:rPr>
        <w:t xml:space="preserve">Fixars Events: Annual summit and regional demo days</w:t>
      </w:r>
    </w:p>
    <w:p>
      <w:pPr>
        <w:pStyle w:val="ListParagraph"/>
        <w:numPr>
          <w:ilvl w:val="0"/>
          <w:numId w:val="6"/>
        </w:numPr>
      </w:pPr>
      <w:r>
        <w:rPr>
          <w:rFonts w:ascii="Arial" w:cs="Arial" w:eastAsia="Arial" w:hAnsi="Arial"/>
          <w:sz w:val="22"/>
          <w:szCs w:val="22"/>
        </w:rPr>
        <w:t xml:space="preserve">Fixars Research: Data products and market intelligence</w:t>
      </w:r>
    </w:p>
    <w:p>
      <w:pPr>
        <w:pStyle w:val="ListParagraph"/>
        <w:numPr>
          <w:ilvl w:val="0"/>
          <w:numId w:val="6"/>
        </w:numPr>
        <w:spacing w:after="200"/>
      </w:pPr>
      <w:r>
        <w:rPr>
          <w:rFonts w:ascii="Arial" w:cs="Arial" w:eastAsia="Arial" w:hAnsi="Arial"/>
          <w:sz w:val="22"/>
          <w:szCs w:val="22"/>
        </w:rPr>
        <w:t xml:space="preserve">Francophone Africa: Senegal, Cote d'Ivoire launch</w:t>
      </w:r>
    </w:p>
    <w:p>
      <w:pPr>
        <w:pStyle w:val="Heading2"/>
      </w:pPr>
      <w:r>
        <w:rPr>
          <w:rFonts w:ascii="Arial" w:cs="Arial" w:eastAsia="Arial" w:hAnsi="Arial"/>
        </w:rPr>
        <w:t xml:space="preserve">5.3 2028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Registered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2 million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Across all markets</w:t>
            </w:r>
          </w:p>
        </w:tc>
      </w:tr>
      <w:tr>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MAU</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500,000</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40%+ cross-app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Annual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 billion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Profitable operations</w:t>
            </w:r>
          </w:p>
        </w:tc>
      </w:tr>
      <w:tr>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Projects Completed</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10,000</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Cumulative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Market Position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African innovation ecosystem</w:t>
            </w:r>
          </w:p>
        </w:tc>
      </w:tr>
    </w:tbl>
    <w:p>
      <w:r>
        <w:br w:type="page"/>
      </w:r>
    </w:p>
    <w:p>
      <w:pPr>
        <w:pStyle w:val="Heading1"/>
      </w:pPr>
      <w:r>
        <w:rPr>
          <w:rFonts w:ascii="Arial" w:cs="Arial" w:eastAsia="Arial" w:hAnsi="Arial"/>
        </w:rPr>
        <w:t xml:space="preserve">Dependencies &amp; Risk Mitigation</w:t>
      </w:r>
    </w:p>
    <w:p>
      <w:pPr>
        <w:pStyle w:val="Heading2"/>
      </w:pPr>
      <w:r>
        <w:rPr>
          <w:rFonts w:ascii="Arial" w:cs="Arial" w:eastAsia="Arial" w:hAnsi="Arial"/>
        </w:rPr>
        <w:t xml:space="preserve">Critical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34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SEC Approval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InvestDen legality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Early engagement, legal structure</w:t>
            </w:r>
          </w:p>
        </w:tc>
      </w:tr>
      <w:tr>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Payment Partners</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1</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Transaction processing</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Dual providers (Paystack + Flutterwave)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KYC Provider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Identity verification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Multi-provider (Smile ID + Dojah)</w:t>
            </w:r>
          </w:p>
        </w:tc>
      </w:tr>
      <w:tr>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Lending Partners</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3</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Credit products</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2D3436"/>
                <w:sz w:val="20"/>
                <w:szCs w:val="20"/>
              </w:rPr>
              <w:t xml:space="preserve">Multiple bank partnerships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Local Regulators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International expansion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Per-market legal review</w:t>
            </w:r>
          </w:p>
        </w:tc>
      </w:tr>
    </w:tbl>
    <w:p>
      <w:pPr>
        <w:pStyle w:val="Heading2"/>
      </w:pPr>
      <w:r>
        <w:rPr>
          <w:rFonts w:ascii="Arial" w:cs="Arial" w:eastAsia="Arial" w:hAnsi="Arial"/>
        </w:rPr>
        <w:t xml:space="preserve">Go/No-Go Criteria</w:t>
      </w:r>
    </w:p>
    <w:p>
      <w:pPr>
        <w:spacing w:after="200"/>
      </w:pPr>
      <w:r>
        <w:rPr>
          <w:rFonts w:ascii="Arial" w:cs="Arial" w:eastAsia="Arial" w:hAnsi="Arial"/>
          <w:sz w:val="22"/>
          <w:szCs w:val="22"/>
        </w:rPr>
        <w:t xml:space="preserve">Each phase has checkpoints determining progression:</w:t>
      </w:r>
    </w:p>
    <w:p>
      <w:pPr>
        <w:pStyle w:val="ListParagraph"/>
        <w:numPr>
          <w:ilvl w:val="0"/>
          <w:numId w:val="7"/>
        </w:numPr>
      </w:pPr>
      <w:r>
        <w:rPr>
          <w:rFonts w:ascii="Arial" w:cs="Arial" w:eastAsia="Arial" w:hAnsi="Arial"/>
          <w:sz w:val="22"/>
          <w:szCs w:val="22"/>
        </w:rPr>
        <w:t xml:space="preserve">Phase 1→2: Core infrastructure stable; all apps functional</w:t>
      </w:r>
    </w:p>
    <w:p>
      <w:pPr>
        <w:pStyle w:val="ListParagraph"/>
        <w:numPr>
          <w:ilvl w:val="0"/>
          <w:numId w:val="7"/>
        </w:numPr>
      </w:pPr>
      <w:r>
        <w:rPr>
          <w:rFonts w:ascii="Arial" w:cs="Arial" w:eastAsia="Arial" w:hAnsi="Arial"/>
          <w:sz w:val="22"/>
          <w:szCs w:val="22"/>
        </w:rPr>
        <w:t xml:space="preserve">Phase 2→3: 50K+ users; positive unit economics trajectory</w:t>
      </w:r>
    </w:p>
    <w:p>
      <w:pPr>
        <w:pStyle w:val="ListParagraph"/>
        <w:numPr>
          <w:ilvl w:val="0"/>
          <w:numId w:val="7"/>
        </w:numPr>
      </w:pPr>
      <w:r>
        <w:rPr>
          <w:rFonts w:ascii="Arial" w:cs="Arial" w:eastAsia="Arial" w:hAnsi="Arial"/>
          <w:sz w:val="22"/>
          <w:szCs w:val="22"/>
        </w:rPr>
        <w:t xml:space="preserve">Phase 3→4: Credit products live; AI models validated</w:t>
      </w:r>
    </w:p>
    <w:p>
      <w:pPr>
        <w:pStyle w:val="ListParagraph"/>
        <w:numPr>
          <w:ilvl w:val="0"/>
          <w:numId w:val="7"/>
        </w:numPr>
        <w:spacing w:after="200"/>
      </w:pPr>
      <w:r>
        <w:rPr>
          <w:rFonts w:ascii="Arial" w:cs="Arial" w:eastAsia="Arial" w:hAnsi="Arial"/>
          <w:sz w:val="22"/>
          <w:szCs w:val="22"/>
        </w:rPr>
        <w:t xml:space="preserve">Phase 4→5: International presence; enterprise revenue growing</w:t>
      </w:r>
    </w:p>
    <w:p>
      <w:pPr>
        <w:spacing w:before="600"/>
        <w:jc w:val="center"/>
      </w:pPr>
      <w:r>
        <w:rPr>
          <w:rFonts w:ascii="Arial" w:cs="Arial" w:eastAsia="Arial" w:hAnsi="Arial"/>
          <w:i/>
          <w:iCs/>
          <w:color w:val="666666"/>
        </w:rPr>
        <w:t xml:space="preserve">--- End of Roadmap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9B59B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8E44A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2026-02-10T16:51:22.439Z</dcterms:created>
  <dcterms:modified xsi:type="dcterms:W3CDTF">2026-02-10T16:51:22.440Z</dcterms:modified>
</cp:coreProperties>
</file>

<file path=docProps/custom.xml><?xml version="1.0" encoding="utf-8"?>
<Properties xmlns="http://schemas.openxmlformats.org/officeDocument/2006/custom-properties" xmlns:vt="http://schemas.openxmlformats.org/officeDocument/2006/docPropsVTypes"/>
</file>