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spacing w:after="200"/>
        <w:jc w:val="center"/>
      </w:pPr>
      <w:r>
        <w:rPr>
          <w:rFonts w:ascii="Arial" w:cs="Arial" w:eastAsia="Arial" w:hAnsi="Arial"/>
          <w:b/>
          <w:bCs/>
          <w:color w:val="1A3D5C"/>
          <w:sz w:val="72"/>
          <w:szCs w:val="72"/>
        </w:rPr>
        <w:t xml:space="preserve">FIXARS</w:t>
      </w:r>
    </w:p>
    <w:p>
      <w:pPr>
        <w:spacing w:after="100"/>
        <w:jc w:val="center"/>
      </w:pPr>
      <w:r>
        <w:rPr>
          <w:rFonts w:ascii="Arial" w:cs="Arial" w:eastAsia="Arial" w:hAnsi="Arial"/>
          <w:color w:val="2E86AB"/>
          <w:sz w:val="36"/>
          <w:szCs w:val="36"/>
        </w:rPr>
        <w:t xml:space="preserve">Super-App Ecosystem</w:t>
      </w:r>
    </w:p>
    <w:p>
      <w:pPr>
        <w:spacing w:after="400"/>
        <w:jc w:val="center"/>
      </w:pPr>
      <w:r>
        <w:rPr>
          <w:rFonts w:ascii="Arial" w:cs="Arial" w:eastAsia="Arial" w:hAnsi="Arial"/>
          <w:color w:val="666666"/>
          <w:sz w:val="24"/>
          <w:szCs w:val="24"/>
        </w:rPr>
        <w:t xml:space="preserve">Comprehensive Plan, Feasibility Analysis &amp; Strategic Blueprint</w:t>
      </w:r>
    </w:p>
    <w:p>
      <w:pPr>
        <w:spacing w:before="600" w:after="0"/>
      </w:pPr>
    </w:p>
    <w:p>
      <w:pPr>
        <w:jc w:val="center"/>
      </w:pPr>
      <w:r>
        <w:rPr>
          <w:rFonts w:ascii="Arial" w:cs="Arial" w:eastAsia="Arial" w:hAnsi="Arial"/>
          <w:i/>
          <w:iCs/>
          <w:color w:val="F18F01"/>
          <w:sz w:val="28"/>
          <w:szCs w:val="28"/>
        </w:rPr>
        <w:t xml:space="preserve">Four Standalone Apps. One Connected Ecosystem.</w:t>
      </w:r>
    </w:p>
    <w:p>
      <w:pPr>
        <w:spacing w:before="200" w:after="0"/>
      </w:pPr>
    </w:p>
    <w:p>
      <w:pPr>
        <w:jc w:val="center"/>
      </w:pPr>
      <w:r>
        <w:rPr>
          <w:rFonts w:ascii="Arial" w:cs="Arial" w:eastAsia="Arial" w:hAnsi="Arial"/>
          <w:color w:val="1A3D5C"/>
          <w:sz w:val="24"/>
          <w:szCs w:val="24"/>
        </w:rPr>
        <w:t xml:space="preserve">InvestDen  •  ConceptNexus  •  CollaBoard  •  SkillsCanvas</w:t>
      </w:r>
    </w:p>
    <w:p>
      <w:pPr>
        <w:spacing w:before="1200" w:after="0"/>
      </w:pPr>
    </w:p>
    <w:p>
      <w:pPr>
        <w:jc w:val="center"/>
      </w:pPr>
      <w:r>
        <w:rPr>
          <w:rFonts w:ascii="Arial" w:cs="Arial" w:eastAsia="Arial" w:hAnsi="Arial"/>
          <w:color w:val="666666"/>
          <w:sz w:val="22"/>
          <w:szCs w:val="22"/>
        </w:rPr>
        <w:t xml:space="preserve">Initial Market: Nigeria  |  Scaling: Africa &amp; Global</w:t>
      </w:r>
    </w:p>
    <w:p>
      <w:pPr>
        <w:jc w:val="center"/>
      </w:pPr>
      <w:r>
        <w:rPr>
          <w:rFonts w:ascii="Arial" w:cs="Arial" w:eastAsia="Arial" w:hAnsi="Arial"/>
          <w:color w:val="666666"/>
          <w:sz w:val="20"/>
          <w:szCs w:val="20"/>
        </w:rPr>
        <w:t xml:space="preserve">February 2026  |  Version 1.0  |  Confidential</w:t>
      </w:r>
    </w:p>
    <w:p>
      <w:r>
        <w:br w:type="page"/>
      </w:r>
    </w:p>
    <w:p>
      <w:pPr>
        <w:pStyle w:val="Heading1"/>
        <w:spacing w:before="300" w:after="15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00" w:after="150"/>
      </w:pPr>
      <w:r>
        <w:t xml:space="preserve">Executive Summary</w:t>
      </w:r>
    </w:p>
    <w:p>
      <w:pPr>
        <w:spacing w:after="120" w:before="0"/>
        <w:jc w:val="left"/>
      </w:pPr>
      <w:r>
        <w:rPr>
          <w:rFonts w:ascii="Arial" w:cs="Arial" w:eastAsia="Arial" w:hAnsi="Arial"/>
          <w:color w:val="000000"/>
          <w:sz w:val="22"/>
          <w:szCs w:val="22"/>
        </w:rPr>
        <w:t xml:space="preserve">Fixars is an interconnected super-app ecosystem designed to transform how Africans ideate, collaborate, invest, and monetise talent. Think of it as a digital city: each app is a distinct district with its own purpose, but they all share the same roads (APIs), currency (Fixar Points), and civic infrastructure (single sign-on, shared feed, DMs). Citizens move freely between districts, and the more they participate, the more the city thrives.</w:t>
      </w:r>
    </w:p>
    <w:p>
      <w:pPr>
        <w:spacing w:after="120" w:before="0"/>
        <w:jc w:val="left"/>
      </w:pPr>
      <w:r>
        <w:rPr>
          <w:rFonts w:ascii="Arial" w:cs="Arial" w:eastAsia="Arial" w:hAnsi="Arial"/>
          <w:color w:val="000000"/>
          <w:sz w:val="22"/>
          <w:szCs w:val="22"/>
        </w:rPr>
        <w:t xml:space="preserve">The ecosystem comprises four standalone applications that interoperate through a shared API layer, unified identity system, and cross-platform data exchange:</w:t>
      </w:r>
    </w:p>
    <w:p>
      <w:pPr>
        <w:pStyle w:val="ListParagraph"/>
        <w:numPr>
          <w:ilvl w:val="0"/>
          <w:numId w:val="2"/>
        </w:numPr>
        <w:spacing w:after="60"/>
      </w:pPr>
      <w:r>
        <w:rPr>
          <w:rFonts w:ascii="Arial" w:cs="Arial" w:eastAsia="Arial" w:hAnsi="Arial"/>
          <w:b/>
          <w:bCs/>
          <w:sz w:val="22"/>
          <w:szCs w:val="22"/>
        </w:rPr>
        <w:t xml:space="preserve">InvestDen: </w:t>
      </w:r>
      <w:r>
        <w:rPr>
          <w:rFonts w:ascii="Arial" w:cs="Arial" w:eastAsia="Arial" w:hAnsi="Arial"/>
          <w:sz w:val="22"/>
          <w:szCs w:val="22"/>
        </w:rPr>
        <w:t xml:space="preserve">A venture-staking marketplace where users back ideas, risks, and opportunities using prediction-market mechanics fused with crowdfunding. The sportsbook of innovation funding.</w:t>
      </w:r>
    </w:p>
    <w:p>
      <w:pPr>
        <w:pStyle w:val="ListParagraph"/>
        <w:numPr>
          <w:ilvl w:val="0"/>
          <w:numId w:val="2"/>
        </w:numPr>
        <w:spacing w:after="60"/>
      </w:pPr>
      <w:r>
        <w:rPr>
          <w:rFonts w:ascii="Arial" w:cs="Arial" w:eastAsia="Arial" w:hAnsi="Arial"/>
          <w:b/>
          <w:bCs/>
          <w:sz w:val="22"/>
          <w:szCs w:val="22"/>
        </w:rPr>
        <w:t xml:space="preserve">ConceptNexus: </w:t>
      </w:r>
      <w:r>
        <w:rPr>
          <w:rFonts w:ascii="Arial" w:cs="Arial" w:eastAsia="Arial" w:hAnsi="Arial"/>
          <w:sz w:val="22"/>
          <w:szCs w:val="22"/>
        </w:rPr>
        <w:t xml:space="preserve">An AI-powered refinement engine for ideas, civic improvements, micro-tasks, and commissioned projects. The research lab that certifies raw concepts into actionable briefs.</w:t>
      </w:r>
    </w:p>
    <w:p>
      <w:pPr>
        <w:pStyle w:val="ListParagraph"/>
        <w:numPr>
          <w:ilvl w:val="0"/>
          <w:numId w:val="2"/>
        </w:numPr>
        <w:spacing w:after="60"/>
      </w:pPr>
      <w:r>
        <w:rPr>
          <w:rFonts w:ascii="Arial" w:cs="Arial" w:eastAsia="Arial" w:hAnsi="Arial"/>
          <w:b/>
          <w:bCs/>
          <w:sz w:val="22"/>
          <w:szCs w:val="22"/>
        </w:rPr>
        <w:t xml:space="preserve">CollaBoard: </w:t>
      </w:r>
      <w:r>
        <w:rPr>
          <w:rFonts w:ascii="Arial" w:cs="Arial" w:eastAsia="Arial" w:hAnsi="Arial"/>
          <w:sz w:val="22"/>
          <w:szCs w:val="22"/>
        </w:rPr>
        <w:t xml:space="preserve">A collaboration sandbox that matches talented individuals into symbiotic teams, providing structured workflows for both tech and non-tech project execution. The workshop floor.</w:t>
      </w:r>
    </w:p>
    <w:p>
      <w:pPr>
        <w:pStyle w:val="ListParagraph"/>
        <w:numPr>
          <w:ilvl w:val="0"/>
          <w:numId w:val="2"/>
        </w:numPr>
        <w:spacing w:after="60"/>
      </w:pPr>
      <w:r>
        <w:rPr>
          <w:rFonts w:ascii="Arial" w:cs="Arial" w:eastAsia="Arial" w:hAnsi="Arial"/>
          <w:b/>
          <w:bCs/>
          <w:sz w:val="22"/>
          <w:szCs w:val="22"/>
        </w:rPr>
        <w:t xml:space="preserve">SkillsCanvas: </w:t>
      </w:r>
      <w:r>
        <w:rPr>
          <w:rFonts w:ascii="Arial" w:cs="Arial" w:eastAsia="Arial" w:hAnsi="Arial"/>
          <w:sz w:val="22"/>
          <w:szCs w:val="22"/>
        </w:rPr>
        <w:t xml:space="preserve">A skills-first talent hub with verifiable digital credentials, AI-driven gap analysis, and employer matching. The talent registry and passport office.</w:t>
      </w:r>
    </w:p>
    <w:p>
      <w:pPr>
        <w:spacing w:before="100" w:after="0"/>
      </w:pPr>
    </w:p>
    <w:p>
      <w:pPr>
        <w:spacing w:after="120" w:before="0"/>
        <w:jc w:val="left"/>
      </w:pPr>
      <w:r>
        <w:rPr>
          <w:rFonts w:ascii="Arial" w:cs="Arial" w:eastAsia="Arial" w:hAnsi="Arial"/>
          <w:color w:val="000000"/>
          <w:sz w:val="22"/>
          <w:szCs w:val="22"/>
        </w:rPr>
        <w:t xml:space="preserve">Together, these apps form a flywheel: SkillsCanvas verifies talent, CollaBoard assembles teams, ConceptNexus refines their ideas, and InvestDen funds the best ones. Users earn points, share content across a unified social feed, send direct messages, and participate in revenue-sharing from commissioned advertising pools.</w:t>
      </w:r>
    </w:p>
    <w:p>
      <w:pPr>
        <w:spacing w:after="120" w:before="0"/>
        <w:jc w:val="left"/>
      </w:pPr>
      <w:r>
        <w:rPr>
          <w:rFonts w:ascii="Arial" w:cs="Arial" w:eastAsia="Arial" w:hAnsi="Arial"/>
          <w:color w:val="000000"/>
          <w:sz w:val="22"/>
          <w:szCs w:val="22"/>
        </w:rPr>
        <w:t xml:space="preserve">The initial market is Nigeria, where 60 million people engage in daily speculative activity, fewer than 3 million participate in formal capital markets, and youth unemployment exceeds 40%. Fixars channels this energy into productive innovation. Scaling follows an Africa-first trajectory before expanding globally.</w:t>
      </w:r>
    </w:p>
    <w:p>
      <w:r>
        <w:br w:type="page"/>
      </w:r>
    </w:p>
    <w:p>
      <w:pPr>
        <w:pStyle w:val="Heading1"/>
        <w:spacing w:before="300" w:after="150"/>
      </w:pPr>
      <w:r>
        <w:t xml:space="preserve">The Fixars Ecosystem Architecture</w:t>
      </w:r>
    </w:p>
    <w:p>
      <w:pPr>
        <w:pStyle w:val="Heading2"/>
        <w:spacing w:before="300" w:after="150"/>
      </w:pPr>
      <w:r>
        <w:t xml:space="preserve">Ecosystem Vision &amp; Design Principles</w:t>
      </w:r>
    </w:p>
    <w:p>
      <w:pPr>
        <w:spacing w:after="120" w:before="0"/>
        <w:jc w:val="left"/>
      </w:pPr>
      <w:r>
        <w:rPr>
          <w:rFonts w:ascii="Arial" w:cs="Arial" w:eastAsia="Arial" w:hAnsi="Arial"/>
          <w:color w:val="000000"/>
          <w:sz w:val="22"/>
          <w:szCs w:val="22"/>
        </w:rPr>
        <w:t xml:space="preserve">Fixars operates on a federated super-app model, not a monolithic application. Each app retains its standalone identity and value proposition while connecting to a shared backbone. The analogy is a shopping mall: each store (app) has its own brand and customers, but the mall provides shared parking (identity), a loyalty card (Fixar Points), a food court (social feed), and security (compliance layer).</w:t>
      </w:r>
    </w:p>
    <w:p>
      <w:pPr>
        <w:spacing w:after="120" w:before="0"/>
        <w:jc w:val="left"/>
      </w:pPr>
      <w:r>
        <w:rPr>
          <w:rFonts w:ascii="Arial" w:cs="Arial" w:eastAsia="Arial" w:hAnsi="Arial"/>
          <w:color w:val="000000"/>
          <w:sz w:val="22"/>
          <w:szCs w:val="22"/>
        </w:rPr>
        <w:t xml:space="preserve">Core design principles:</w:t>
      </w:r>
    </w:p>
    <w:p>
      <w:pPr>
        <w:pStyle w:val="ListParagraph"/>
        <w:numPr>
          <w:ilvl w:val="0"/>
          <w:numId w:val="2"/>
        </w:numPr>
        <w:spacing w:after="60"/>
      </w:pPr>
      <w:r>
        <w:rPr>
          <w:rFonts w:ascii="Arial" w:cs="Arial" w:eastAsia="Arial" w:hAnsi="Arial"/>
          <w:b/>
          <w:bCs/>
          <w:sz w:val="22"/>
          <w:szCs w:val="22"/>
        </w:rPr>
        <w:t xml:space="preserve">Standalone-First: </w:t>
      </w:r>
      <w:r>
        <w:rPr>
          <w:rFonts w:ascii="Arial" w:cs="Arial" w:eastAsia="Arial" w:hAnsi="Arial"/>
          <w:sz w:val="22"/>
          <w:szCs w:val="22"/>
        </w:rPr>
        <w:t xml:space="preserve">Each app must deliver full value independently. No user should need the other apps to benefit.</w:t>
      </w:r>
    </w:p>
    <w:p>
      <w:pPr>
        <w:pStyle w:val="ListParagraph"/>
        <w:numPr>
          <w:ilvl w:val="0"/>
          <w:numId w:val="2"/>
        </w:numPr>
        <w:spacing w:after="60"/>
      </w:pPr>
      <w:r>
        <w:rPr>
          <w:rFonts w:ascii="Arial" w:cs="Arial" w:eastAsia="Arial" w:hAnsi="Arial"/>
          <w:b/>
          <w:bCs/>
          <w:sz w:val="22"/>
          <w:szCs w:val="22"/>
        </w:rPr>
        <w:t xml:space="preserve">API-Native Interconnection: </w:t>
      </w:r>
      <w:r>
        <w:rPr>
          <w:rFonts w:ascii="Arial" w:cs="Arial" w:eastAsia="Arial" w:hAnsi="Arial"/>
          <w:sz w:val="22"/>
          <w:szCs w:val="22"/>
        </w:rPr>
        <w:t xml:space="preserve">All cross-app communication flows through versioned REST/GraphQL APIs and webhooks, not hard-wired dependencies.</w:t>
      </w:r>
    </w:p>
    <w:p>
      <w:pPr>
        <w:pStyle w:val="ListParagraph"/>
        <w:numPr>
          <w:ilvl w:val="0"/>
          <w:numId w:val="2"/>
        </w:numPr>
        <w:spacing w:after="60"/>
      </w:pPr>
      <w:r>
        <w:rPr>
          <w:rFonts w:ascii="Arial" w:cs="Arial" w:eastAsia="Arial" w:hAnsi="Arial"/>
          <w:b/>
          <w:bCs/>
          <w:sz w:val="22"/>
          <w:szCs w:val="22"/>
        </w:rPr>
        <w:t xml:space="preserve">Single Identity, Multiple Contexts: </w:t>
      </w:r>
      <w:r>
        <w:rPr>
          <w:rFonts w:ascii="Arial" w:cs="Arial" w:eastAsia="Arial" w:hAnsi="Arial"/>
          <w:sz w:val="22"/>
          <w:szCs w:val="22"/>
        </w:rPr>
        <w:t xml:space="preserve">One Fixars account provides SSO across all apps, with context-appropriate permissions per app.</w:t>
      </w:r>
    </w:p>
    <w:p>
      <w:pPr>
        <w:pStyle w:val="ListParagraph"/>
        <w:numPr>
          <w:ilvl w:val="0"/>
          <w:numId w:val="2"/>
        </w:numPr>
        <w:spacing w:after="60"/>
      </w:pPr>
      <w:r>
        <w:rPr>
          <w:rFonts w:ascii="Arial" w:cs="Arial" w:eastAsia="Arial" w:hAnsi="Arial"/>
          <w:b/>
          <w:bCs/>
          <w:sz w:val="22"/>
          <w:szCs w:val="22"/>
        </w:rPr>
        <w:t xml:space="preserve">Data Sovereignty with Consent: </w:t>
      </w:r>
      <w:r>
        <w:rPr>
          <w:rFonts w:ascii="Arial" w:cs="Arial" w:eastAsia="Arial" w:hAnsi="Arial"/>
          <w:sz w:val="22"/>
          <w:szCs w:val="22"/>
        </w:rPr>
        <w:t xml:space="preserve">Users control which data flows between apps. Cross-app data sharing requires explicit opt-in, compliant with NDPA 2023.</w:t>
      </w:r>
    </w:p>
    <w:p>
      <w:pPr>
        <w:pStyle w:val="ListParagraph"/>
        <w:numPr>
          <w:ilvl w:val="0"/>
          <w:numId w:val="2"/>
        </w:numPr>
        <w:spacing w:after="60"/>
      </w:pPr>
      <w:r>
        <w:rPr>
          <w:rFonts w:ascii="Arial" w:cs="Arial" w:eastAsia="Arial" w:hAnsi="Arial"/>
          <w:b/>
          <w:bCs/>
          <w:sz w:val="22"/>
          <w:szCs w:val="22"/>
        </w:rPr>
        <w:t xml:space="preserve">Progressive Enhancement: </w:t>
      </w:r>
      <w:r>
        <w:rPr>
          <w:rFonts w:ascii="Arial" w:cs="Arial" w:eastAsia="Arial" w:hAnsi="Arial"/>
          <w:sz w:val="22"/>
          <w:szCs w:val="22"/>
        </w:rPr>
        <w:t xml:space="preserve">New apps and third-party solutions can join the ecosystem via the same API gateway, maximising network effects.</w:t>
      </w:r>
    </w:p>
    <w:p>
      <w:pPr>
        <w:pStyle w:val="Heading2"/>
        <w:spacing w:before="300" w:after="150"/>
      </w:pPr>
      <w:r>
        <w:t xml:space="preserve">Shared Infrastructure Layer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26"/>
        <w:gridCol w:w="3000"/>
      </w:tblGrid>
      <w:tr>
        <w:trPr>
          <w:tblHeader/>
        </w:trPr>
        <w:tc>
          <w:tcPr>
            <w:tcW w:type="dxa" w:w="2000"/>
            <w:tcBorders>
              <w:top w:val="single" w:color="CCCCCC" w:sz="1"/>
              <w:left w:val="single" w:color="CCCCCC" w:sz="1"/>
              <w:bottom w:val="single" w:color="CCCCCC" w:sz="1"/>
              <w:right w:val="single" w:color="CCCCCC" w:sz="1"/>
            </w:tcBorders>
            <w:shd w:fill="1A3D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4026"/>
            <w:tcBorders>
              <w:top w:val="single" w:color="CCCCCC" w:sz="1"/>
              <w:left w:val="single" w:color="CCCCCC" w:sz="1"/>
              <w:bottom w:val="single" w:color="CCCCCC" w:sz="1"/>
              <w:right w:val="single" w:color="CCCCCC" w:sz="1"/>
            </w:tcBorders>
            <w:shd w:fill="1A3D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3000"/>
            <w:tcBorders>
              <w:top w:val="single" w:color="CCCCCC" w:sz="1"/>
              <w:left w:val="single" w:color="CCCCCC" w:sz="1"/>
              <w:bottom w:val="single" w:color="CCCCCC" w:sz="1"/>
              <w:right w:val="single" w:color="CCCCCC" w:sz="1"/>
            </w:tcBorders>
            <w:shd w:fill="1A3D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Fixars Identity (SSO)</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sign-on across all apps; OAuth 2.1 / OIDC; KYC tiers (basic, verified, institutional)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Auth0 / Keycloak + BVN/NIN integration for Nigeria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Fixars Feed</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Unified social feed where users post statuses, share achievements, and discover content across all apps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Event-driven microservice; Redis pub/sub; infinite scroll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Fixars Messaging (DMs)</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Cross-app direct messaging with end-to-end encryption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WebSocket + Matrix protocol or custom E2EE layer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Fixar Points Engine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Universal points system rewarding usage, cross-app activity, referrals, and interconnectivity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Ledger-based microservice; earn/burn/transfer rules engine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Revenue Share Pool</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Enterprise-commissioned ad revenue distributed to qualifying users based on engagement and contribution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Smart rules engine; monthly settlement; transparent dashboard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Gateway</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Central routing, rate-limiting, authentication, and versioning for all inter-app and third-party API calls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Kong / AWS API Gateway; OpenAPI 3.1 spec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Mesh</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Shared event bus for cross-app data flow with consent management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Apache Kafka / AWS EventBridge; consent ledger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Compliance Layer</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Centralised KYC/AML, NDPA privacy controls, content moderation, and audit logging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Microservice with RBAC; integrates with Smile Identity / Dojah</w:t>
            </w:r>
          </w:p>
        </w:tc>
      </w:tr>
    </w:tbl>
    <w:p>
      <w:pPr>
        <w:pStyle w:val="Heading2"/>
        <w:spacing w:before="300" w:after="150"/>
      </w:pPr>
      <w:r>
        <w:t xml:space="preserve">Cross-App Data Flow</w:t>
      </w:r>
    </w:p>
    <w:p>
      <w:pPr>
        <w:spacing w:after="120" w:before="0"/>
        <w:jc w:val="left"/>
      </w:pPr>
      <w:r>
        <w:rPr>
          <w:rFonts w:ascii="Arial" w:cs="Arial" w:eastAsia="Arial" w:hAnsi="Arial"/>
          <w:color w:val="000000"/>
          <w:sz w:val="22"/>
          <w:szCs w:val="22"/>
        </w:rPr>
        <w:t xml:space="preserve">The power of Fixars lies in how data flows between apps, creating compounding value. Here is how the four apps interconnect: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526"/>
        <w:gridCol w:w="2500"/>
      </w:tblGrid>
      <w:tr>
        <w:trPr>
          <w:tblHeader/>
        </w:trPr>
        <w:tc>
          <w:tcPr>
            <w:tcW w:type="dxa" w:w="1500"/>
            <w:tcBorders>
              <w:top w:val="single" w:color="CCCCCC" w:sz="1"/>
              <w:left w:val="single" w:color="CCCCCC" w:sz="1"/>
              <w:bottom w:val="single" w:color="CCCCCC" w:sz="1"/>
              <w:right w:val="single" w:color="CCCCCC" w:sz="1"/>
            </w:tcBorders>
            <w:shd w:fill="1A3D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From</w:t>
            </w:r>
          </w:p>
        </w:tc>
        <w:tc>
          <w:tcPr>
            <w:tcW w:type="dxa" w:w="1500"/>
            <w:tcBorders>
              <w:top w:val="single" w:color="CCCCCC" w:sz="1"/>
              <w:left w:val="single" w:color="CCCCCC" w:sz="1"/>
              <w:bottom w:val="single" w:color="CCCCCC" w:sz="1"/>
              <w:right w:val="single" w:color="CCCCCC" w:sz="1"/>
            </w:tcBorders>
            <w:shd w:fill="1A3D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w:t>
            </w:r>
          </w:p>
        </w:tc>
        <w:tc>
          <w:tcPr>
            <w:tcW w:type="dxa" w:w="3526"/>
            <w:tcBorders>
              <w:top w:val="single" w:color="CCCCCC" w:sz="1"/>
              <w:left w:val="single" w:color="CCCCCC" w:sz="1"/>
              <w:bottom w:val="single" w:color="CCCCCC" w:sz="1"/>
              <w:right w:val="single" w:color="CCCCCC" w:sz="1"/>
            </w:tcBorders>
            <w:shd w:fill="1A3D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Data Shared</w:t>
            </w:r>
          </w:p>
        </w:tc>
        <w:tc>
          <w:tcPr>
            <w:tcW w:type="dxa" w:w="2500"/>
            <w:tcBorders>
              <w:top w:val="single" w:color="CCCCCC" w:sz="1"/>
              <w:left w:val="single" w:color="CCCCCC" w:sz="1"/>
              <w:bottom w:val="single" w:color="CCCCCC" w:sz="1"/>
              <w:right w:val="single" w:color="CCCCCC" w:sz="1"/>
            </w:tcBorders>
            <w:shd w:fill="1A3D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User Benefit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SkillsCanvas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CollaBoard</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Verified skill profiles, proof-of-skill scores, availability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team-matching uses verified credentials, not self-reported skills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ConceptNexus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CollaBoard</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Certified ideas, commission briefs, acceptance criteria, SLAs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Teams work on pre-validated, high-quality briefs with clear deliverables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ConceptNexus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InvestDen</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Idea maturity scores (I-I-V-S), trend velocity, sector tags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Investors see transparent, data-backed odds on which ideas have merit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CollaBoard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InvestDen</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 cohesion metrics, milestone completion rates, artifact quality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 project signals update investment odds in real-time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CollaBoard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SkillsCanvas</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Completed project artifacts, peer reviews, collaboration badges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Automatic credential issuance based on demonstrated work</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InvestDen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ConceptNexus</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Funded project IDs, investment amounts, market sentiment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High-demand ideas get priority certification and promotion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Apps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Fixars Feed</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 updates, achievements, milestones, certifications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Unified social experience; cross-discovery of opportunities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Apps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Fixar Points</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Usage events, cross-app actions, referrals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Cumulative rewards; redeemable for premium features or cash-outs</w:t>
            </w:r>
          </w:p>
        </w:tc>
      </w:tr>
    </w:tbl>
    <w:p>
      <w:r>
        <w:br w:type="page"/>
      </w:r>
    </w:p>
    <w:p>
      <w:pPr>
        <w:pStyle w:val="Heading1"/>
        <w:spacing w:before="300" w:after="150"/>
      </w:pPr>
      <w:r>
        <w:t xml:space="preserve">Standalone App Blueprints</w:t>
      </w:r>
    </w:p>
    <w:p>
      <w:pPr>
        <w:pStyle w:val="Heading2"/>
        <w:spacing w:before="300" w:after="150"/>
      </w:pPr>
      <w:r>
        <w:t xml:space="preserve">InvestDen — The Venture-Staking Marketplace</w:t>
      </w:r>
    </w:p>
    <w:p>
      <w:pPr>
        <w:spacing w:after="120" w:before="0"/>
        <w:jc w:val="left"/>
      </w:pPr>
      <w:r>
        <w:rPr>
          <w:rFonts w:ascii="Arial" w:cs="Arial" w:eastAsia="Arial" w:hAnsi="Arial"/>
          <w:b/>
          <w:bCs/>
          <w:sz w:val="22"/>
          <w:szCs w:val="22"/>
        </w:rPr>
        <w:t xml:space="preserve">Tagline: </w:t>
      </w:r>
      <w:r>
        <w:rPr>
          <w:rFonts w:ascii="Arial" w:cs="Arial" w:eastAsia="Arial" w:hAnsi="Arial"/>
          <w:i/>
          <w:iCs/>
          <w:sz w:val="22"/>
          <w:szCs w:val="22"/>
        </w:rPr>
        <w:t xml:space="preserve">"Stake on ideas. Profit from innovation."</w:t>
      </w:r>
    </w:p>
    <w:p>
      <w:pPr>
        <w:pStyle w:val="Heading3"/>
        <w:spacing w:before="300" w:after="150"/>
      </w:pPr>
      <w:r>
        <w:t xml:space="preserve">Concept &amp; Value Proposition</w:t>
      </w:r>
    </w:p>
    <w:p>
      <w:pPr>
        <w:spacing w:after="120" w:before="0"/>
        <w:jc w:val="left"/>
      </w:pPr>
      <w:r>
        <w:rPr>
          <w:rFonts w:ascii="Arial" w:cs="Arial" w:eastAsia="Arial" w:hAnsi="Arial"/>
          <w:color w:val="000000"/>
          <w:sz w:val="22"/>
          <w:szCs w:val="22"/>
        </w:rPr>
        <w:t xml:space="preserve">InvestDen reimagines venture funding as a prediction market. Users can go long (back an idea to succeed) or go short (hedge against failure) on early-stage projects. The analogy: imagine a stock exchange, but instead of trading shares of Dangote Cement, you are trading shares of conviction in an idea, a team, or a risk. Odds are set not by a bookmaker but by live data feeds from ConceptNexus (idea quality) and CollaBoard (team performance), making this a data-driven marketplace rather than blind speculation.</w:t>
      </w:r>
    </w:p>
    <w:p>
      <w:pPr>
        <w:spacing w:after="120" w:before="0"/>
        <w:jc w:val="left"/>
      </w:pPr>
      <w:r>
        <w:rPr>
          <w:rFonts w:ascii="Arial" w:cs="Arial" w:eastAsia="Arial" w:hAnsi="Arial"/>
          <w:color w:val="000000"/>
          <w:sz w:val="22"/>
          <w:szCs w:val="22"/>
        </w:rPr>
        <w:t xml:space="preserve">Unlike Polymarket (which trades event outcomes without funding those events) or traditional crowdfunding (which funds but offers no hedging), InvestDen occupies a novel middle ground: structured securities disguised as a sportsbook interface, channelling Nigeria’s massive speculative appetite into productive venture financing.</w:t>
      </w:r>
    </w:p>
    <w:p>
      <w:pPr>
        <w:pStyle w:val="Heading3"/>
        <w:spacing w:before="300" w:after="150"/>
      </w:pPr>
      <w:r>
        <w:t xml:space="preserve">Key Features</w:t>
      </w:r>
    </w:p>
    <w:p>
      <w:pPr>
        <w:pStyle w:val="ListParagraph"/>
        <w:numPr>
          <w:ilvl w:val="0"/>
          <w:numId w:val="2"/>
        </w:numPr>
        <w:spacing w:after="60"/>
      </w:pPr>
      <w:r>
        <w:rPr>
          <w:rFonts w:ascii="Arial" w:cs="Arial" w:eastAsia="Arial" w:hAnsi="Arial"/>
          <w:b/>
          <w:bCs/>
          <w:sz w:val="22"/>
          <w:szCs w:val="22"/>
        </w:rPr>
        <w:t xml:space="preserve">Milestone-Linked Notes (Long positions): </w:t>
      </w:r>
      <w:r>
        <w:rPr>
          <w:rFonts w:ascii="Arial" w:cs="Arial" w:eastAsia="Arial" w:hAnsi="Arial"/>
          <w:sz w:val="22"/>
          <w:szCs w:val="22"/>
        </w:rPr>
        <w:t xml:space="preserve">Investors purchase notes that pay out if a project hits predefined milestones (e.g., MVP launch, 1,000 users, revenue target). Returns scale with milestone achievement.</w:t>
      </w:r>
    </w:p>
    <w:p>
      <w:pPr>
        <w:pStyle w:val="ListParagraph"/>
        <w:numPr>
          <w:ilvl w:val="0"/>
          <w:numId w:val="2"/>
        </w:numPr>
        <w:spacing w:after="60"/>
      </w:pPr>
      <w:r>
        <w:rPr>
          <w:rFonts w:ascii="Arial" w:cs="Arial" w:eastAsia="Arial" w:hAnsi="Arial"/>
          <w:b/>
          <w:bCs/>
          <w:sz w:val="22"/>
          <w:szCs w:val="22"/>
        </w:rPr>
        <w:t xml:space="preserve">Protection Notes (Short positions): </w:t>
      </w:r>
      <w:r>
        <w:rPr>
          <w:rFonts w:ascii="Arial" w:cs="Arial" w:eastAsia="Arial" w:hAnsi="Arial"/>
          <w:sz w:val="22"/>
          <w:szCs w:val="22"/>
        </w:rPr>
        <w:t xml:space="preserve">Hedging instruments that pay out if a project fails to meet milestones by deadline. This creates genuine price discovery.</w:t>
      </w:r>
    </w:p>
    <w:p>
      <w:pPr>
        <w:pStyle w:val="ListParagraph"/>
        <w:numPr>
          <w:ilvl w:val="0"/>
          <w:numId w:val="2"/>
        </w:numPr>
        <w:spacing w:after="60"/>
      </w:pPr>
      <w:r>
        <w:rPr>
          <w:rFonts w:ascii="Arial" w:cs="Arial" w:eastAsia="Arial" w:hAnsi="Arial"/>
          <w:b/>
          <w:bCs/>
          <w:sz w:val="22"/>
          <w:szCs w:val="22"/>
        </w:rPr>
        <w:t xml:space="preserve">Sealed-Bid Auctions: </w:t>
      </w:r>
      <w:r>
        <w:rPr>
          <w:rFonts w:ascii="Arial" w:cs="Arial" w:eastAsia="Arial" w:hAnsi="Arial"/>
          <w:sz w:val="22"/>
          <w:szCs w:val="22"/>
        </w:rPr>
        <w:t xml:space="preserve">Initial offerings use uniform-price sealed-bid auctions to prevent bot sniping and encourage truthful valuation.</w:t>
      </w:r>
    </w:p>
    <w:p>
      <w:pPr>
        <w:pStyle w:val="ListParagraph"/>
        <w:numPr>
          <w:ilvl w:val="0"/>
          <w:numId w:val="2"/>
        </w:numPr>
        <w:spacing w:after="60"/>
      </w:pPr>
      <w:r>
        <w:rPr>
          <w:rFonts w:ascii="Arial" w:cs="Arial" w:eastAsia="Arial" w:hAnsi="Arial"/>
          <w:b/>
          <w:bCs/>
          <w:sz w:val="22"/>
          <w:szCs w:val="22"/>
        </w:rPr>
        <w:t xml:space="preserve">Live Odds Dashboard: </w:t>
      </w:r>
      <w:r>
        <w:rPr>
          <w:rFonts w:ascii="Arial" w:cs="Arial" w:eastAsia="Arial" w:hAnsi="Arial"/>
          <w:sz w:val="22"/>
          <w:szCs w:val="22"/>
        </w:rPr>
        <w:t xml:space="preserve">Real-time odds computed from ConceptNexus I-I-V-S scores and CollaBoard team signals (cohesion, velocity, artifact quality).</w:t>
      </w:r>
    </w:p>
    <w:p>
      <w:pPr>
        <w:pStyle w:val="ListParagraph"/>
        <w:numPr>
          <w:ilvl w:val="0"/>
          <w:numId w:val="2"/>
        </w:numPr>
        <w:spacing w:after="60"/>
      </w:pPr>
      <w:r>
        <w:rPr>
          <w:rFonts w:ascii="Arial" w:cs="Arial" w:eastAsia="Arial" w:hAnsi="Arial"/>
          <w:b/>
          <w:bCs/>
          <w:sz w:val="22"/>
          <w:szCs w:val="22"/>
        </w:rPr>
        <w:t xml:space="preserve">Micro-Stakes: </w:t>
      </w:r>
      <w:r>
        <w:rPr>
          <w:rFonts w:ascii="Arial" w:cs="Arial" w:eastAsia="Arial" w:hAnsi="Arial"/>
          <w:sz w:val="22"/>
          <w:szCs w:val="22"/>
        </w:rPr>
        <w:t xml:space="preserve">Minimum entry from ₦500 (∼£0.30), making venture investment accessible to Nigeria’s mass market.</w:t>
      </w:r>
    </w:p>
    <w:p>
      <w:pPr>
        <w:pStyle w:val="ListParagraph"/>
        <w:numPr>
          <w:ilvl w:val="0"/>
          <w:numId w:val="2"/>
        </w:numPr>
        <w:spacing w:after="60"/>
      </w:pPr>
      <w:r>
        <w:rPr>
          <w:rFonts w:ascii="Arial" w:cs="Arial" w:eastAsia="Arial" w:hAnsi="Arial"/>
          <w:b/>
          <w:bCs/>
          <w:sz w:val="22"/>
          <w:szCs w:val="22"/>
        </w:rPr>
        <w:t xml:space="preserve">Investor Education Hub: </w:t>
      </w:r>
      <w:r>
        <w:rPr>
          <w:rFonts w:ascii="Arial" w:cs="Arial" w:eastAsia="Arial" w:hAnsi="Arial"/>
          <w:sz w:val="22"/>
          <w:szCs w:val="22"/>
        </w:rPr>
        <w:t xml:space="preserve">Modules teaching the difference between staking and gambling, risk management, and venture fundamentals.</w:t>
      </w:r>
    </w:p>
    <w:p>
      <w:pPr>
        <w:pStyle w:val="Heading3"/>
        <w:spacing w:before="300" w:after="150"/>
      </w:pPr>
      <w:r>
        <w:t xml:space="preserve">Feasibility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rPr>
          <w:tblHeader/>
        </w:trPr>
        <w:tc>
          <w:tcPr>
            <w:tcW w:type="dxa" w:w="1500"/>
            <w:tcBorders>
              <w:top w:val="single" w:color="CCCCCC" w:sz="1"/>
              <w:left w:val="single" w:color="CCCCCC" w:sz="1"/>
              <w:bottom w:val="single" w:color="CCCCCC" w:sz="1"/>
              <w:right w:val="single" w:color="CCCCCC" w:sz="1"/>
            </w:tcBorders>
            <w:shd w:fill="1A3D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Dimension</w:t>
            </w:r>
          </w:p>
        </w:tc>
        <w:tc>
          <w:tcPr>
            <w:tcW w:type="dxa" w:w="5526"/>
            <w:tcBorders>
              <w:top w:val="single" w:color="CCCCCC" w:sz="1"/>
              <w:left w:val="single" w:color="CCCCCC" w:sz="1"/>
              <w:bottom w:val="single" w:color="CCCCCC" w:sz="1"/>
              <w:right w:val="single" w:color="CCCCCC" w:sz="1"/>
            </w:tcBorders>
            <w:shd w:fill="1A3D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Assessment</w:t>
            </w:r>
          </w:p>
        </w:tc>
        <w:tc>
          <w:tcPr>
            <w:tcW w:type="dxa" w:w="2000"/>
            <w:tcBorders>
              <w:top w:val="single" w:color="CCCCCC" w:sz="1"/>
              <w:left w:val="single" w:color="CCCCCC" w:sz="1"/>
              <w:bottom w:val="single" w:color="CCCCCC" w:sz="1"/>
              <w:right w:val="single" w:color="CCCCCC" w:sz="1"/>
            </w:tcBorders>
            <w:shd w:fill="1A3D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 Level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Regulatory</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register as crowdfunding intermediary under Nigerian SEC/ISA. Instruments must be classified as securities, NOT wagers, to avoid gambling laws. Central Gaming Bill (2025) bans crypto payments for gaming.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 Demand</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60M Nigerians gamble daily (~$5.5M/day); $50B annual crypto volume; under 4% stock market participation. Massive latent demand for accessible speculative products.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Technical</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Requires oracle infrastructure for data feeds, sealed-bid auction engine, market-maker algorithms, real-time risk pricing. Complex but buildable.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Cannot use crypto/stablecoins (per Central Gaming Bill). Must integrate Naira wallets (Paystack, Flutterwave), bank transfers, USSD, and potentially e-Naira.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Competition</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direct competitor combines prediction markets + venture funding + live data feeds. Adjacent: Bamboo (US stocks), Chaka (fractional investing), PiggyVest (savings).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Revenue Model</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Auction fees (1-3%), market-maker spreads, issuer listing fees, data licensing to institutional investors, premium analytics subscriptions.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bl>
    <w:p>
      <w:pPr>
        <w:pStyle w:val="Heading3"/>
        <w:spacing w:before="300" w:after="150"/>
      </w:pPr>
      <w:r>
        <w:t xml:space="preserve">Monetisation Streams</w:t>
      </w:r>
    </w:p>
    <w:p>
      <w:pPr>
        <w:pStyle w:val="ListParagraph"/>
        <w:numPr>
          <w:ilvl w:val="0"/>
          <w:numId w:val="2"/>
        </w:numPr>
        <w:spacing w:after="60"/>
      </w:pPr>
      <w:r>
        <w:rPr>
          <w:rFonts w:ascii="Arial" w:cs="Arial" w:eastAsia="Arial" w:hAnsi="Arial"/>
          <w:b/>
          <w:bCs/>
          <w:sz w:val="22"/>
          <w:szCs w:val="22"/>
        </w:rPr>
        <w:t xml:space="preserve">Transaction Commissions: </w:t>
      </w:r>
      <w:r>
        <w:rPr>
          <w:rFonts w:ascii="Arial" w:cs="Arial" w:eastAsia="Arial" w:hAnsi="Arial"/>
          <w:sz w:val="22"/>
          <w:szCs w:val="22"/>
        </w:rPr>
        <w:t xml:space="preserve">1-3% on each note purchase/sale.</w:t>
      </w:r>
    </w:p>
    <w:p>
      <w:pPr>
        <w:pStyle w:val="ListParagraph"/>
        <w:numPr>
          <w:ilvl w:val="0"/>
          <w:numId w:val="2"/>
        </w:numPr>
        <w:spacing w:after="60"/>
      </w:pPr>
      <w:r>
        <w:rPr>
          <w:rFonts w:ascii="Arial" w:cs="Arial" w:eastAsia="Arial" w:hAnsi="Arial"/>
          <w:b/>
          <w:bCs/>
          <w:sz w:val="22"/>
          <w:szCs w:val="22"/>
        </w:rPr>
        <w:t xml:space="preserve">Issuer Fees: </w:t>
      </w:r>
      <w:r>
        <w:rPr>
          <w:rFonts w:ascii="Arial" w:cs="Arial" w:eastAsia="Arial" w:hAnsi="Arial"/>
          <w:sz w:val="22"/>
          <w:szCs w:val="22"/>
        </w:rPr>
        <w:t xml:space="preserve">Project founders pay listing fees to offer notes.</w:t>
      </w:r>
    </w:p>
    <w:p>
      <w:pPr>
        <w:pStyle w:val="ListParagraph"/>
        <w:numPr>
          <w:ilvl w:val="0"/>
          <w:numId w:val="2"/>
        </w:numPr>
        <w:spacing w:after="60"/>
      </w:pPr>
      <w:r>
        <w:rPr>
          <w:rFonts w:ascii="Arial" w:cs="Arial" w:eastAsia="Arial" w:hAnsi="Arial"/>
          <w:b/>
          <w:bCs/>
          <w:sz w:val="22"/>
          <w:szCs w:val="22"/>
        </w:rPr>
        <w:t xml:space="preserve">Premium Analytics: </w:t>
      </w:r>
      <w:r>
        <w:rPr>
          <w:rFonts w:ascii="Arial" w:cs="Arial" w:eastAsia="Arial" w:hAnsi="Arial"/>
          <w:sz w:val="22"/>
          <w:szCs w:val="22"/>
        </w:rPr>
        <w:t xml:space="preserve">Subscription tier for advanced dashboards, trend alerts, and portfolio tools.</w:t>
      </w:r>
    </w:p>
    <w:p>
      <w:pPr>
        <w:pStyle w:val="ListParagraph"/>
        <w:numPr>
          <w:ilvl w:val="0"/>
          <w:numId w:val="2"/>
        </w:numPr>
        <w:spacing w:after="60"/>
      </w:pPr>
      <w:r>
        <w:rPr>
          <w:rFonts w:ascii="Arial" w:cs="Arial" w:eastAsia="Arial" w:hAnsi="Arial"/>
          <w:b/>
          <w:bCs/>
          <w:sz w:val="22"/>
          <w:szCs w:val="22"/>
        </w:rPr>
        <w:t xml:space="preserve">Data Licensing: </w:t>
      </w:r>
      <w:r>
        <w:rPr>
          <w:rFonts w:ascii="Arial" w:cs="Arial" w:eastAsia="Arial" w:hAnsi="Arial"/>
          <w:sz w:val="22"/>
          <w:szCs w:val="22"/>
        </w:rPr>
        <w:t xml:space="preserve">Aggregate market sentiment data sold to VCs and institutional investors.</w:t>
      </w:r>
    </w:p>
    <w:p>
      <w:pPr>
        <w:pStyle w:val="ListParagraph"/>
        <w:numPr>
          <w:ilvl w:val="0"/>
          <w:numId w:val="2"/>
        </w:numPr>
        <w:spacing w:after="60"/>
      </w:pPr>
      <w:r>
        <w:rPr>
          <w:rFonts w:ascii="Arial" w:cs="Arial" w:eastAsia="Arial" w:hAnsi="Arial"/>
          <w:b/>
          <w:bCs/>
          <w:sz w:val="22"/>
          <w:szCs w:val="22"/>
        </w:rPr>
        <w:t xml:space="preserve">Market-Maker Spread: </w:t>
      </w:r>
      <w:r>
        <w:rPr>
          <w:rFonts w:ascii="Arial" w:cs="Arial" w:eastAsia="Arial" w:hAnsi="Arial"/>
          <w:sz w:val="22"/>
          <w:szCs w:val="22"/>
        </w:rPr>
        <w:t xml:space="preserve">Platform acts as market-maker, earning the bid-ask spread on secondary trades.</w:t>
      </w:r>
    </w:p>
    <w:p>
      <w:pPr>
        <w:pStyle w:val="Heading3"/>
        <w:spacing w:before="300" w:after="150"/>
      </w:pPr>
      <w:r>
        <w:t xml:space="preserve">MVP Scope (12 Weeks)</w:t>
      </w:r>
    </w:p>
    <w:p>
      <w:pPr>
        <w:spacing w:after="120" w:before="0"/>
        <w:jc w:val="left"/>
      </w:pPr>
      <w:r>
        <w:rPr>
          <w:rFonts w:ascii="Arial" w:cs="Arial" w:eastAsia="Arial" w:hAnsi="Arial"/>
          <w:color w:val="000000"/>
          <w:sz w:val="22"/>
          <w:szCs w:val="22"/>
        </w:rPr>
        <w:t xml:space="preserve">Phase 0 (Weeks 1-2): Auth, KYC integration, project listing form, basic Naira wallet connection.</w:t>
      </w:r>
    </w:p>
    <w:p>
      <w:pPr>
        <w:spacing w:after="120" w:before="0"/>
        <w:jc w:val="left"/>
      </w:pPr>
      <w:r>
        <w:rPr>
          <w:rFonts w:ascii="Arial" w:cs="Arial" w:eastAsia="Arial" w:hAnsi="Arial"/>
          <w:color w:val="000000"/>
          <w:sz w:val="22"/>
          <w:szCs w:val="22"/>
        </w:rPr>
        <w:t xml:space="preserve">Phase 1 (Weeks 3-6): Sealed-bid auction engine, milestone-linked note issuance, basic odds dashboard with mock data.</w:t>
      </w:r>
    </w:p>
    <w:p>
      <w:pPr>
        <w:spacing w:after="120" w:before="0"/>
        <w:jc w:val="left"/>
      </w:pPr>
      <w:r>
        <w:rPr>
          <w:rFonts w:ascii="Arial" w:cs="Arial" w:eastAsia="Arial" w:hAnsi="Arial"/>
          <w:color w:val="000000"/>
          <w:sz w:val="22"/>
          <w:szCs w:val="22"/>
        </w:rPr>
        <w:t xml:space="preserve">Phase 2 (Weeks 7-10): ConceptNexus API integration for live I-I-V-S scores, basic secondary market, portfolio view.</w:t>
      </w:r>
    </w:p>
    <w:p>
      <w:pPr>
        <w:spacing w:after="120" w:before="0"/>
        <w:jc w:val="left"/>
      </w:pPr>
      <w:r>
        <w:rPr>
          <w:rFonts w:ascii="Arial" w:cs="Arial" w:eastAsia="Arial" w:hAnsi="Arial"/>
          <w:color w:val="000000"/>
          <w:sz w:val="22"/>
          <w:szCs w:val="22"/>
        </w:rPr>
        <w:t xml:space="preserve">Phase 3 (Weeks 11-12): Investor education module, compliance audit, soft launch with 10-20 curated projects.</w:t>
      </w:r>
    </w:p>
    <w:p>
      <w:pPr>
        <w:pStyle w:val="Heading3"/>
        <w:spacing w:before="300" w:after="150"/>
      </w:pPr>
      <w:r>
        <w:t xml:space="preserve">Nigeria-Specific Adaptations</w:t>
      </w:r>
    </w:p>
    <w:p>
      <w:pPr>
        <w:pStyle w:val="ListParagraph"/>
        <w:numPr>
          <w:ilvl w:val="0"/>
          <w:numId w:val="2"/>
        </w:numPr>
        <w:spacing w:after="60"/>
      </w:pPr>
      <w:r>
        <w:rPr>
          <w:rFonts w:ascii="Arial" w:cs="Arial" w:eastAsia="Arial" w:hAnsi="Arial"/>
          <w:sz w:val="22"/>
          <w:szCs w:val="22"/>
        </w:rPr>
        <w:t xml:space="preserve">USSD fallback for feature phone users placing stakes</w:t>
      </w:r>
    </w:p>
    <w:p>
      <w:pPr>
        <w:pStyle w:val="ListParagraph"/>
        <w:numPr>
          <w:ilvl w:val="0"/>
          <w:numId w:val="2"/>
        </w:numPr>
        <w:spacing w:after="60"/>
      </w:pPr>
      <w:r>
        <w:rPr>
          <w:rFonts w:ascii="Arial" w:cs="Arial" w:eastAsia="Arial" w:hAnsi="Arial"/>
          <w:sz w:val="22"/>
          <w:szCs w:val="22"/>
        </w:rPr>
        <w:t xml:space="preserve">Agent network for cash-in/cash-out in underbanked regions</w:t>
      </w:r>
    </w:p>
    <w:p>
      <w:pPr>
        <w:pStyle w:val="ListParagraph"/>
        <w:numPr>
          <w:ilvl w:val="0"/>
          <w:numId w:val="2"/>
        </w:numPr>
        <w:spacing w:after="60"/>
      </w:pPr>
      <w:r>
        <w:rPr>
          <w:rFonts w:ascii="Arial" w:cs="Arial" w:eastAsia="Arial" w:hAnsi="Arial"/>
          <w:sz w:val="22"/>
          <w:szCs w:val="22"/>
        </w:rPr>
        <w:t xml:space="preserve">Naira-denominated with micro-stakes from ₦500</w:t>
      </w:r>
    </w:p>
    <w:p>
      <w:pPr>
        <w:pStyle w:val="ListParagraph"/>
        <w:numPr>
          <w:ilvl w:val="0"/>
          <w:numId w:val="2"/>
        </w:numPr>
        <w:spacing w:after="60"/>
      </w:pPr>
      <w:r>
        <w:rPr>
          <w:rFonts w:ascii="Arial" w:cs="Arial" w:eastAsia="Arial" w:hAnsi="Arial"/>
          <w:sz w:val="22"/>
          <w:szCs w:val="22"/>
        </w:rPr>
        <w:t xml:space="preserve">Yoruba, Igbo, Hausa language support in education modules</w:t>
      </w:r>
    </w:p>
    <w:p>
      <w:pPr>
        <w:pStyle w:val="ListParagraph"/>
        <w:numPr>
          <w:ilvl w:val="0"/>
          <w:numId w:val="2"/>
        </w:numPr>
        <w:spacing w:after="60"/>
      </w:pPr>
      <w:r>
        <w:rPr>
          <w:rFonts w:ascii="Arial" w:cs="Arial" w:eastAsia="Arial" w:hAnsi="Arial"/>
          <w:sz w:val="22"/>
          <w:szCs w:val="22"/>
        </w:rPr>
        <w:t xml:space="preserve">Partnership with Nigerian SEC for regulatory sandbox participation</w:t>
      </w:r>
    </w:p>
    <w:p>
      <w:r>
        <w:br w:type="page"/>
      </w:r>
    </w:p>
    <w:p>
      <w:pPr>
        <w:pStyle w:val="Heading2"/>
        <w:spacing w:before="300" w:after="150"/>
      </w:pPr>
      <w:r>
        <w:t xml:space="preserve">ConceptNexus — The Idea Refinement Engine</w:t>
      </w:r>
    </w:p>
    <w:p>
      <w:pPr>
        <w:spacing w:after="120" w:before="0"/>
        <w:jc w:val="left"/>
      </w:pPr>
      <w:r>
        <w:rPr>
          <w:rFonts w:ascii="Arial" w:cs="Arial" w:eastAsia="Arial" w:hAnsi="Arial"/>
          <w:b/>
          <w:bCs/>
          <w:sz w:val="22"/>
          <w:szCs w:val="22"/>
        </w:rPr>
        <w:t xml:space="preserve">Tagline: </w:t>
      </w:r>
      <w:r>
        <w:rPr>
          <w:rFonts w:ascii="Arial" w:cs="Arial" w:eastAsia="Arial" w:hAnsi="Arial"/>
          <w:i/>
          <w:iCs/>
          <w:sz w:val="22"/>
          <w:szCs w:val="22"/>
        </w:rPr>
        <w:t xml:space="preserve">"From raw spark to certified brief."</w:t>
      </w:r>
    </w:p>
    <w:p>
      <w:pPr>
        <w:pStyle w:val="Heading3"/>
        <w:spacing w:before="300" w:after="150"/>
      </w:pPr>
      <w:r>
        <w:t xml:space="preserve">Concept &amp; Value Proposition</w:t>
      </w:r>
    </w:p>
    <w:p>
      <w:pPr>
        <w:spacing w:after="120" w:before="0"/>
        <w:jc w:val="left"/>
      </w:pPr>
      <w:r>
        <w:rPr>
          <w:rFonts w:ascii="Arial" w:cs="Arial" w:eastAsia="Arial" w:hAnsi="Arial"/>
          <w:color w:val="000000"/>
          <w:sz w:val="22"/>
          <w:szCs w:val="22"/>
        </w:rPr>
        <w:t xml:space="preserve">ConceptNexus is the research laboratory of the Fixars ecosystem. It takes raw submissions, whether a startup idea from a university student, a civic improvement proposal from a community leader, a government service complaint, or a commissioned micro-task from a corporation, and runs them through an AI-powered refinement pipeline that produces certified, actionable briefs.</w:t>
      </w:r>
    </w:p>
    <w:p>
      <w:pPr>
        <w:spacing w:after="120" w:before="0"/>
        <w:jc w:val="left"/>
      </w:pPr>
      <w:r>
        <w:rPr>
          <w:rFonts w:ascii="Arial" w:cs="Arial" w:eastAsia="Arial" w:hAnsi="Arial"/>
          <w:color w:val="000000"/>
          <w:sz w:val="22"/>
          <w:szCs w:val="22"/>
        </w:rPr>
        <w:t xml:space="preserve">The analogy: ConceptNexus is like a patent office combined with a business incubator’s intake process. You submit a rough concept, and the system polishes it, scores it, and either certifies it as ready for execution or returns it with a detailed improvement plan. It is deliberately NOT a collaboration platform; it is a solo refinement and certification engine. Collaboration happens downstream, on CollaBoard.</w:t>
      </w:r>
    </w:p>
    <w:p>
      <w:pPr>
        <w:pStyle w:val="Heading3"/>
        <w:spacing w:before="300" w:after="150"/>
      </w:pPr>
      <w:r>
        <w:t xml:space="preserve">Submission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26"/>
        <w:gridCol w:w="3500"/>
      </w:tblGrid>
      <w:tr>
        <w:trPr>
          <w:tblHeader/>
        </w:trPr>
        <w:tc>
          <w:tcPr>
            <w:tcW w:type="dxa" w:w="2000"/>
            <w:tcBorders>
              <w:top w:val="single" w:color="CCCCCC" w:sz="1"/>
              <w:left w:val="single" w:color="CCCCCC" w:sz="1"/>
              <w:bottom w:val="single" w:color="CCCCCC" w:sz="1"/>
              <w:right w:val="single" w:color="CCCCCC" w:sz="1"/>
            </w:tcBorders>
            <w:shd w:fill="1A3D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3526"/>
            <w:tcBorders>
              <w:top w:val="single" w:color="CCCCCC" w:sz="1"/>
              <w:left w:val="single" w:color="CCCCCC" w:sz="1"/>
              <w:bottom w:val="single" w:color="CCCCCC" w:sz="1"/>
              <w:right w:val="single" w:color="CCCCCC" w:sz="1"/>
            </w:tcBorders>
            <w:shd w:fill="1A3D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3500"/>
            <w:tcBorders>
              <w:top w:val="single" w:color="CCCCCC" w:sz="1"/>
              <w:left w:val="single" w:color="CCCCCC" w:sz="1"/>
              <w:bottom w:val="single" w:color="CCCCCC" w:sz="1"/>
              <w:right w:val="single" w:color="CCCCCC" w:sz="1"/>
            </w:tcBorders>
            <w:shd w:fill="1A3D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Idea</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General innovation concept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mobile app for matching smallholder farmers with crop insurance providers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Civic/Community</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 service issues, policy upgrades, infrastructure proposals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Proposal to digitise Lagos waste collection scheduling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Institutional</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 improvements, whistle-safe complaints, impact proposals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Hospital suggesting an AI triage system for emergency wards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Commissioned Task</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Scoped brief prefunded via external escrow; executed on CollaBoard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Corporate R&amp;D challenge: build a prototype water quality sensor for ₦2M</w:t>
            </w:r>
          </w:p>
        </w:tc>
      </w:tr>
    </w:tbl>
    <w:p>
      <w:pPr>
        <w:pStyle w:val="Heading3"/>
        <w:spacing w:before="300" w:after="150"/>
      </w:pPr>
      <w:r>
        <w:t xml:space="preserve">AI Refinery Pipeline</w:t>
      </w:r>
    </w:p>
    <w:p>
      <w:pPr>
        <w:pStyle w:val="ListParagraph"/>
        <w:numPr>
          <w:ilvl w:val="0"/>
          <w:numId w:val="3"/>
        </w:numPr>
        <w:spacing w:after="80"/>
      </w:pPr>
      <w:r>
        <w:rPr>
          <w:rFonts w:ascii="Arial" w:cs="Arial" w:eastAsia="Arial" w:hAnsi="Arial"/>
          <w:sz w:val="22"/>
          <w:szCs w:val="22"/>
        </w:rPr>
        <w:t xml:space="preserve">Clarity Pass: AI rewrites vague submissions into crisp, testable briefs.</w:t>
      </w:r>
    </w:p>
    <w:p>
      <w:pPr>
        <w:pStyle w:val="ListParagraph"/>
        <w:numPr>
          <w:ilvl w:val="0"/>
          <w:numId w:val="3"/>
        </w:numPr>
        <w:spacing w:after="80"/>
      </w:pPr>
      <w:r>
        <w:rPr>
          <w:rFonts w:ascii="Arial" w:cs="Arial" w:eastAsia="Arial" w:hAnsi="Arial"/>
          <w:sz w:val="22"/>
          <w:szCs w:val="22"/>
        </w:rPr>
        <w:t xml:space="preserve">Dedupe &amp; Clustering: Semantic matching against existing submissions to prevent duplication and surface related ideas.</w:t>
      </w:r>
    </w:p>
    <w:p>
      <w:pPr>
        <w:pStyle w:val="ListParagraph"/>
        <w:numPr>
          <w:ilvl w:val="0"/>
          <w:numId w:val="3"/>
        </w:numPr>
        <w:spacing w:after="80"/>
      </w:pPr>
      <w:r>
        <w:rPr>
          <w:rFonts w:ascii="Arial" w:cs="Arial" w:eastAsia="Arial" w:hAnsi="Arial"/>
          <w:sz w:val="22"/>
          <w:szCs w:val="22"/>
        </w:rPr>
        <w:t xml:space="preserve">Industry Fit Map: Aligns idea to sectors (AgriTech, FinServ, HealthTech, GovTech, Creative, EdTech, CleanTech).</w:t>
      </w:r>
    </w:p>
    <w:p>
      <w:pPr>
        <w:pStyle w:val="ListParagraph"/>
        <w:numPr>
          <w:ilvl w:val="0"/>
          <w:numId w:val="3"/>
        </w:numPr>
        <w:spacing w:after="80"/>
      </w:pPr>
      <w:r>
        <w:rPr>
          <w:rFonts w:ascii="Arial" w:cs="Arial" w:eastAsia="Arial" w:hAnsi="Arial"/>
          <w:sz w:val="22"/>
          <w:szCs w:val="22"/>
        </w:rPr>
        <w:t xml:space="preserve">I-I-V-S Scoring: Expert-reviewed rubric across Innovation, Impact, Viability, Scalability (composite ≥ 70/100 = Certified).</w:t>
      </w:r>
    </w:p>
    <w:p>
      <w:pPr>
        <w:pStyle w:val="ListParagraph"/>
        <w:numPr>
          <w:ilvl w:val="0"/>
          <w:numId w:val="3"/>
        </w:numPr>
        <w:spacing w:after="80"/>
      </w:pPr>
      <w:r>
        <w:rPr>
          <w:rFonts w:ascii="Arial" w:cs="Arial" w:eastAsia="Arial" w:hAnsi="Arial"/>
          <w:sz w:val="22"/>
          <w:szCs w:val="22"/>
        </w:rPr>
        <w:t xml:space="preserve">Gap Analysis: Recommended experiments, datasets, expert interviews, and next steps.</w:t>
      </w:r>
    </w:p>
    <w:p>
      <w:pPr>
        <w:pStyle w:val="ListParagraph"/>
        <w:numPr>
          <w:ilvl w:val="0"/>
          <w:numId w:val="3"/>
        </w:numPr>
        <w:spacing w:after="80"/>
      </w:pPr>
      <w:r>
        <w:rPr>
          <w:rFonts w:ascii="Arial" w:cs="Arial" w:eastAsia="Arial" w:hAnsi="Arial"/>
          <w:sz w:val="22"/>
          <w:szCs w:val="22"/>
        </w:rPr>
        <w:t xml:space="preserve">Ethics &amp; Safeguarding: Flags risky use cases; applies teen-safe filters for minors.</w:t>
      </w:r>
    </w:p>
    <w:p>
      <w:pPr>
        <w:pStyle w:val="ListParagraph"/>
        <w:numPr>
          <w:ilvl w:val="0"/>
          <w:numId w:val="3"/>
        </w:numPr>
        <w:spacing w:after="80"/>
      </w:pPr>
      <w:r>
        <w:rPr>
          <w:rFonts w:ascii="Arial" w:cs="Arial" w:eastAsia="Arial" w:hAnsi="Arial"/>
          <w:sz w:val="22"/>
          <w:szCs w:val="22"/>
        </w:rPr>
        <w:t xml:space="preserve">Certification or Rejection: Certified briefs are published to CollaBoard feed and/or InvestDen marketplace. Rejected items receive a Feedback Pack with concrete edits and references.</w:t>
      </w:r>
    </w:p>
    <w:p>
      <w:pPr>
        <w:pStyle w:val="Heading3"/>
        <w:spacing w:before="300" w:after="150"/>
      </w:pPr>
      <w:r>
        <w:t xml:space="preserve">Feasibility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rPr>
          <w:tblHeader/>
        </w:trPr>
        <w:tc>
          <w:tcPr>
            <w:tcW w:type="dxa" w:w="1500"/>
            <w:tcBorders>
              <w:top w:val="single" w:color="CCCCCC" w:sz="1"/>
              <w:left w:val="single" w:color="CCCCCC" w:sz="1"/>
              <w:bottom w:val="single" w:color="CCCCCC" w:sz="1"/>
              <w:right w:val="single" w:color="CCCCCC" w:sz="1"/>
            </w:tcBorders>
            <w:shd w:fill="1A3D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Dimension</w:t>
            </w:r>
          </w:p>
        </w:tc>
        <w:tc>
          <w:tcPr>
            <w:tcW w:type="dxa" w:w="5526"/>
            <w:tcBorders>
              <w:top w:val="single" w:color="CCCCCC" w:sz="1"/>
              <w:left w:val="single" w:color="CCCCCC" w:sz="1"/>
              <w:bottom w:val="single" w:color="CCCCCC" w:sz="1"/>
              <w:right w:val="single" w:color="CCCCCC" w:sz="1"/>
            </w:tcBorders>
            <w:shd w:fill="1A3D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Assessment</w:t>
            </w:r>
          </w:p>
        </w:tc>
        <w:tc>
          <w:tcPr>
            <w:tcW w:type="dxa" w:w="2000"/>
            <w:tcBorders>
              <w:top w:val="single" w:color="CCCCCC" w:sz="1"/>
              <w:left w:val="single" w:color="CCCCCC" w:sz="1"/>
              <w:bottom w:val="single" w:color="CCCCCC" w:sz="1"/>
              <w:right w:val="single" w:color="CCCCCC" w:sz="1"/>
            </w:tcBorders>
            <w:shd w:fill="1A3D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 Level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Regulatory</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comply with NDPA 2023 for data processing; civic submissions require PII redaction; whistleblower protections needed for institutional complaints.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 Demand</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Nigerian universities, state innovation hubs, corporate R&amp;D departments, and civic-tech NGOs all need structured idea pipelines. No direct competitor offers AI-certified briefs.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Technical</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refinement (LLM-based) is mature; rubric scoring requires domain-expert calibration; escrow integration for commissions adds complexity.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Competition</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Adjacent: IdeaScale (enterprise innovation), Ushahidi (civic reporting), OpenIDEO (challenges). None combines AI refinement + certification + escrow-backed commissions.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Revenue Model</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Freemium (basic submissions free), Pro tier (private/NDA, advanced AI), Institutional tier (SSO, dashboards), commission referral fees.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r>
    </w:tbl>
    <w:p>
      <w:pPr>
        <w:pStyle w:val="Heading3"/>
        <w:spacing w:before="300" w:after="150"/>
      </w:pPr>
      <w:r>
        <w:t xml:space="preserve">Delivery Roadmap (12 Weeks)</w:t>
      </w:r>
    </w:p>
    <w:p>
      <w:pPr>
        <w:spacing w:after="120" w:before="0"/>
        <w:jc w:val="left"/>
      </w:pPr>
      <w:r>
        <w:rPr>
          <w:rFonts w:ascii="Arial" w:cs="Arial" w:eastAsia="Arial" w:hAnsi="Arial"/>
          <w:color w:val="000000"/>
          <w:sz w:val="22"/>
          <w:szCs w:val="22"/>
        </w:rPr>
        <w:t xml:space="preserve">Phase 0 (Weeks 1-2): Auth/roles, type-aware submission forms, file uploads, AI triage (clarity + dedupe + clustering), basic search, read-only gallery.</w:t>
      </w:r>
    </w:p>
    <w:p>
      <w:pPr>
        <w:spacing w:after="120" w:before="0"/>
        <w:jc w:val="left"/>
      </w:pPr>
      <w:r>
        <w:rPr>
          <w:rFonts w:ascii="Arial" w:cs="Arial" w:eastAsia="Arial" w:hAnsi="Arial"/>
          <w:color w:val="000000"/>
          <w:sz w:val="22"/>
          <w:szCs w:val="22"/>
        </w:rPr>
        <w:t xml:space="preserve">Phase 1 (Weeks 3-4): I-I-V-S rubric UI, expert review queue, decision engine, Feedback Pack generation, reapply flow, civic/complaint templates with PII redaction.</w:t>
      </w:r>
    </w:p>
    <w:p>
      <w:pPr>
        <w:spacing w:after="120" w:before="0"/>
        <w:jc w:val="left"/>
      </w:pPr>
      <w:r>
        <w:rPr>
          <w:rFonts w:ascii="Arial" w:cs="Arial" w:eastAsia="Arial" w:hAnsi="Arial"/>
          <w:color w:val="000000"/>
          <w:sz w:val="22"/>
          <w:szCs w:val="22"/>
        </w:rPr>
        <w:t xml:space="preserve">Phase 2 (Weeks 5-8): Commission schema, escrow integration (EscrowX), CollaBoard feed + ranking funnel, status webhooks. Pilot 10-30 commissions.</w:t>
      </w:r>
    </w:p>
    <w:p>
      <w:pPr>
        <w:spacing w:after="120" w:before="0"/>
        <w:jc w:val="left"/>
      </w:pPr>
      <w:r>
        <w:rPr>
          <w:rFonts w:ascii="Arial" w:cs="Arial" w:eastAsia="Arial" w:hAnsi="Arial"/>
          <w:color w:val="000000"/>
          <w:sz w:val="22"/>
          <w:szCs w:val="22"/>
        </w:rPr>
        <w:t xml:space="preserve">Phase 3 (Weeks 9-12): Onboard 2-3 Nigerian universities + 1 government agency + 1 corporate lab. Reporting dashboards, policy iteration.</w:t>
      </w:r>
    </w:p>
    <w:p>
      <w:r>
        <w:br w:type="page"/>
      </w:r>
    </w:p>
    <w:p>
      <w:pPr>
        <w:pStyle w:val="Heading2"/>
        <w:spacing w:before="300" w:after="150"/>
      </w:pPr>
      <w:r>
        <w:t xml:space="preserve">CollaBoard — The Collaboration Sandbox</w:t>
      </w:r>
    </w:p>
    <w:p>
      <w:pPr>
        <w:spacing w:after="120" w:before="0"/>
        <w:jc w:val="left"/>
      </w:pPr>
      <w:r>
        <w:rPr>
          <w:rFonts w:ascii="Arial" w:cs="Arial" w:eastAsia="Arial" w:hAnsi="Arial"/>
          <w:b/>
          <w:bCs/>
          <w:sz w:val="22"/>
          <w:szCs w:val="22"/>
        </w:rPr>
        <w:t xml:space="preserve">Tagline: </w:t>
      </w:r>
      <w:r>
        <w:rPr>
          <w:rFonts w:ascii="Arial" w:cs="Arial" w:eastAsia="Arial" w:hAnsi="Arial"/>
          <w:i/>
          <w:iCs/>
          <w:sz w:val="22"/>
          <w:szCs w:val="22"/>
        </w:rPr>
        <w:t xml:space="preserve">"Find your team. Ship your milestone."</w:t>
      </w:r>
    </w:p>
    <w:p>
      <w:pPr>
        <w:pStyle w:val="Heading3"/>
        <w:spacing w:before="300" w:after="150"/>
      </w:pPr>
      <w:r>
        <w:t xml:space="preserve">Concept &amp; Value Proposition</w:t>
      </w:r>
    </w:p>
    <w:p>
      <w:pPr>
        <w:spacing w:after="120" w:before="0"/>
        <w:jc w:val="left"/>
      </w:pPr>
      <w:r>
        <w:rPr>
          <w:rFonts w:ascii="Arial" w:cs="Arial" w:eastAsia="Arial" w:hAnsi="Arial"/>
          <w:color w:val="000000"/>
          <w:sz w:val="22"/>
          <w:szCs w:val="22"/>
        </w:rPr>
        <w:t xml:space="preserve">CollaBoard is where ideas become reality through teamwork. It takes certified briefs from ConceptNexus, matches them with verified talent from SkillsCanvas, and provides structured collaboration spaces with weekly rhythms, AI-assisted team formation, and milestone-driven progress tracking.</w:t>
      </w:r>
    </w:p>
    <w:p>
      <w:pPr>
        <w:spacing w:after="120" w:before="0"/>
        <w:jc w:val="left"/>
      </w:pPr>
      <w:r>
        <w:rPr>
          <w:rFonts w:ascii="Arial" w:cs="Arial" w:eastAsia="Arial" w:hAnsi="Arial"/>
          <w:color w:val="000000"/>
          <w:sz w:val="22"/>
          <w:szCs w:val="22"/>
        </w:rPr>
        <w:t xml:space="preserve">The analogy: CollaBoard is a co-working space with a smart receptionist. You walk in with a project brief, and the receptionist (AI) introduces you to the perfect 3-5 person team based on verified skills, availability, and work style. The space comes equipped with everything you need: whiteboards (Tempo Board), templates (SOWs, design docs), and a built-in rhythm (weekly Plan → Build → Review → Showcase). Unlike competitive hackathons, CollaBoard emphasises symbiosis: recognition goes to shipped milestones, not leaderboard positions.</w:t>
      </w:r>
    </w:p>
    <w:p>
      <w:pPr>
        <w:pStyle w:val="Heading3"/>
        <w:spacing w:before="300" w:after="150"/>
      </w:pPr>
      <w:r>
        <w:t xml:space="preserve">Key Features</w:t>
      </w:r>
    </w:p>
    <w:p>
      <w:pPr>
        <w:pStyle w:val="ListParagraph"/>
        <w:numPr>
          <w:ilvl w:val="0"/>
          <w:numId w:val="2"/>
        </w:numPr>
        <w:spacing w:after="60"/>
      </w:pPr>
      <w:r>
        <w:rPr>
          <w:rFonts w:ascii="Arial" w:cs="Arial" w:eastAsia="Arial" w:hAnsi="Arial"/>
          <w:b/>
          <w:bCs/>
          <w:sz w:val="22"/>
          <w:szCs w:val="22"/>
        </w:rPr>
        <w:t xml:space="preserve">AI Team Formation: </w:t>
      </w:r>
      <w:r>
        <w:rPr>
          <w:rFonts w:ascii="Arial" w:cs="Arial" w:eastAsia="Arial" w:hAnsi="Arial"/>
          <w:sz w:val="22"/>
          <w:szCs w:val="22"/>
        </w:rPr>
        <w:t xml:space="preserve">Matches individuals into balanced teams (capped at 5) based on SkillsCanvas profiles, timezone, language, and collaboration signals.</w:t>
      </w:r>
    </w:p>
    <w:p>
      <w:pPr>
        <w:pStyle w:val="ListParagraph"/>
        <w:numPr>
          <w:ilvl w:val="0"/>
          <w:numId w:val="2"/>
        </w:numPr>
        <w:spacing w:after="60"/>
      </w:pPr>
      <w:r>
        <w:rPr>
          <w:rFonts w:ascii="Arial" w:cs="Arial" w:eastAsia="Arial" w:hAnsi="Arial"/>
          <w:b/>
          <w:bCs/>
          <w:sz w:val="22"/>
          <w:szCs w:val="22"/>
        </w:rPr>
        <w:t xml:space="preserve">Tempo Board: </w:t>
      </w:r>
      <w:r>
        <w:rPr>
          <w:rFonts w:ascii="Arial" w:cs="Arial" w:eastAsia="Arial" w:hAnsi="Arial"/>
          <w:sz w:val="22"/>
          <w:szCs w:val="22"/>
        </w:rPr>
        <w:t xml:space="preserve">Weekly cadence of Plan → Build → Review → Showcase with rubric-guided artifact submissions.</w:t>
      </w:r>
    </w:p>
    <w:p>
      <w:pPr>
        <w:pStyle w:val="ListParagraph"/>
        <w:numPr>
          <w:ilvl w:val="0"/>
          <w:numId w:val="2"/>
        </w:numPr>
        <w:spacing w:after="60"/>
      </w:pPr>
      <w:r>
        <w:rPr>
          <w:rFonts w:ascii="Arial" w:cs="Arial" w:eastAsia="Arial" w:hAnsi="Arial"/>
          <w:b/>
          <w:bCs/>
          <w:sz w:val="22"/>
          <w:szCs w:val="22"/>
        </w:rPr>
        <w:t xml:space="preserve">Dual-Mode Rooms: </w:t>
      </w:r>
      <w:r>
        <w:rPr>
          <w:rFonts w:ascii="Arial" w:cs="Arial" w:eastAsia="Arial" w:hAnsi="Arial"/>
          <w:sz w:val="22"/>
          <w:szCs w:val="22"/>
        </w:rPr>
        <w:t xml:space="preserve">Tech rooms (dev, design, QA) and non-tech rooms (agri, finance, civic, creative) with domain-specific templates.</w:t>
      </w:r>
    </w:p>
    <w:p>
      <w:pPr>
        <w:pStyle w:val="ListParagraph"/>
        <w:numPr>
          <w:ilvl w:val="0"/>
          <w:numId w:val="2"/>
        </w:numPr>
        <w:spacing w:after="60"/>
      </w:pPr>
      <w:r>
        <w:rPr>
          <w:rFonts w:ascii="Arial" w:cs="Arial" w:eastAsia="Arial" w:hAnsi="Arial"/>
          <w:b/>
          <w:bCs/>
          <w:sz w:val="22"/>
          <w:szCs w:val="22"/>
        </w:rPr>
        <w:t xml:space="preserve">Zero-to-Serious-Build Pathway: </w:t>
      </w:r>
      <w:r>
        <w:rPr>
          <w:rFonts w:ascii="Arial" w:cs="Arial" w:eastAsia="Arial" w:hAnsi="Arial"/>
          <w:sz w:val="22"/>
          <w:szCs w:val="22"/>
        </w:rPr>
        <w:t xml:space="preserve">Progressive access gating: Proof Tasks → Self-Accreditation → Ranked Access → Legal Pack. Protects IP-sensitive and funded projects.</w:t>
      </w:r>
    </w:p>
    <w:p>
      <w:pPr>
        <w:pStyle w:val="ListParagraph"/>
        <w:numPr>
          <w:ilvl w:val="0"/>
          <w:numId w:val="2"/>
        </w:numPr>
        <w:spacing w:after="60"/>
      </w:pPr>
      <w:r>
        <w:rPr>
          <w:rFonts w:ascii="Arial" w:cs="Arial" w:eastAsia="Arial" w:hAnsi="Arial"/>
          <w:b/>
          <w:bCs/>
          <w:sz w:val="22"/>
          <w:szCs w:val="22"/>
        </w:rPr>
        <w:t xml:space="preserve">Launch Bridge: </w:t>
      </w:r>
      <w:r>
        <w:rPr>
          <w:rFonts w:ascii="Arial" w:cs="Arial" w:eastAsia="Arial" w:hAnsi="Arial"/>
          <w:sz w:val="22"/>
          <w:szCs w:val="22"/>
        </w:rPr>
        <w:t xml:space="preserve">Exit-to-real-world framework with migration paths to org pilots, startup spin-outs, open-source tracks, and employment placements.</w:t>
      </w:r>
    </w:p>
    <w:p>
      <w:pPr>
        <w:pStyle w:val="ListParagraph"/>
        <w:numPr>
          <w:ilvl w:val="0"/>
          <w:numId w:val="2"/>
        </w:numPr>
        <w:spacing w:after="60"/>
      </w:pPr>
      <w:r>
        <w:rPr>
          <w:rFonts w:ascii="Arial" w:cs="Arial" w:eastAsia="Arial" w:hAnsi="Arial"/>
          <w:b/>
          <w:bCs/>
          <w:sz w:val="22"/>
          <w:szCs w:val="22"/>
        </w:rPr>
        <w:t xml:space="preserve">Youth Safety: </w:t>
      </w:r>
      <w:r>
        <w:rPr>
          <w:rFonts w:ascii="Arial" w:cs="Arial" w:eastAsia="Arial" w:hAnsi="Arial"/>
          <w:sz w:val="22"/>
          <w:szCs w:val="22"/>
        </w:rPr>
        <w:t xml:space="preserve">Guardian-linked accounts for under-18s, group-first chat, moderated spaces.</w:t>
      </w:r>
    </w:p>
    <w:p>
      <w:pPr>
        <w:pStyle w:val="Heading3"/>
        <w:spacing w:before="300" w:after="150"/>
      </w:pPr>
      <w:r>
        <w:t xml:space="preserve">Non-Tech Collaboration Templates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26"/>
        <w:gridCol w:w="3500"/>
      </w:tblGrid>
      <w:tr>
        <w:trPr>
          <w:tblHeader/>
        </w:trPr>
        <w:tc>
          <w:tcPr>
            <w:tcW w:type="dxa" w:w="2000"/>
            <w:tcBorders>
              <w:top w:val="single" w:color="CCCCCC" w:sz="1"/>
              <w:left w:val="single" w:color="CCCCCC" w:sz="1"/>
              <w:bottom w:val="single" w:color="CCCCCC" w:sz="1"/>
              <w:right w:val="single" w:color="CCCCCC" w:sz="1"/>
            </w:tcBorders>
            <w:shd w:fill="1A3D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Domain</w:t>
            </w:r>
          </w:p>
        </w:tc>
        <w:tc>
          <w:tcPr>
            <w:tcW w:type="dxa" w:w="3526"/>
            <w:tcBorders>
              <w:top w:val="single" w:color="CCCCCC" w:sz="1"/>
              <w:left w:val="single" w:color="CCCCCC" w:sz="1"/>
              <w:bottom w:val="single" w:color="CCCCCC" w:sz="1"/>
              <w:right w:val="single" w:color="CCCCCC" w:sz="1"/>
            </w:tcBorders>
            <w:shd w:fill="1A3D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Team Composition</w:t>
            </w:r>
          </w:p>
        </w:tc>
        <w:tc>
          <w:tcPr>
            <w:tcW w:type="dxa" w:w="3500"/>
            <w:tcBorders>
              <w:top w:val="single" w:color="CCCCCC" w:sz="1"/>
              <w:left w:val="single" w:color="CCCCCC" w:sz="1"/>
              <w:bottom w:val="single" w:color="CCCCCC" w:sz="1"/>
              <w:right w:val="single" w:color="CCCCCC" w:sz="1"/>
            </w:tcBorders>
            <w:shd w:fill="1A3D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Deliverables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AgriTech</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Agronomist, vet, soil engineer, irrigation specialist, community liaison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Field reports, diagnostic assessments, implementation roadmaps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Finance/Strategy</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Accountant, financial analyst, risk/actuary, strategist, compliance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Financial models, risk registers, SOWs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Civic/Infrastructure</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Urban planner, surveyor, environmental scientist, community advocate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Impact assessments, policy briefs, stakeholder maps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Creative/Media</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Scriptwriter, cinematographer, editor, distributor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Storyboards, production plans, distribution strategies</w:t>
            </w:r>
          </w:p>
        </w:tc>
      </w:tr>
    </w:tbl>
    <w:p>
      <w:pPr>
        <w:pStyle w:val="Heading3"/>
        <w:spacing w:before="300" w:after="150"/>
      </w:pPr>
      <w:r>
        <w:t xml:space="preserve">Feasibility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rPr>
          <w:tblHeader/>
        </w:trPr>
        <w:tc>
          <w:tcPr>
            <w:tcW w:type="dxa" w:w="1500"/>
            <w:tcBorders>
              <w:top w:val="single" w:color="CCCCCC" w:sz="1"/>
              <w:left w:val="single" w:color="CCCCCC" w:sz="1"/>
              <w:bottom w:val="single" w:color="CCCCCC" w:sz="1"/>
              <w:right w:val="single" w:color="CCCCCC" w:sz="1"/>
            </w:tcBorders>
            <w:shd w:fill="1A3D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Dimension</w:t>
            </w:r>
          </w:p>
        </w:tc>
        <w:tc>
          <w:tcPr>
            <w:tcW w:type="dxa" w:w="5526"/>
            <w:tcBorders>
              <w:top w:val="single" w:color="CCCCCC" w:sz="1"/>
              <w:left w:val="single" w:color="CCCCCC" w:sz="1"/>
              <w:bottom w:val="single" w:color="CCCCCC" w:sz="1"/>
              <w:right w:val="single" w:color="CCCCCC" w:sz="1"/>
            </w:tcBorders>
            <w:shd w:fill="1A3D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Assessment</w:t>
            </w:r>
          </w:p>
        </w:tc>
        <w:tc>
          <w:tcPr>
            <w:tcW w:type="dxa" w:w="2000"/>
            <w:tcBorders>
              <w:top w:val="single" w:color="CCCCCC" w:sz="1"/>
              <w:left w:val="single" w:color="CCCCCC" w:sz="1"/>
              <w:bottom w:val="single" w:color="CCCCCC" w:sz="1"/>
              <w:right w:val="single" w:color="CCCCCC" w:sz="1"/>
            </w:tcBorders>
            <w:shd w:fill="1A3D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 Level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Regulatory</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Legal Pack generation for IP, NDAs, and team agreements. Youth safeguarding compliance. Data protection for cross-border teams.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 Demand</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Massive unmet need in Nigeria for structured collaboration tools. Universities, NGOs, corporate innovation labs, and diaspora talent pools all need this.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Technical</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Modular architecture (rooms, templates, workflows) is well-understood. AI team matching requires SkillsCanvas integration. Real-time collaboration via WebSocket.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Competition</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Adjacent: Slack (communication), Notion (docs), GitHub (code). None combines AI team matching + milestone tracking + legal packs + skill verification.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Revenue Model</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Freemium (public rooms free), Pro (private rooms, advanced AI), Enterprise (SSO, org dashboards, Launch Bridge tools).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r>
    </w:tbl>
    <w:p>
      <w:r>
        <w:br w:type="page"/>
      </w:r>
    </w:p>
    <w:p>
      <w:pPr>
        <w:pStyle w:val="Heading2"/>
        <w:spacing w:before="300" w:after="150"/>
      </w:pPr>
      <w:r>
        <w:t xml:space="preserve">SkillsCanvas — The Skills &amp; Talent Hub</w:t>
      </w:r>
    </w:p>
    <w:p>
      <w:pPr>
        <w:spacing w:after="120" w:before="0"/>
        <w:jc w:val="left"/>
      </w:pPr>
      <w:r>
        <w:rPr>
          <w:rFonts w:ascii="Arial" w:cs="Arial" w:eastAsia="Arial" w:hAnsi="Arial"/>
          <w:b/>
          <w:bCs/>
          <w:sz w:val="22"/>
          <w:szCs w:val="22"/>
        </w:rPr>
        <w:t xml:space="preserve">Tagline: </w:t>
      </w:r>
      <w:r>
        <w:rPr>
          <w:rFonts w:ascii="Arial" w:cs="Arial" w:eastAsia="Arial" w:hAnsi="Arial"/>
          <w:i/>
          <w:iCs/>
          <w:sz w:val="22"/>
          <w:szCs w:val="22"/>
        </w:rPr>
        <w:t xml:space="preserve">"Own your skills. Prove your worth."</w:t>
      </w:r>
    </w:p>
    <w:p>
      <w:pPr>
        <w:pStyle w:val="Heading3"/>
        <w:spacing w:before="300" w:after="150"/>
      </w:pPr>
      <w:r>
        <w:t xml:space="preserve">Concept &amp; Value Proposition</w:t>
      </w:r>
    </w:p>
    <w:p>
      <w:pPr>
        <w:spacing w:after="120" w:before="0"/>
        <w:jc w:val="left"/>
      </w:pPr>
      <w:r>
        <w:rPr>
          <w:rFonts w:ascii="Arial" w:cs="Arial" w:eastAsia="Arial" w:hAnsi="Arial"/>
          <w:color w:val="000000"/>
          <w:sz w:val="22"/>
          <w:szCs w:val="22"/>
        </w:rPr>
        <w:t xml:space="preserve">SkillsCanvas replaces the static CV with a living, verifiable digital skills passport. Users compile evidence of competencies (certificates, project artifacts, micro-badges, peer reviews) into a tamper-proof credential wallet. AI analyses gaps and recommends learning paths, while employers search for verified skills rather than degrees.</w:t>
      </w:r>
    </w:p>
    <w:p>
      <w:pPr>
        <w:spacing w:after="120" w:before="0"/>
        <w:jc w:val="left"/>
      </w:pPr>
      <w:r>
        <w:rPr>
          <w:rFonts w:ascii="Arial" w:cs="Arial" w:eastAsia="Arial" w:hAnsi="Arial"/>
          <w:color w:val="000000"/>
          <w:sz w:val="22"/>
          <w:szCs w:val="22"/>
        </w:rPr>
        <w:t xml:space="preserve">The analogy: SkillsCanvas is a digital passport office for your professional identity. Just as a travel passport proves your citizenship with stamps and visas, SkillsCanvas proves your capabilities with verified badges and credentials. Each skill is a stamp, each completed project is a visa, and the AI assistant is your travel agent suggesting new destinations (skills) to visit.</w:t>
      </w:r>
    </w:p>
    <w:p>
      <w:pPr>
        <w:pStyle w:val="Heading3"/>
        <w:spacing w:before="300" w:after="150"/>
      </w:pPr>
      <w:r>
        <w:t xml:space="preserve">Core Components</w:t>
      </w:r>
    </w:p>
    <w:p>
      <w:pPr>
        <w:pStyle w:val="ListParagraph"/>
        <w:numPr>
          <w:ilvl w:val="0"/>
          <w:numId w:val="2"/>
        </w:numPr>
        <w:spacing w:after="60"/>
      </w:pPr>
      <w:r>
        <w:rPr>
          <w:rFonts w:ascii="Arial" w:cs="Arial" w:eastAsia="Arial" w:hAnsi="Arial"/>
          <w:b/>
          <w:bCs/>
          <w:sz w:val="22"/>
          <w:szCs w:val="22"/>
        </w:rPr>
        <w:t xml:space="preserve">Skills Repository: </w:t>
      </w:r>
      <w:r>
        <w:rPr>
          <w:rFonts w:ascii="Arial" w:cs="Arial" w:eastAsia="Arial" w:hAnsi="Arial"/>
          <w:sz w:val="22"/>
          <w:szCs w:val="22"/>
        </w:rPr>
        <w:t xml:space="preserve">Evidence-backed skill entries using ESCO/O*NET taxonomies, uploaded certificates, project artifacts, and micro-assessments.</w:t>
      </w:r>
    </w:p>
    <w:p>
      <w:pPr>
        <w:pStyle w:val="ListParagraph"/>
        <w:numPr>
          <w:ilvl w:val="0"/>
          <w:numId w:val="2"/>
        </w:numPr>
        <w:spacing w:after="60"/>
      </w:pPr>
      <w:r>
        <w:rPr>
          <w:rFonts w:ascii="Arial" w:cs="Arial" w:eastAsia="Arial" w:hAnsi="Arial"/>
          <w:b/>
          <w:bCs/>
          <w:sz w:val="22"/>
          <w:szCs w:val="22"/>
        </w:rPr>
        <w:t xml:space="preserve">Digital Passport (Credential Wallet): </w:t>
      </w:r>
      <w:r>
        <w:rPr>
          <w:rFonts w:ascii="Arial" w:cs="Arial" w:eastAsia="Arial" w:hAnsi="Arial"/>
          <w:sz w:val="22"/>
          <w:szCs w:val="22"/>
        </w:rPr>
        <w:t xml:space="preserve">W3C Verifiable Credentials + Open Badges; QR codes for instant verification; optional blockchain anchoring (Polygon/Dock).</w:t>
      </w:r>
    </w:p>
    <w:p>
      <w:pPr>
        <w:pStyle w:val="ListParagraph"/>
        <w:numPr>
          <w:ilvl w:val="0"/>
          <w:numId w:val="2"/>
        </w:numPr>
        <w:spacing w:after="60"/>
      </w:pPr>
      <w:r>
        <w:rPr>
          <w:rFonts w:ascii="Arial" w:cs="Arial" w:eastAsia="Arial" w:hAnsi="Arial"/>
          <w:b/>
          <w:bCs/>
          <w:sz w:val="22"/>
          <w:szCs w:val="22"/>
        </w:rPr>
        <w:t xml:space="preserve">Proof-of-Skill Engine: </w:t>
      </w:r>
      <w:r>
        <w:rPr>
          <w:rFonts w:ascii="Arial" w:cs="Arial" w:eastAsia="Arial" w:hAnsi="Arial"/>
          <w:sz w:val="22"/>
          <w:szCs w:val="22"/>
        </w:rPr>
        <w:t xml:space="preserve">Micro-challenges that let users demonstrate competencies through short, timed tasks. The passport updates in real-time as challenges are completed.</w:t>
      </w:r>
    </w:p>
    <w:p>
      <w:pPr>
        <w:pStyle w:val="ListParagraph"/>
        <w:numPr>
          <w:ilvl w:val="0"/>
          <w:numId w:val="2"/>
        </w:numPr>
        <w:spacing w:after="60"/>
      </w:pPr>
      <w:r>
        <w:rPr>
          <w:rFonts w:ascii="Arial" w:cs="Arial" w:eastAsia="Arial" w:hAnsi="Arial"/>
          <w:b/>
          <w:bCs/>
          <w:sz w:val="22"/>
          <w:szCs w:val="22"/>
        </w:rPr>
        <w:t xml:space="preserve">AI Gap Analyst: </w:t>
      </w:r>
      <w:r>
        <w:rPr>
          <w:rFonts w:ascii="Arial" w:cs="Arial" w:eastAsia="Arial" w:hAnsi="Arial"/>
          <w:sz w:val="22"/>
          <w:szCs w:val="22"/>
        </w:rPr>
        <w:t xml:space="preserve">Radar chart showing current skills vs. target role requirements; personalised learning recommendations from integrated providers.</w:t>
      </w:r>
    </w:p>
    <w:p>
      <w:pPr>
        <w:pStyle w:val="ListParagraph"/>
        <w:numPr>
          <w:ilvl w:val="0"/>
          <w:numId w:val="2"/>
        </w:numPr>
        <w:spacing w:after="60"/>
      </w:pPr>
      <w:r>
        <w:rPr>
          <w:rFonts w:ascii="Arial" w:cs="Arial" w:eastAsia="Arial" w:hAnsi="Arial"/>
          <w:b/>
          <w:bCs/>
          <w:sz w:val="22"/>
          <w:szCs w:val="22"/>
        </w:rPr>
        <w:t xml:space="preserve">Invisible Talent Channeler: </w:t>
      </w:r>
      <w:r>
        <w:rPr>
          <w:rFonts w:ascii="Arial" w:cs="Arial" w:eastAsia="Arial" w:hAnsi="Arial"/>
          <w:sz w:val="22"/>
          <w:szCs w:val="22"/>
        </w:rPr>
        <w:t xml:space="preserve">Two streams: a gig-feed for microwork (data labelling, content moderation) with instant payouts, and a career-track for long-term roles. Microwork performance builds the passport.</w:t>
      </w:r>
    </w:p>
    <w:p>
      <w:pPr>
        <w:pStyle w:val="ListParagraph"/>
        <w:numPr>
          <w:ilvl w:val="0"/>
          <w:numId w:val="2"/>
        </w:numPr>
        <w:spacing w:after="60"/>
      </w:pPr>
      <w:r>
        <w:rPr>
          <w:rFonts w:ascii="Arial" w:cs="Arial" w:eastAsia="Arial" w:hAnsi="Arial"/>
          <w:b/>
          <w:bCs/>
          <w:sz w:val="22"/>
          <w:szCs w:val="22"/>
        </w:rPr>
        <w:t xml:space="preserve">Employer Hub: </w:t>
      </w:r>
      <w:r>
        <w:rPr>
          <w:rFonts w:ascii="Arial" w:cs="Arial" w:eastAsia="Arial" w:hAnsi="Arial"/>
          <w:sz w:val="22"/>
          <w:szCs w:val="22"/>
        </w:rPr>
        <w:t xml:space="preserve">Skills-based search, proof-of-skill challenge requests, micro-task evaluations, and ATS/HR integrations.</w:t>
      </w:r>
    </w:p>
    <w:p>
      <w:pPr>
        <w:pStyle w:val="Heading3"/>
        <w:spacing w:before="300" w:after="150"/>
      </w:pPr>
      <w:r>
        <w:t xml:space="preserve">Feasibility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rPr>
          <w:tblHeader/>
        </w:trPr>
        <w:tc>
          <w:tcPr>
            <w:tcW w:type="dxa" w:w="1500"/>
            <w:tcBorders>
              <w:top w:val="single" w:color="CCCCCC" w:sz="1"/>
              <w:left w:val="single" w:color="CCCCCC" w:sz="1"/>
              <w:bottom w:val="single" w:color="CCCCCC" w:sz="1"/>
              <w:right w:val="single" w:color="CCCCCC" w:sz="1"/>
            </w:tcBorders>
            <w:shd w:fill="1A3D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Dimension</w:t>
            </w:r>
          </w:p>
        </w:tc>
        <w:tc>
          <w:tcPr>
            <w:tcW w:type="dxa" w:w="5526"/>
            <w:tcBorders>
              <w:top w:val="single" w:color="CCCCCC" w:sz="1"/>
              <w:left w:val="single" w:color="CCCCCC" w:sz="1"/>
              <w:bottom w:val="single" w:color="CCCCCC" w:sz="1"/>
              <w:right w:val="single" w:color="CCCCCC" w:sz="1"/>
            </w:tcBorders>
            <w:shd w:fill="1A3D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Assessment</w:t>
            </w:r>
          </w:p>
        </w:tc>
        <w:tc>
          <w:tcPr>
            <w:tcW w:type="dxa" w:w="2000"/>
            <w:tcBorders>
              <w:top w:val="single" w:color="CCCCCC" w:sz="1"/>
              <w:left w:val="single" w:color="CCCCCC" w:sz="1"/>
              <w:bottom w:val="single" w:color="CCCCCC" w:sz="1"/>
              <w:right w:val="single" w:color="CCCCCC" w:sz="1"/>
            </w:tcBorders>
            <w:shd w:fill="1A3D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 Level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Regulatory</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NDPA compliance for credential data; W3C/DID standards compliance; potential integration with NIN (National Identification Number) for KYC.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 Demand</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65% of job seekers interested in digital credentials; Nigerian youth unemployment &gt;40%; employers increasingly adopting skills-based hiring.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Technical</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Verifiable Credentials and DID frameworks are mature. AI skill extraction from artifacts requires NLP investment. Mobile-first PWA needed for low-bandwidth.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Competition</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Adjacent: LinkedIn (network), Credly (badges), Andela (talent placement). None combines verifiable credentials + AI gap analysis + microwork channeling + employer hub.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Revenue Model</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Freemium (basic passport free), Pro (advanced analytics, coaching, premium verification), Employer subscriptions, credential verification API fees.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r>
    </w:tbl>
    <w:p>
      <w:pPr>
        <w:pStyle w:val="Heading3"/>
        <w:spacing w:before="300" w:after="150"/>
      </w:pPr>
      <w:r>
        <w:t xml:space="preserve">Nigeria-Specific Strategy</w:t>
      </w:r>
    </w:p>
    <w:p>
      <w:pPr>
        <w:pStyle w:val="ListParagraph"/>
        <w:numPr>
          <w:ilvl w:val="0"/>
          <w:numId w:val="2"/>
        </w:numPr>
        <w:spacing w:after="60"/>
      </w:pPr>
      <w:r>
        <w:rPr>
          <w:rFonts w:ascii="Arial" w:cs="Arial" w:eastAsia="Arial" w:hAnsi="Arial"/>
          <w:sz w:val="22"/>
          <w:szCs w:val="22"/>
        </w:rPr>
        <w:t xml:space="preserve">Integration with BVN (Bank Verification Number) and NIN for identity verification</w:t>
      </w:r>
    </w:p>
    <w:p>
      <w:pPr>
        <w:pStyle w:val="ListParagraph"/>
        <w:numPr>
          <w:ilvl w:val="0"/>
          <w:numId w:val="2"/>
        </w:numPr>
        <w:spacing w:after="60"/>
      </w:pPr>
      <w:r>
        <w:rPr>
          <w:rFonts w:ascii="Arial" w:cs="Arial" w:eastAsia="Arial" w:hAnsi="Arial"/>
          <w:sz w:val="22"/>
          <w:szCs w:val="22"/>
        </w:rPr>
        <w:t xml:space="preserve">USSD-accessible skill passport for feature phone users</w:t>
      </w:r>
    </w:p>
    <w:p>
      <w:pPr>
        <w:pStyle w:val="ListParagraph"/>
        <w:numPr>
          <w:ilvl w:val="0"/>
          <w:numId w:val="2"/>
        </w:numPr>
        <w:spacing w:after="60"/>
      </w:pPr>
      <w:r>
        <w:rPr>
          <w:rFonts w:ascii="Arial" w:cs="Arial" w:eastAsia="Arial" w:hAnsi="Arial"/>
          <w:sz w:val="22"/>
          <w:szCs w:val="22"/>
        </w:rPr>
        <w:t xml:space="preserve">Partnership with NYSC (National Youth Service Corps) for graduate credential issuance</w:t>
      </w:r>
    </w:p>
    <w:p>
      <w:pPr>
        <w:pStyle w:val="ListParagraph"/>
        <w:numPr>
          <w:ilvl w:val="0"/>
          <w:numId w:val="2"/>
        </w:numPr>
        <w:spacing w:after="60"/>
      </w:pPr>
      <w:r>
        <w:rPr>
          <w:rFonts w:ascii="Arial" w:cs="Arial" w:eastAsia="Arial" w:hAnsi="Arial"/>
          <w:sz w:val="22"/>
          <w:szCs w:val="22"/>
        </w:rPr>
        <w:t xml:space="preserve">Sector-specific modules: construction (safety passports), healthcare (professional certifications), agriculture (extension worker credentials)</w:t>
      </w:r>
    </w:p>
    <w:p>
      <w:pPr>
        <w:pStyle w:val="ListParagraph"/>
        <w:numPr>
          <w:ilvl w:val="0"/>
          <w:numId w:val="2"/>
        </w:numPr>
        <w:spacing w:after="60"/>
      </w:pPr>
      <w:r>
        <w:rPr>
          <w:rFonts w:ascii="Arial" w:cs="Arial" w:eastAsia="Arial" w:hAnsi="Arial"/>
          <w:sz w:val="22"/>
          <w:szCs w:val="22"/>
        </w:rPr>
        <w:t xml:space="preserve">Offline-capable PWA for users in low-connectivity areas</w:t>
      </w:r>
    </w:p>
    <w:p>
      <w:pPr>
        <w:pStyle w:val="ListParagraph"/>
        <w:numPr>
          <w:ilvl w:val="0"/>
          <w:numId w:val="2"/>
        </w:numPr>
        <w:spacing w:after="60"/>
      </w:pPr>
      <w:r>
        <w:rPr>
          <w:rFonts w:ascii="Arial" w:cs="Arial" w:eastAsia="Arial" w:hAnsi="Arial"/>
          <w:sz w:val="22"/>
          <w:szCs w:val="22"/>
        </w:rPr>
        <w:t xml:space="preserve">Partnerships with Nigerian universities, SMEDAN, and state job centres</w:t>
      </w:r>
    </w:p>
    <w:p>
      <w:r>
        <w:br w:type="page"/>
      </w:r>
    </w:p>
    <w:p>
      <w:pPr>
        <w:pStyle w:val="Heading1"/>
        <w:spacing w:before="300" w:after="150"/>
      </w:pPr>
      <w:r>
        <w:t xml:space="preserve">Super-App Integration Strategy</w:t>
      </w:r>
    </w:p>
    <w:p>
      <w:pPr>
        <w:pStyle w:val="Heading2"/>
        <w:spacing w:before="300" w:after="150"/>
      </w:pPr>
      <w:r>
        <w:t xml:space="preserve">The Fixars Flywheel</w:t>
      </w:r>
    </w:p>
    <w:p>
      <w:pPr>
        <w:spacing w:after="120" w:before="0"/>
        <w:jc w:val="left"/>
      </w:pPr>
      <w:r>
        <w:rPr>
          <w:rFonts w:ascii="Arial" w:cs="Arial" w:eastAsia="Arial" w:hAnsi="Arial"/>
          <w:color w:val="000000"/>
          <w:sz w:val="22"/>
          <w:szCs w:val="22"/>
        </w:rPr>
        <w:t xml:space="preserve">The Fixars ecosystem creates a self-reinforcing growth loop. Like a bicycle wheel, each spoke (app) strengthens the others, and the faster it spins, the harder it is to stop:</w:t>
      </w:r>
    </w:p>
    <w:p>
      <w:pPr>
        <w:pStyle w:val="ListParagraph"/>
        <w:numPr>
          <w:ilvl w:val="0"/>
          <w:numId w:val="3"/>
        </w:numPr>
        <w:spacing w:after="80"/>
      </w:pPr>
      <w:r>
        <w:rPr>
          <w:rFonts w:ascii="Arial" w:cs="Arial" w:eastAsia="Arial" w:hAnsi="Arial"/>
          <w:sz w:val="22"/>
          <w:szCs w:val="22"/>
        </w:rPr>
        <w:t xml:space="preserve">A user creates a SkillsCanvas profile, verifying their frontend development skills through micro-challenges.</w:t>
      </w:r>
    </w:p>
    <w:p>
      <w:pPr>
        <w:pStyle w:val="ListParagraph"/>
        <w:numPr>
          <w:ilvl w:val="0"/>
          <w:numId w:val="3"/>
        </w:numPr>
        <w:spacing w:after="80"/>
      </w:pPr>
      <w:r>
        <w:rPr>
          <w:rFonts w:ascii="Arial" w:cs="Arial" w:eastAsia="Arial" w:hAnsi="Arial"/>
          <w:sz w:val="22"/>
          <w:szCs w:val="22"/>
        </w:rPr>
        <w:t xml:space="preserve">ConceptNexus certifies an AgriTech idea submitted by a university professor, producing a brief with clear milestones.</w:t>
      </w:r>
    </w:p>
    <w:p>
      <w:pPr>
        <w:pStyle w:val="ListParagraph"/>
        <w:numPr>
          <w:ilvl w:val="0"/>
          <w:numId w:val="3"/>
        </w:numPr>
        <w:spacing w:after="80"/>
      </w:pPr>
      <w:r>
        <w:rPr>
          <w:rFonts w:ascii="Arial" w:cs="Arial" w:eastAsia="Arial" w:hAnsi="Arial"/>
          <w:sz w:val="22"/>
          <w:szCs w:val="22"/>
        </w:rPr>
        <w:t xml:space="preserve">CollaBoard’s AI matches the developer with an agronomist, a designer, and a business analyst into a team, using SkillsCanvas verified credentials.</w:t>
      </w:r>
    </w:p>
    <w:p>
      <w:pPr>
        <w:pStyle w:val="ListParagraph"/>
        <w:numPr>
          <w:ilvl w:val="0"/>
          <w:numId w:val="3"/>
        </w:numPr>
        <w:spacing w:after="80"/>
      </w:pPr>
      <w:r>
        <w:rPr>
          <w:rFonts w:ascii="Arial" w:cs="Arial" w:eastAsia="Arial" w:hAnsi="Arial"/>
          <w:sz w:val="22"/>
          <w:szCs w:val="22"/>
        </w:rPr>
        <w:t xml:space="preserve">The team begins executing the certified brief on CollaBoard, hitting weekly milestones.</w:t>
      </w:r>
    </w:p>
    <w:p>
      <w:pPr>
        <w:pStyle w:val="ListParagraph"/>
        <w:numPr>
          <w:ilvl w:val="0"/>
          <w:numId w:val="3"/>
        </w:numPr>
        <w:spacing w:after="80"/>
      </w:pPr>
      <w:r>
        <w:rPr>
          <w:rFonts w:ascii="Arial" w:cs="Arial" w:eastAsia="Arial" w:hAnsi="Arial"/>
          <w:sz w:val="22"/>
          <w:szCs w:val="22"/>
        </w:rPr>
        <w:t xml:space="preserve">InvestDen lists the project with live odds based on ConceptNexus I-I-V-S scores and CollaBoard team performance signals.</w:t>
      </w:r>
    </w:p>
    <w:p>
      <w:pPr>
        <w:pStyle w:val="ListParagraph"/>
        <w:numPr>
          <w:ilvl w:val="0"/>
          <w:numId w:val="3"/>
        </w:numPr>
        <w:spacing w:after="80"/>
      </w:pPr>
      <w:r>
        <w:rPr>
          <w:rFonts w:ascii="Arial" w:cs="Arial" w:eastAsia="Arial" w:hAnsi="Arial"/>
          <w:sz w:val="22"/>
          <w:szCs w:val="22"/>
        </w:rPr>
        <w:t xml:space="preserve">Investors stake ₦5,000 each on the project succeeding. The team receives funding upon milestone completion.</w:t>
      </w:r>
    </w:p>
    <w:p>
      <w:pPr>
        <w:pStyle w:val="ListParagraph"/>
        <w:numPr>
          <w:ilvl w:val="0"/>
          <w:numId w:val="3"/>
        </w:numPr>
        <w:spacing w:after="80"/>
      </w:pPr>
      <w:r>
        <w:rPr>
          <w:rFonts w:ascii="Arial" w:cs="Arial" w:eastAsia="Arial" w:hAnsi="Arial"/>
          <w:sz w:val="22"/>
          <w:szCs w:val="22"/>
        </w:rPr>
        <w:t xml:space="preserve">Completed artifacts automatically update the team members’ SkillsCanvas passports with new badges and peer reviews.</w:t>
      </w:r>
    </w:p>
    <w:p>
      <w:pPr>
        <w:pStyle w:val="ListParagraph"/>
        <w:numPr>
          <w:ilvl w:val="0"/>
          <w:numId w:val="3"/>
        </w:numPr>
        <w:spacing w:after="80"/>
      </w:pPr>
      <w:r>
        <w:rPr>
          <w:rFonts w:ascii="Arial" w:cs="Arial" w:eastAsia="Arial" w:hAnsi="Arial"/>
          <w:sz w:val="22"/>
          <w:szCs w:val="22"/>
        </w:rPr>
        <w:t xml:space="preserve">The cycle repeats, with each successful project making the ecosystem more attractive to new users, ideas, and investors.</w:t>
      </w:r>
    </w:p>
    <w:p>
      <w:pPr>
        <w:pStyle w:val="Heading2"/>
        <w:spacing w:before="300" w:after="150"/>
      </w:pPr>
      <w:r>
        <w:t xml:space="preserve">Fixar Points Economy</w:t>
      </w:r>
    </w:p>
    <w:p>
      <w:pPr>
        <w:spacing w:after="120" w:before="0"/>
        <w:jc w:val="left"/>
      </w:pPr>
      <w:r>
        <w:rPr>
          <w:rFonts w:ascii="Arial" w:cs="Arial" w:eastAsia="Arial" w:hAnsi="Arial"/>
          <w:color w:val="000000"/>
          <w:sz w:val="22"/>
          <w:szCs w:val="22"/>
        </w:rPr>
        <w:t xml:space="preserve">Fixar Points are the ecosystem’s universal reward currency. They function like airline miles: earned through engagement, redeemable for premium features, and accumulating across all touchpoints.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263"/>
        <w:gridCol w:w="3263"/>
      </w:tblGrid>
      <w:tr>
        <w:trPr>
          <w:tblHeader/>
        </w:trPr>
        <w:tc>
          <w:tcPr>
            <w:tcW w:type="dxa" w:w="3500"/>
            <w:tcBorders>
              <w:top w:val="single" w:color="CCCCCC" w:sz="1"/>
              <w:left w:val="single" w:color="CCCCCC" w:sz="1"/>
              <w:bottom w:val="single" w:color="CCCCCC" w:sz="1"/>
              <w:right w:val="single" w:color="CCCCCC" w:sz="1"/>
            </w:tcBorders>
            <w:shd w:fill="1A3D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c>
          <w:tcPr>
            <w:tcW w:type="dxa" w:w="2263"/>
            <w:tcBorders>
              <w:top w:val="single" w:color="CCCCCC" w:sz="1"/>
              <w:left w:val="single" w:color="CCCCCC" w:sz="1"/>
              <w:bottom w:val="single" w:color="CCCCCC" w:sz="1"/>
              <w:right w:val="single" w:color="CCCCCC" w:sz="1"/>
            </w:tcBorders>
            <w:shd w:fill="1A3D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Points Earned</w:t>
            </w:r>
          </w:p>
        </w:tc>
        <w:tc>
          <w:tcPr>
            <w:tcW w:type="dxa" w:w="3263"/>
            <w:tcBorders>
              <w:top w:val="single" w:color="CCCCCC" w:sz="1"/>
              <w:left w:val="single" w:color="CCCCCC" w:sz="1"/>
              <w:bottom w:val="single" w:color="CCCCCC" w:sz="1"/>
              <w:right w:val="single" w:color="CCCCCC" w:sz="1"/>
            </w:tcBorders>
            <w:shd w:fill="1A3D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Redemption Options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 SkillsCanvas profile</w:t>
            </w:r>
          </w:p>
        </w:tc>
        <w:tc>
          <w:tcPr>
            <w:tcW w:type="dxa" w:w="2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Unlock premium AI gap analysis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Earn a verified credential</w:t>
            </w:r>
          </w:p>
        </w:tc>
        <w:tc>
          <w:tcPr>
            <w:tcW w:type="dxa" w:w="2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per credential</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Priority in CollaBoard team matching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Submit idea to ConceptNexus</w:t>
            </w:r>
          </w:p>
        </w:tc>
        <w:tc>
          <w:tcPr>
            <w:tcW w:type="dxa" w:w="2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Access to advanced AI refinery features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Idea gets certified</w:t>
            </w:r>
          </w:p>
        </w:tc>
        <w:tc>
          <w:tcPr>
            <w:tcW w:type="dxa" w:w="2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InvestDen listing fee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 CollaBoard milestone</w:t>
            </w:r>
          </w:p>
        </w:tc>
        <w:tc>
          <w:tcPr>
            <w:tcW w:type="dxa" w:w="2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Premium room templates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Make an InvestDen investment</w:t>
            </w:r>
          </w:p>
        </w:tc>
        <w:tc>
          <w:tcPr>
            <w:tcW w:type="dxa" w:w="2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75</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Advanced analytics dashboard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 a new user (any app)</w:t>
            </w:r>
          </w:p>
        </w:tc>
        <w:tc>
          <w:tcPr>
            <w:tcW w:type="dxa" w:w="2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Cash-out via Naira wallet (at threshold)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Cross-app activity bonus</w:t>
            </w:r>
          </w:p>
        </w:tc>
        <w:tc>
          <w:tcPr>
            <w:tcW w:type="dxa" w:w="2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2x multiplier</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Revenue share pool eligibility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on Fixars Feed</w:t>
            </w:r>
          </w:p>
        </w:tc>
        <w:tc>
          <w:tcPr>
            <w:tcW w:type="dxa" w:w="2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Featured post promotion</w:t>
            </w:r>
          </w:p>
        </w:tc>
      </w:tr>
    </w:tbl>
    <w:p>
      <w:pPr>
        <w:pStyle w:val="Heading2"/>
        <w:spacing w:before="300" w:after="150"/>
      </w:pPr>
      <w:r>
        <w:t xml:space="preserve">Revenue Sharing from Ad Pools</w:t>
      </w:r>
    </w:p>
    <w:p>
      <w:pPr>
        <w:spacing w:after="120" w:before="0"/>
        <w:jc w:val="left"/>
      </w:pPr>
      <w:r>
        <w:rPr>
          <w:rFonts w:ascii="Arial" w:cs="Arial" w:eastAsia="Arial" w:hAnsi="Arial"/>
          <w:color w:val="000000"/>
          <w:sz w:val="22"/>
          <w:szCs w:val="22"/>
        </w:rPr>
        <w:t xml:space="preserve">Fixars will generate advertising revenue from enterprise-commissioned campaigns displayed across the ecosystem. A portion of this revenue flows back to users through the Revenue Share Pool:</w:t>
      </w:r>
    </w:p>
    <w:p>
      <w:pPr>
        <w:pStyle w:val="ListParagraph"/>
        <w:numPr>
          <w:ilvl w:val="0"/>
          <w:numId w:val="2"/>
        </w:numPr>
        <w:spacing w:after="60"/>
      </w:pPr>
      <w:r>
        <w:rPr>
          <w:rFonts w:ascii="Arial" w:cs="Arial" w:eastAsia="Arial" w:hAnsi="Arial"/>
          <w:b/>
          <w:bCs/>
          <w:sz w:val="22"/>
          <w:szCs w:val="22"/>
        </w:rPr>
        <w:t xml:space="preserve">Eligibility: </w:t>
      </w:r>
      <w:r>
        <w:rPr>
          <w:rFonts w:ascii="Arial" w:cs="Arial" w:eastAsia="Arial" w:hAnsi="Arial"/>
          <w:sz w:val="22"/>
          <w:szCs w:val="22"/>
        </w:rPr>
        <w:t xml:space="preserve">Users must maintain minimum Fixar Points balance and monthly cross-app activity score.</w:t>
      </w:r>
    </w:p>
    <w:p>
      <w:pPr>
        <w:pStyle w:val="ListParagraph"/>
        <w:numPr>
          <w:ilvl w:val="0"/>
          <w:numId w:val="2"/>
        </w:numPr>
        <w:spacing w:after="60"/>
      </w:pPr>
      <w:r>
        <w:rPr>
          <w:rFonts w:ascii="Arial" w:cs="Arial" w:eastAsia="Arial" w:hAnsi="Arial"/>
          <w:b/>
          <w:bCs/>
          <w:sz w:val="22"/>
          <w:szCs w:val="22"/>
        </w:rPr>
        <w:t xml:space="preserve">Distribution Formula: </w:t>
      </w:r>
      <w:r>
        <w:rPr>
          <w:rFonts w:ascii="Arial" w:cs="Arial" w:eastAsia="Arial" w:hAnsi="Arial"/>
          <w:sz w:val="22"/>
          <w:szCs w:val="22"/>
        </w:rPr>
        <w:t xml:space="preserve">Weighted by engagement (40%), content creation (30%), referrals (20%), and tenure (10%).</w:t>
      </w:r>
    </w:p>
    <w:p>
      <w:pPr>
        <w:pStyle w:val="ListParagraph"/>
        <w:numPr>
          <w:ilvl w:val="0"/>
          <w:numId w:val="2"/>
        </w:numPr>
        <w:spacing w:after="60"/>
      </w:pPr>
      <w:r>
        <w:rPr>
          <w:rFonts w:ascii="Arial" w:cs="Arial" w:eastAsia="Arial" w:hAnsi="Arial"/>
          <w:b/>
          <w:bCs/>
          <w:sz w:val="22"/>
          <w:szCs w:val="22"/>
        </w:rPr>
        <w:t xml:space="preserve">Settlement: </w:t>
      </w:r>
      <w:r>
        <w:rPr>
          <w:rFonts w:ascii="Arial" w:cs="Arial" w:eastAsia="Arial" w:hAnsi="Arial"/>
          <w:sz w:val="22"/>
          <w:szCs w:val="22"/>
        </w:rPr>
        <w:t xml:space="preserve">Monthly, via Naira wallet or airtime credit.</w:t>
      </w:r>
    </w:p>
    <w:p>
      <w:pPr>
        <w:pStyle w:val="ListParagraph"/>
        <w:numPr>
          <w:ilvl w:val="0"/>
          <w:numId w:val="2"/>
        </w:numPr>
        <w:spacing w:after="60"/>
      </w:pPr>
      <w:r>
        <w:rPr>
          <w:rFonts w:ascii="Arial" w:cs="Arial" w:eastAsia="Arial" w:hAnsi="Arial"/>
          <w:b/>
          <w:bCs/>
          <w:sz w:val="22"/>
          <w:szCs w:val="22"/>
        </w:rPr>
        <w:t xml:space="preserve">Transparency: </w:t>
      </w:r>
      <w:r>
        <w:rPr>
          <w:rFonts w:ascii="Arial" w:cs="Arial" w:eastAsia="Arial" w:hAnsi="Arial"/>
          <w:sz w:val="22"/>
          <w:szCs w:val="22"/>
        </w:rPr>
        <w:t xml:space="preserve">Real-time dashboard showing pool size, user’s share, and projected earnings.</w:t>
      </w:r>
    </w:p>
    <w:p>
      <w:pPr>
        <w:pStyle w:val="ListParagraph"/>
        <w:numPr>
          <w:ilvl w:val="0"/>
          <w:numId w:val="2"/>
        </w:numPr>
        <w:spacing w:after="60"/>
      </w:pPr>
      <w:r>
        <w:rPr>
          <w:rFonts w:ascii="Arial" w:cs="Arial" w:eastAsia="Arial" w:hAnsi="Arial"/>
          <w:b/>
          <w:bCs/>
          <w:sz w:val="22"/>
          <w:szCs w:val="22"/>
        </w:rPr>
        <w:t xml:space="preserve">Ad Format: </w:t>
      </w:r>
      <w:r>
        <w:rPr>
          <w:rFonts w:ascii="Arial" w:cs="Arial" w:eastAsia="Arial" w:hAnsi="Arial"/>
          <w:sz w:val="22"/>
          <w:szCs w:val="22"/>
        </w:rPr>
        <w:t xml:space="preserve">Non-intrusive native ads, rewarded ads (watch for data vouchers), and sponsored project listings on InvestDen.</w:t>
      </w:r>
    </w:p>
    <w:p>
      <w:pPr>
        <w:pStyle w:val="Heading2"/>
        <w:spacing w:before="300" w:after="150"/>
      </w:pPr>
      <w:r>
        <w:t xml:space="preserve">Network Effects &amp; Ecosystem Expansion</w:t>
      </w:r>
    </w:p>
    <w:p>
      <w:pPr>
        <w:spacing w:after="120" w:before="0"/>
        <w:jc w:val="left"/>
      </w:pPr>
      <w:r>
        <w:rPr>
          <w:rFonts w:ascii="Arial" w:cs="Arial" w:eastAsia="Arial" w:hAnsi="Arial"/>
          <w:color w:val="000000"/>
          <w:sz w:val="22"/>
          <w:szCs w:val="22"/>
        </w:rPr>
        <w:t xml:space="preserve">The Fixars API gateway is designed for extensibility. Third-party solutions and entities can join the ecosystem, just as apps join WeChat’s mini-program marketplace. Future additions could include:</w:t>
      </w:r>
    </w:p>
    <w:p>
      <w:pPr>
        <w:pStyle w:val="ListParagraph"/>
        <w:numPr>
          <w:ilvl w:val="0"/>
          <w:numId w:val="2"/>
        </w:numPr>
        <w:spacing w:after="60"/>
      </w:pPr>
      <w:r>
        <w:rPr>
          <w:rFonts w:ascii="Arial" w:cs="Arial" w:eastAsia="Arial" w:hAnsi="Arial"/>
          <w:sz w:val="22"/>
          <w:szCs w:val="22"/>
        </w:rPr>
        <w:t xml:space="preserve">E-commerce marketplace for products built on CollaBoard</w:t>
      </w:r>
    </w:p>
    <w:p>
      <w:pPr>
        <w:pStyle w:val="ListParagraph"/>
        <w:numPr>
          <w:ilvl w:val="0"/>
          <w:numId w:val="2"/>
        </w:numPr>
        <w:spacing w:after="60"/>
      </w:pPr>
      <w:r>
        <w:rPr>
          <w:rFonts w:ascii="Arial" w:cs="Arial" w:eastAsia="Arial" w:hAnsi="Arial"/>
          <w:sz w:val="22"/>
          <w:szCs w:val="22"/>
        </w:rPr>
        <w:t xml:space="preserve">Insurance products (crop insurance, project insurance) via InvestDen</w:t>
      </w:r>
    </w:p>
    <w:p>
      <w:pPr>
        <w:pStyle w:val="ListParagraph"/>
        <w:numPr>
          <w:ilvl w:val="0"/>
          <w:numId w:val="2"/>
        </w:numPr>
        <w:spacing w:after="60"/>
      </w:pPr>
      <w:r>
        <w:rPr>
          <w:rFonts w:ascii="Arial" w:cs="Arial" w:eastAsia="Arial" w:hAnsi="Arial"/>
          <w:sz w:val="22"/>
          <w:szCs w:val="22"/>
        </w:rPr>
        <w:t xml:space="preserve">Learning management systems feeding credentials to SkillsCanvas</w:t>
      </w:r>
    </w:p>
    <w:p>
      <w:pPr>
        <w:pStyle w:val="ListParagraph"/>
        <w:numPr>
          <w:ilvl w:val="0"/>
          <w:numId w:val="2"/>
        </w:numPr>
        <w:spacing w:after="60"/>
      </w:pPr>
      <w:r>
        <w:rPr>
          <w:rFonts w:ascii="Arial" w:cs="Arial" w:eastAsia="Arial" w:hAnsi="Arial"/>
          <w:sz w:val="22"/>
          <w:szCs w:val="22"/>
        </w:rPr>
        <w:t xml:space="preserve">Government service portals submitting civic improvements to ConceptNexus</w:t>
      </w:r>
    </w:p>
    <w:p>
      <w:pPr>
        <w:pStyle w:val="ListParagraph"/>
        <w:numPr>
          <w:ilvl w:val="0"/>
          <w:numId w:val="2"/>
        </w:numPr>
        <w:spacing w:after="60"/>
      </w:pPr>
      <w:r>
        <w:rPr>
          <w:rFonts w:ascii="Arial" w:cs="Arial" w:eastAsia="Arial" w:hAnsi="Arial"/>
          <w:sz w:val="22"/>
          <w:szCs w:val="22"/>
        </w:rPr>
        <w:t xml:space="preserve">Logistics and delivery services for physical product projects</w:t>
      </w:r>
    </w:p>
    <w:p>
      <w:pPr>
        <w:pStyle w:val="ListParagraph"/>
        <w:numPr>
          <w:ilvl w:val="0"/>
          <w:numId w:val="2"/>
        </w:numPr>
        <w:spacing w:after="60"/>
      </w:pPr>
      <w:r>
        <w:rPr>
          <w:rFonts w:ascii="Arial" w:cs="Arial" w:eastAsia="Arial" w:hAnsi="Arial"/>
          <w:sz w:val="22"/>
          <w:szCs w:val="22"/>
        </w:rPr>
        <w:t xml:space="preserve">Payroll and HR systems consuming SkillsCanvas credential APIs</w:t>
      </w:r>
    </w:p>
    <w:p>
      <w:r>
        <w:br w:type="page"/>
      </w:r>
    </w:p>
    <w:p>
      <w:pPr>
        <w:pStyle w:val="Heading1"/>
        <w:spacing w:before="300" w:after="150"/>
      </w:pPr>
      <w:r>
        <w:t xml:space="preserve">Monetisation Strategy</w:t>
      </w:r>
    </w:p>
    <w:p>
      <w:pPr>
        <w:spacing w:after="120" w:before="0"/>
        <w:jc w:val="left"/>
      </w:pPr>
      <w:r>
        <w:rPr>
          <w:rFonts w:ascii="Arial" w:cs="Arial" w:eastAsia="Arial" w:hAnsi="Arial"/>
          <w:color w:val="000000"/>
          <w:sz w:val="22"/>
          <w:szCs w:val="22"/>
        </w:rPr>
        <w:t xml:space="preserve">Fixars employs a diversified monetisation model, drawing from proven super-app revenue patterns localised for Nigeria: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26"/>
        <w:gridCol w:w="3000"/>
      </w:tblGrid>
      <w:tr>
        <w:trPr>
          <w:tblHeader/>
        </w:trPr>
        <w:tc>
          <w:tcPr>
            <w:tcW w:type="dxa" w:w="2000"/>
            <w:tcBorders>
              <w:top w:val="single" w:color="CCCCCC" w:sz="1"/>
              <w:left w:val="single" w:color="CCCCCC" w:sz="1"/>
              <w:bottom w:val="single" w:color="CCCCCC" w:sz="1"/>
              <w:right w:val="single" w:color="CCCCCC" w:sz="1"/>
            </w:tcBorders>
            <w:shd w:fill="1A3D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Revenue Stream</w:t>
            </w:r>
          </w:p>
        </w:tc>
        <w:tc>
          <w:tcPr>
            <w:tcW w:type="dxa" w:w="1800"/>
            <w:tcBorders>
              <w:top w:val="single" w:color="CCCCCC" w:sz="1"/>
              <w:left w:val="single" w:color="CCCCCC" w:sz="1"/>
              <w:bottom w:val="single" w:color="CCCCCC" w:sz="1"/>
              <w:right w:val="single" w:color="CCCCCC" w:sz="1"/>
            </w:tcBorders>
            <w:shd w:fill="1A3D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Source App(s)</w:t>
            </w:r>
          </w:p>
        </w:tc>
        <w:tc>
          <w:tcPr>
            <w:tcW w:type="dxa" w:w="2226"/>
            <w:tcBorders>
              <w:top w:val="single" w:color="CCCCCC" w:sz="1"/>
              <w:left w:val="single" w:color="CCCCCC" w:sz="1"/>
              <w:bottom w:val="single" w:color="CCCCCC" w:sz="1"/>
              <w:right w:val="single" w:color="CCCCCC" w:sz="1"/>
            </w:tcBorders>
            <w:shd w:fill="1A3D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Model</w:t>
            </w:r>
          </w:p>
        </w:tc>
        <w:tc>
          <w:tcPr>
            <w:tcW w:type="dxa" w:w="3000"/>
            <w:tcBorders>
              <w:top w:val="single" w:color="CCCCCC" w:sz="1"/>
              <w:left w:val="single" w:color="CCCCCC" w:sz="1"/>
              <w:bottom w:val="single" w:color="CCCCCC" w:sz="1"/>
              <w:right w:val="single" w:color="CCCCCC" w:sz="1"/>
            </w:tcBorders>
            <w:shd w:fill="1A3D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Nigeria Localisation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Transaction Commissions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InvestDen</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 per note trade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Micro-stakes from ₦500; USSD for unbanked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Subscription Tiers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apps</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 Pro / Enterprise monthly plans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Pricing from ₦1,500/mo; free trials; tiered by 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In-App Advertising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Fixars Feed, all apps</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Native ads, rewarded ads, sponsored listings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Reward-based ads (data vouchers); local advertiser partnerships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Commission/Referral Fees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ConceptNexus, CollaBoard</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of escrow-backed commissions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External escrow (PayPaddy or third-party); compliant fee structure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&amp; Analytics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InvestDen, SkillsCanvas</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Anonymised insights sold to employers, VCs, government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Consent-based; NDPA compliant; privacy-preserving aggregation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Access Fees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apps</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Tiered API plans for third-party integrations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tier for small developers; enterprise pricing for large consumers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Credential Verification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SkillsCanvas</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Per-verification fee for employers/institutions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Bulk pricing for universities and government agencies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Financial Products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InvestDen</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Interest on held funds, micro-insurance premiums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Requires PSB or microfinance licence; CBN compliance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Affiliate Partnerships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apps</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Revenue share with training providers, HR software, job boards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 partnerships with Jobberman, MyJobMag, training providers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Revenue Share Pool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Fixars Platform</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Enterprise ad revenue redistributed to qualifying users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Monthly settlement via Naira wallet or airtime</w:t>
            </w:r>
          </w:p>
        </w:tc>
      </w:tr>
    </w:tbl>
    <w:p>
      <w:pPr>
        <w:pStyle w:val="Heading2"/>
        <w:spacing w:before="300" w:after="150"/>
      </w:pPr>
      <w:r>
        <w:t xml:space="preserve">Revenue Projections (Conservative)</w:t>
      </w:r>
    </w:p>
    <w:p>
      <w:pPr>
        <w:spacing w:after="120" w:before="0"/>
        <w:jc w:val="left"/>
      </w:pPr>
      <w:r>
        <w:rPr>
          <w:rFonts w:ascii="Arial" w:cs="Arial" w:eastAsia="Arial" w:hAnsi="Arial"/>
          <w:color w:val="000000"/>
          <w:sz w:val="22"/>
          <w:szCs w:val="22"/>
        </w:rPr>
        <w:t xml:space="preserve">Based on comparable Nigerian fintech growth trajectories (OPay, PalmPay, Kuda) and adjusting for Fixars’ unique multi-app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8"/>
        <w:gridCol w:w="2009"/>
        <w:gridCol w:w="2009"/>
      </w:tblGrid>
      <w:tr>
        <w:trPr>
          <w:tblHeader/>
        </w:trPr>
        <w:tc>
          <w:tcPr>
            <w:tcW w:type="dxa" w:w="3000"/>
            <w:tcBorders>
              <w:top w:val="single" w:color="CCCCCC" w:sz="1"/>
              <w:left w:val="single" w:color="CCCCCC" w:sz="1"/>
              <w:bottom w:val="single" w:color="CCCCCC" w:sz="1"/>
              <w:right w:val="single" w:color="CCCCCC" w:sz="1"/>
            </w:tcBorders>
            <w:shd w:fill="1A3D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2008"/>
            <w:tcBorders>
              <w:top w:val="single" w:color="CCCCCC" w:sz="1"/>
              <w:left w:val="single" w:color="CCCCCC" w:sz="1"/>
              <w:bottom w:val="single" w:color="CCCCCC" w:sz="1"/>
              <w:right w:val="single" w:color="CCCCCC" w:sz="1"/>
            </w:tcBorders>
            <w:shd w:fill="1A3D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Year 1</w:t>
            </w:r>
          </w:p>
        </w:tc>
        <w:tc>
          <w:tcPr>
            <w:tcW w:type="dxa" w:w="2009"/>
            <w:tcBorders>
              <w:top w:val="single" w:color="CCCCCC" w:sz="1"/>
              <w:left w:val="single" w:color="CCCCCC" w:sz="1"/>
              <w:bottom w:val="single" w:color="CCCCCC" w:sz="1"/>
              <w:right w:val="single" w:color="CCCCCC" w:sz="1"/>
            </w:tcBorders>
            <w:shd w:fill="1A3D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Year 2</w:t>
            </w:r>
          </w:p>
        </w:tc>
        <w:tc>
          <w:tcPr>
            <w:tcW w:type="dxa" w:w="2009"/>
            <w:tcBorders>
              <w:top w:val="single" w:color="CCCCCC" w:sz="1"/>
              <w:left w:val="single" w:color="CCCCCC" w:sz="1"/>
              <w:bottom w:val="single" w:color="CCCCCC" w:sz="1"/>
              <w:right w:val="single" w:color="CCCCCC" w:sz="1"/>
            </w:tcBorders>
            <w:shd w:fill="1A3D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Year 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Registered Users</w:t>
            </w:r>
          </w:p>
        </w:tc>
        <w:tc>
          <w:tcPr>
            <w:tcW w:type="dxa" w:w="2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50,000</w:t>
            </w:r>
          </w:p>
        </w:tc>
        <w:tc>
          <w:tcPr>
            <w:tcW w:type="dxa" w:w="20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250,000</w:t>
            </w:r>
          </w:p>
        </w:tc>
        <w:tc>
          <w:tcPr>
            <w:tcW w:type="dxa" w:w="20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Monthly Active Users (MAU)</w:t>
            </w:r>
          </w:p>
        </w:tc>
        <w:tc>
          <w:tcPr>
            <w:tcW w:type="dxa" w:w="2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15,000</w:t>
            </w:r>
          </w:p>
        </w:tc>
        <w:tc>
          <w:tcPr>
            <w:tcW w:type="dxa" w:w="20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100,000</w:t>
            </w:r>
          </w:p>
        </w:tc>
        <w:tc>
          <w:tcPr>
            <w:tcW w:type="dxa" w:w="20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450,000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Cross-App Users (using 2+ apps)</w:t>
            </w:r>
          </w:p>
        </w:tc>
        <w:tc>
          <w:tcPr>
            <w:tcW w:type="dxa" w:w="2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3,000</w:t>
            </w:r>
          </w:p>
        </w:tc>
        <w:tc>
          <w:tcPr>
            <w:tcW w:type="dxa" w:w="20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40,000</w:t>
            </w:r>
          </w:p>
        </w:tc>
        <w:tc>
          <w:tcPr>
            <w:tcW w:type="dxa" w:w="20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225,000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Gross Revenue</w:t>
            </w:r>
          </w:p>
        </w:tc>
        <w:tc>
          <w:tcPr>
            <w:tcW w:type="dxa" w:w="2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₦120M (~£70K)</w:t>
            </w:r>
          </w:p>
        </w:tc>
        <w:tc>
          <w:tcPr>
            <w:tcW w:type="dxa" w:w="20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₦850M (~£490K)</w:t>
            </w:r>
          </w:p>
        </w:tc>
        <w:tc>
          <w:tcPr>
            <w:tcW w:type="dxa" w:w="20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₦4.5B (~£2.6M)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Break-Even Target</w:t>
            </w:r>
          </w:p>
        </w:tc>
        <w:tc>
          <w:tcPr>
            <w:tcW w:type="dxa" w:w="2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0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0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30-36</w:t>
            </w:r>
          </w:p>
        </w:tc>
      </w:tr>
    </w:tbl>
    <w:p>
      <w:pPr>
        <w:spacing w:after="120" w:before="0"/>
        <w:jc w:val="left"/>
      </w:pPr>
      <w:r>
        <w:rPr>
          <w:rFonts w:ascii="Arial" w:cs="Arial" w:eastAsia="Arial" w:hAnsi="Arial"/>
          <w:b/>
          <w:bCs/>
          <w:i/>
          <w:iCs/>
          <w:sz w:val="22"/>
          <w:szCs w:val="22"/>
        </w:rPr>
        <w:t xml:space="preserve">Note: </w:t>
      </w:r>
      <w:r>
        <w:rPr>
          <w:rFonts w:ascii="Arial" w:cs="Arial" w:eastAsia="Arial" w:hAnsi="Arial"/>
          <w:i/>
          <w:iCs/>
          <w:sz w:val="22"/>
          <w:szCs w:val="22"/>
        </w:rPr>
        <w:t xml:space="preserve">Full profitability likely requires 3-5 years, consistent with super-app benchmarks in emerging markets. Early revenue is reinvested into user acquisition and infrastructure.</w:t>
      </w:r>
    </w:p>
    <w:p>
      <w:r>
        <w:br w:type="page"/>
      </w:r>
    </w:p>
    <w:p>
      <w:pPr>
        <w:pStyle w:val="Heading1"/>
        <w:spacing w:before="300" w:after="150"/>
      </w:pPr>
      <w:r>
        <w:t xml:space="preserve">Scaling Strategy: Nigeria → Africa → Global</w:t>
      </w:r>
    </w:p>
    <w:p>
      <w:pPr>
        <w:pStyle w:val="Heading2"/>
        <w:spacing w:before="300" w:after="150"/>
      </w:pPr>
      <w:r>
        <w:t xml:space="preserve">Phase 1: Nigeria Deep Penetration (Months 1-18)</w:t>
      </w:r>
    </w:p>
    <w:p>
      <w:pPr>
        <w:pStyle w:val="ListParagraph"/>
        <w:numPr>
          <w:ilvl w:val="0"/>
          <w:numId w:val="2"/>
        </w:numPr>
        <w:spacing w:after="60"/>
      </w:pPr>
      <w:r>
        <w:rPr>
          <w:rFonts w:ascii="Arial" w:cs="Arial" w:eastAsia="Arial" w:hAnsi="Arial"/>
          <w:b/>
          <w:bCs/>
          <w:sz w:val="22"/>
          <w:szCs w:val="22"/>
        </w:rPr>
        <w:t xml:space="preserve">Launch cities: </w:t>
      </w:r>
      <w:r>
        <w:rPr>
          <w:rFonts w:ascii="Arial" w:cs="Arial" w:eastAsia="Arial" w:hAnsi="Arial"/>
          <w:sz w:val="22"/>
          <w:szCs w:val="22"/>
        </w:rPr>
        <w:t xml:space="preserve">Lagos (tech/startup hub), Abuja (government/institutional), Port Harcourt (oil/gas/agri), Kano (commerce/agriculture).</w:t>
      </w:r>
    </w:p>
    <w:p>
      <w:pPr>
        <w:pStyle w:val="ListParagraph"/>
        <w:numPr>
          <w:ilvl w:val="0"/>
          <w:numId w:val="2"/>
        </w:numPr>
        <w:spacing w:after="60"/>
      </w:pPr>
      <w:r>
        <w:rPr>
          <w:rFonts w:ascii="Arial" w:cs="Arial" w:eastAsia="Arial" w:hAnsi="Arial"/>
          <w:b/>
          <w:bCs/>
          <w:sz w:val="22"/>
          <w:szCs w:val="22"/>
        </w:rPr>
        <w:t xml:space="preserve">Anchor use case: </w:t>
      </w:r>
      <w:r>
        <w:rPr>
          <w:rFonts w:ascii="Arial" w:cs="Arial" w:eastAsia="Arial" w:hAnsi="Arial"/>
          <w:sz w:val="22"/>
          <w:szCs w:val="22"/>
        </w:rPr>
        <w:t xml:space="preserve">SkillsCanvas + CollaBoard (talent + collaboration) as the gateway, because they address the most immediate pain point: youth unemployment and skills mismatch.</w:t>
      </w:r>
    </w:p>
    <w:p>
      <w:pPr>
        <w:pStyle w:val="ListParagraph"/>
        <w:numPr>
          <w:ilvl w:val="0"/>
          <w:numId w:val="2"/>
        </w:numPr>
        <w:spacing w:after="60"/>
      </w:pPr>
      <w:r>
        <w:rPr>
          <w:rFonts w:ascii="Arial" w:cs="Arial" w:eastAsia="Arial" w:hAnsi="Arial"/>
          <w:b/>
          <w:bCs/>
          <w:sz w:val="22"/>
          <w:szCs w:val="22"/>
        </w:rPr>
        <w:t xml:space="preserve">Distribution: </w:t>
      </w:r>
      <w:r>
        <w:rPr>
          <w:rFonts w:ascii="Arial" w:cs="Arial" w:eastAsia="Arial" w:hAnsi="Arial"/>
          <w:sz w:val="22"/>
          <w:szCs w:val="22"/>
        </w:rPr>
        <w:t xml:space="preserve">University partnerships, NYSC integration, agent networks, referral programs, social media campaigns.</w:t>
      </w:r>
    </w:p>
    <w:p>
      <w:pPr>
        <w:pStyle w:val="ListParagraph"/>
        <w:numPr>
          <w:ilvl w:val="0"/>
          <w:numId w:val="2"/>
        </w:numPr>
        <w:spacing w:after="60"/>
      </w:pPr>
      <w:r>
        <w:rPr>
          <w:rFonts w:ascii="Arial" w:cs="Arial" w:eastAsia="Arial" w:hAnsi="Arial"/>
          <w:b/>
          <w:bCs/>
          <w:sz w:val="22"/>
          <w:szCs w:val="22"/>
        </w:rPr>
        <w:t xml:space="preserve">Regulatory: </w:t>
      </w:r>
      <w:r>
        <w:rPr>
          <w:rFonts w:ascii="Arial" w:cs="Arial" w:eastAsia="Arial" w:hAnsi="Arial"/>
          <w:sz w:val="22"/>
          <w:szCs w:val="22"/>
        </w:rPr>
        <w:t xml:space="preserve">Secure Nigerian SEC crowdfunding licence (InvestDen), NDPA compliance certification, CBN sandbox participation.</w:t>
      </w:r>
    </w:p>
    <w:p>
      <w:pPr>
        <w:pStyle w:val="Heading2"/>
        <w:spacing w:before="300" w:after="150"/>
      </w:pPr>
      <w:r>
        <w:t xml:space="preserve">Phase 2: West Africa Expansion (Months 18-30)</w:t>
      </w:r>
    </w:p>
    <w:p>
      <w:pPr>
        <w:pStyle w:val="ListParagraph"/>
        <w:numPr>
          <w:ilvl w:val="0"/>
          <w:numId w:val="2"/>
        </w:numPr>
        <w:spacing w:after="60"/>
      </w:pPr>
      <w:r>
        <w:rPr>
          <w:rFonts w:ascii="Arial" w:cs="Arial" w:eastAsia="Arial" w:hAnsi="Arial"/>
          <w:b/>
          <w:bCs/>
          <w:sz w:val="22"/>
          <w:szCs w:val="22"/>
        </w:rPr>
        <w:t xml:space="preserve">Target markets: </w:t>
      </w:r>
      <w:r>
        <w:rPr>
          <w:rFonts w:ascii="Arial" w:cs="Arial" w:eastAsia="Arial" w:hAnsi="Arial"/>
          <w:sz w:val="22"/>
          <w:szCs w:val="22"/>
        </w:rPr>
        <w:t xml:space="preserve">Ghana (strong fintech ecosystem), Kenya (M-Pesa integration opportunity), South Africa (established venture market).</w:t>
      </w:r>
    </w:p>
    <w:p>
      <w:pPr>
        <w:pStyle w:val="ListParagraph"/>
        <w:numPr>
          <w:ilvl w:val="0"/>
          <w:numId w:val="2"/>
        </w:numPr>
        <w:spacing w:after="60"/>
      </w:pPr>
      <w:r>
        <w:rPr>
          <w:rFonts w:ascii="Arial" w:cs="Arial" w:eastAsia="Arial" w:hAnsi="Arial"/>
          <w:b/>
          <w:bCs/>
          <w:sz w:val="22"/>
          <w:szCs w:val="22"/>
        </w:rPr>
        <w:t xml:space="preserve">Localisation: </w:t>
      </w:r>
      <w:r>
        <w:rPr>
          <w:rFonts w:ascii="Arial" w:cs="Arial" w:eastAsia="Arial" w:hAnsi="Arial"/>
          <w:sz w:val="22"/>
          <w:szCs w:val="22"/>
        </w:rPr>
        <w:t xml:space="preserve">Currency support (GHS, KES, ZAR), local payment gateways, regulatory compliance per jurisdiction.</w:t>
      </w:r>
    </w:p>
    <w:p>
      <w:pPr>
        <w:pStyle w:val="ListParagraph"/>
        <w:numPr>
          <w:ilvl w:val="0"/>
          <w:numId w:val="2"/>
        </w:numPr>
        <w:spacing w:after="60"/>
      </w:pPr>
      <w:r>
        <w:rPr>
          <w:rFonts w:ascii="Arial" w:cs="Arial" w:eastAsia="Arial" w:hAnsi="Arial"/>
          <w:b/>
          <w:bCs/>
          <w:sz w:val="22"/>
          <w:szCs w:val="22"/>
        </w:rPr>
        <w:t xml:space="preserve">Partnerships: </w:t>
      </w:r>
      <w:r>
        <w:rPr>
          <w:rFonts w:ascii="Arial" w:cs="Arial" w:eastAsia="Arial" w:hAnsi="Arial"/>
          <w:sz w:val="22"/>
          <w:szCs w:val="22"/>
        </w:rPr>
        <w:t xml:space="preserve">African Union digital skills initiatives, AfCFTA trade opportunities, pan-African accelerators (e.g., Catalyst Fund, GreenTec Capital).</w:t>
      </w:r>
    </w:p>
    <w:p>
      <w:pPr>
        <w:pStyle w:val="Heading2"/>
        <w:spacing w:before="300" w:after="150"/>
      </w:pPr>
      <w:r>
        <w:t xml:space="preserve">Phase 3: Pan-Africa &amp; Global (Months 30-48)</w:t>
      </w:r>
    </w:p>
    <w:p>
      <w:pPr>
        <w:pStyle w:val="ListParagraph"/>
        <w:numPr>
          <w:ilvl w:val="0"/>
          <w:numId w:val="2"/>
        </w:numPr>
        <w:spacing w:after="60"/>
      </w:pPr>
      <w:r>
        <w:rPr>
          <w:rFonts w:ascii="Arial" w:cs="Arial" w:eastAsia="Arial" w:hAnsi="Arial"/>
          <w:b/>
          <w:bCs/>
          <w:sz w:val="22"/>
          <w:szCs w:val="22"/>
        </w:rPr>
        <w:t xml:space="preserve">Africa-wide: </w:t>
      </w:r>
      <w:r>
        <w:rPr>
          <w:rFonts w:ascii="Arial" w:cs="Arial" w:eastAsia="Arial" w:hAnsi="Arial"/>
          <w:sz w:val="22"/>
          <w:szCs w:val="22"/>
        </w:rPr>
        <w:t xml:space="preserve">Expand to East and North Africa, targeting diaspora connections and cross-border collaboration.</w:t>
      </w:r>
    </w:p>
    <w:p>
      <w:pPr>
        <w:pStyle w:val="ListParagraph"/>
        <w:numPr>
          <w:ilvl w:val="0"/>
          <w:numId w:val="2"/>
        </w:numPr>
        <w:spacing w:after="60"/>
      </w:pPr>
      <w:r>
        <w:rPr>
          <w:rFonts w:ascii="Arial" w:cs="Arial" w:eastAsia="Arial" w:hAnsi="Arial"/>
          <w:b/>
          <w:bCs/>
          <w:sz w:val="22"/>
          <w:szCs w:val="22"/>
        </w:rPr>
        <w:t xml:space="preserve">Global: </w:t>
      </w:r>
      <w:r>
        <w:rPr>
          <w:rFonts w:ascii="Arial" w:cs="Arial" w:eastAsia="Arial" w:hAnsi="Arial"/>
          <w:sz w:val="22"/>
          <w:szCs w:val="22"/>
        </w:rPr>
        <w:t xml:space="preserve">UK (diaspora market + regulation-friendly), UAE (innovation hub + African diaspora), US (Nigerian diaspora + venture capital market).</w:t>
      </w:r>
    </w:p>
    <w:p>
      <w:pPr>
        <w:pStyle w:val="ListParagraph"/>
        <w:numPr>
          <w:ilvl w:val="0"/>
          <w:numId w:val="2"/>
        </w:numPr>
        <w:spacing w:after="60"/>
      </w:pPr>
      <w:r>
        <w:rPr>
          <w:rFonts w:ascii="Arial" w:cs="Arial" w:eastAsia="Arial" w:hAnsi="Arial"/>
          <w:b/>
          <w:bCs/>
          <w:sz w:val="22"/>
          <w:szCs w:val="22"/>
        </w:rPr>
        <w:t xml:space="preserve">Ecosystem play: </w:t>
      </w:r>
      <w:r>
        <w:rPr>
          <w:rFonts w:ascii="Arial" w:cs="Arial" w:eastAsia="Arial" w:hAnsi="Arial"/>
          <w:sz w:val="22"/>
          <w:szCs w:val="22"/>
        </w:rPr>
        <w:t xml:space="preserve">Open API gateway to third-party apps, creating a true platform economy. The Fixars ecosystem becomes an operating system for innovation in emerging markets.</w:t>
      </w:r>
    </w:p>
    <w:p>
      <w:r>
        <w:br w:type="page"/>
      </w:r>
    </w:p>
    <w:p>
      <w:pPr>
        <w:pStyle w:val="Heading1"/>
        <w:spacing w:before="300" w:after="150"/>
      </w:pPr>
      <w:r>
        <w:t xml:space="preserve">Risk Analysis &amp;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000"/>
        <w:gridCol w:w="1000"/>
        <w:gridCol w:w="3626"/>
      </w:tblGrid>
      <w:tr>
        <w:trPr>
          <w:tblHeader/>
        </w:trPr>
        <w:tc>
          <w:tcPr>
            <w:tcW w:type="dxa" w:w="1200"/>
            <w:tcBorders>
              <w:top w:val="single" w:color="CCCCCC" w:sz="1"/>
              <w:left w:val="single" w:color="CCCCCC" w:sz="1"/>
              <w:bottom w:val="single" w:color="CCCCCC" w:sz="1"/>
              <w:right w:val="single" w:color="CCCCCC" w:sz="1"/>
            </w:tcBorders>
            <w:shd w:fill="1A3D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 Category</w:t>
            </w:r>
          </w:p>
        </w:tc>
        <w:tc>
          <w:tcPr>
            <w:tcW w:type="dxa" w:w="2200"/>
            <w:tcBorders>
              <w:top w:val="single" w:color="CCCCCC" w:sz="1"/>
              <w:left w:val="single" w:color="CCCCCC" w:sz="1"/>
              <w:bottom w:val="single" w:color="CCCCCC" w:sz="1"/>
              <w:right w:val="single" w:color="CCCCCC" w:sz="1"/>
            </w:tcBorders>
            <w:shd w:fill="1A3D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1000"/>
            <w:tcBorders>
              <w:top w:val="single" w:color="CCCCCC" w:sz="1"/>
              <w:left w:val="single" w:color="CCCCCC" w:sz="1"/>
              <w:bottom w:val="single" w:color="CCCCCC" w:sz="1"/>
              <w:right w:val="single" w:color="CCCCCC" w:sz="1"/>
            </w:tcBorders>
            <w:shd w:fill="1A3D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Likelihood</w:t>
            </w:r>
          </w:p>
        </w:tc>
        <w:tc>
          <w:tcPr>
            <w:tcW w:type="dxa" w:w="1000"/>
            <w:tcBorders>
              <w:top w:val="single" w:color="CCCCCC" w:sz="1"/>
              <w:left w:val="single" w:color="CCCCCC" w:sz="1"/>
              <w:bottom w:val="single" w:color="CCCCCC" w:sz="1"/>
              <w:right w:val="single" w:color="CCCCCC" w:sz="1"/>
            </w:tcBorders>
            <w:shd w:fill="1A3D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w:t>
            </w:r>
          </w:p>
        </w:tc>
        <w:tc>
          <w:tcPr>
            <w:tcW w:type="dxa" w:w="3626"/>
            <w:tcBorders>
              <w:top w:val="single" w:color="CCCCCC" w:sz="1"/>
              <w:left w:val="single" w:color="CCCCCC" w:sz="1"/>
              <w:bottom w:val="single" w:color="CCCCCC" w:sz="1"/>
              <w:right w:val="single" w:color="CCCCCC" w:sz="1"/>
            </w:tcBorders>
            <w:shd w:fill="1A3D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Mitigation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Regulatory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InvestDen classified as gambling; licensing delays; CBN restrictions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Structure as securities; engage SEC early; legal counsel specialising in fintech regulation; regulatory sandbox participation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Competition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OPay/PalmPay add similar features; international super-apps enter Nigeria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Differentiate through ecosystem interconnection (no competitor has 4-app flywheel); build network effects early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Technical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Scaling infrastructure; API reliability; data security breaches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Cloud-native architecture (AWS/GCP); SOC 2 compliance; regular penetration testing; incident response plan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 Adoption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Users don’t see value in cross-app usage; single-app usage dominates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Fixar Points incentivise cross-app behaviour; demonstrate clear value in integrated workflows; strong onboarding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Economic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Naira depreciation; inflation eroding micro-stakes; recession reducing discretionary spending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Diversify revenue streams; offer USD-indexed instruments on InvestDen; maintain low-cost free tiers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Privacy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NDPA violations; cross-app data sharing concerns; user trust erosion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Privacy-by-design; explicit consent for all cross-app data; NDPA compliance officer; regular audits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 Execution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Difficulty hiring full-stack talent; founder burnout; co-founder disputes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Strong equity structure; advisory board; phased hiring; outsource non-core functions initially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Escrow Dependency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Third-party escrow provider fails or exits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Dual-provider strategy; graceful degradation; clear communication protocol</w:t>
            </w:r>
          </w:p>
        </w:tc>
      </w:tr>
    </w:tbl>
    <w:p>
      <w:r>
        <w:br w:type="page"/>
      </w:r>
    </w:p>
    <w:p>
      <w:pPr>
        <w:pStyle w:val="Heading1"/>
        <w:spacing w:before="300" w:after="150"/>
      </w:pPr>
      <w:r>
        <w:t xml:space="preserve">Technical Architecture Overview</w:t>
      </w:r>
    </w:p>
    <w:p>
      <w:pPr>
        <w:pStyle w:val="Heading2"/>
        <w:spacing w:before="300" w:after="150"/>
      </w:pPr>
      <w:r>
        <w:t xml:space="preserve">Recommended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26"/>
        <w:gridCol w:w="3500"/>
      </w:tblGrid>
      <w:tr>
        <w:trPr>
          <w:tblHeader/>
        </w:trPr>
        <w:tc>
          <w:tcPr>
            <w:tcW w:type="dxa" w:w="2000"/>
            <w:tcBorders>
              <w:top w:val="single" w:color="CCCCCC" w:sz="1"/>
              <w:left w:val="single" w:color="CCCCCC" w:sz="1"/>
              <w:bottom w:val="single" w:color="CCCCCC" w:sz="1"/>
              <w:right w:val="single" w:color="CCCCCC" w:sz="1"/>
            </w:tcBorders>
            <w:shd w:fill="1A3D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W w:type="dxa" w:w="3526"/>
            <w:tcBorders>
              <w:top w:val="single" w:color="CCCCCC" w:sz="1"/>
              <w:left w:val="single" w:color="CCCCCC" w:sz="1"/>
              <w:bottom w:val="single" w:color="CCCCCC" w:sz="1"/>
              <w:right w:val="single" w:color="CCCCCC" w:sz="1"/>
            </w:tcBorders>
            <w:shd w:fill="1A3D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Technology</w:t>
            </w:r>
          </w:p>
        </w:tc>
        <w:tc>
          <w:tcPr>
            <w:tcW w:type="dxa" w:w="3500"/>
            <w:tcBorders>
              <w:top w:val="single" w:color="CCCCCC" w:sz="1"/>
              <w:left w:val="single" w:color="CCCCCC" w:sz="1"/>
              <w:bottom w:val="single" w:color="CCCCCC" w:sz="1"/>
              <w:right w:val="single" w:color="CCCCCC" w:sz="1"/>
            </w:tcBorders>
            <w:shd w:fill="1A3D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 (Web)</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Next.js 14+ (App Router)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SSR for SEO, RSC for performance, React ecosystem familiarity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 (Mobile)</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Native / Expo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Cross-platform iOS/Android; code sharing with web; large talent pool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Layer</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Node.js + GraphQL (Apollo) + REST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GraphQL for flexible cross-app queries; REST for webhooks and simple integrations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Gateway</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Kong or AWS API Gateway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Rate limiting, auth, versioning, analytics across all apps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Keycloak or Auth0</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OAuth 2.1 / OIDC; SSO; multi-tenant; social login + BVN/NIN KYC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(primary) + Redis (cache) + Elasticsearch (search)</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Relational integrity for financial data; fast caching; semantic search for ideas/skills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Event Bus</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Apache Kafka or AWS EventBridge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Asynchronous cross-app events; consent-aware routing; replay capability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AI/ML</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OpenAI API + Hugging Face (custom models)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 for idea refinement; custom models for skill extraction and team matching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Payments</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Paystack + Flutterwave + USSD gateway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Nigerian payment rails; bank transfers; mobile money; USSD fallback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Hosting</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(Lagos region) or GCP</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Low-latency for Nigerian users; auto-scaling; compliance with data residency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Blockchain (Optional)</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Polygon (SkillsCanvas credentials)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Low-cost credential anchoring; W3C VC compatibility; not critical path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Monitoring</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Datadog or Grafana + Sentry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 performance, error tracking, uptime SLAs</w:t>
            </w:r>
          </w:p>
        </w:tc>
      </w:tr>
    </w:tbl>
    <w:p>
      <w:pPr>
        <w:pStyle w:val="Heading2"/>
        <w:spacing w:before="300" w:after="150"/>
      </w:pPr>
      <w:r>
        <w:t xml:space="preserve">Microservices Architecture</w:t>
      </w:r>
    </w:p>
    <w:p>
      <w:pPr>
        <w:spacing w:after="120" w:before="0"/>
        <w:jc w:val="left"/>
      </w:pPr>
      <w:r>
        <w:rPr>
          <w:rFonts w:ascii="Arial" w:cs="Arial" w:eastAsia="Arial" w:hAnsi="Arial"/>
          <w:color w:val="000000"/>
          <w:sz w:val="22"/>
          <w:szCs w:val="22"/>
        </w:rPr>
        <w:t xml:space="preserve">Each app is a bounded context with its own microservices, database, and deployment pipeline. Shared services (Identity, Points, Feed, Messaging, Compliance) operate as platform services consumed by all apps through the API gateway.</w:t>
      </w:r>
    </w:p>
    <w:p>
      <w:pPr>
        <w:spacing w:after="120" w:before="0"/>
        <w:jc w:val="left"/>
      </w:pPr>
      <w:r>
        <w:rPr>
          <w:rFonts w:ascii="Arial" w:cs="Arial" w:eastAsia="Arial" w:hAnsi="Arial"/>
          <w:color w:val="000000"/>
          <w:sz w:val="22"/>
          <w:szCs w:val="22"/>
        </w:rPr>
        <w:t xml:space="preserve">Key architectural decisions:</w:t>
      </w:r>
    </w:p>
    <w:p>
      <w:pPr>
        <w:pStyle w:val="ListParagraph"/>
        <w:numPr>
          <w:ilvl w:val="0"/>
          <w:numId w:val="2"/>
        </w:numPr>
        <w:spacing w:after="60"/>
      </w:pPr>
      <w:r>
        <w:rPr>
          <w:rFonts w:ascii="Arial" w:cs="Arial" w:eastAsia="Arial" w:hAnsi="Arial"/>
          <w:sz w:val="22"/>
          <w:szCs w:val="22"/>
        </w:rPr>
        <w:t xml:space="preserve">Event-driven communication between apps (no direct database sharing)</w:t>
      </w:r>
    </w:p>
    <w:p>
      <w:pPr>
        <w:pStyle w:val="ListParagraph"/>
        <w:numPr>
          <w:ilvl w:val="0"/>
          <w:numId w:val="2"/>
        </w:numPr>
        <w:spacing w:after="60"/>
      </w:pPr>
      <w:r>
        <w:rPr>
          <w:rFonts w:ascii="Arial" w:cs="Arial" w:eastAsia="Arial" w:hAnsi="Arial"/>
          <w:sz w:val="22"/>
          <w:szCs w:val="22"/>
        </w:rPr>
        <w:t xml:space="preserve">CQRS (Command Query Responsibility Segregation) for InvestDen’s financial data</w:t>
      </w:r>
    </w:p>
    <w:p>
      <w:pPr>
        <w:pStyle w:val="ListParagraph"/>
        <w:numPr>
          <w:ilvl w:val="0"/>
          <w:numId w:val="2"/>
        </w:numPr>
        <w:spacing w:after="60"/>
      </w:pPr>
      <w:r>
        <w:rPr>
          <w:rFonts w:ascii="Arial" w:cs="Arial" w:eastAsia="Arial" w:hAnsi="Arial"/>
          <w:sz w:val="22"/>
          <w:szCs w:val="22"/>
        </w:rPr>
        <w:t xml:space="preserve">Saga pattern for cross-app transactions (e.g., idea certified → listed on InvestDen → team formed on CollaBoard)</w:t>
      </w:r>
    </w:p>
    <w:p>
      <w:pPr>
        <w:pStyle w:val="ListParagraph"/>
        <w:numPr>
          <w:ilvl w:val="0"/>
          <w:numId w:val="2"/>
        </w:numPr>
        <w:spacing w:after="60"/>
      </w:pPr>
      <w:r>
        <w:rPr>
          <w:rFonts w:ascii="Arial" w:cs="Arial" w:eastAsia="Arial" w:hAnsi="Arial"/>
          <w:sz w:val="22"/>
          <w:szCs w:val="22"/>
        </w:rPr>
        <w:t xml:space="preserve">Feature flags for gradual rollout of cross-app integrations</w:t>
      </w:r>
    </w:p>
    <w:p>
      <w:pPr>
        <w:pStyle w:val="ListParagraph"/>
        <w:numPr>
          <w:ilvl w:val="0"/>
          <w:numId w:val="2"/>
        </w:numPr>
        <w:spacing w:after="60"/>
      </w:pPr>
      <w:r>
        <w:rPr>
          <w:rFonts w:ascii="Arial" w:cs="Arial" w:eastAsia="Arial" w:hAnsi="Arial"/>
          <w:sz w:val="22"/>
          <w:szCs w:val="22"/>
        </w:rPr>
        <w:t xml:space="preserve">Mobile-first progressive web app with offline support for low-connectivity users</w:t>
      </w:r>
    </w:p>
    <w:p>
      <w:r>
        <w:br w:type="page"/>
      </w:r>
    </w:p>
    <w:p>
      <w:pPr>
        <w:pStyle w:val="Heading1"/>
        <w:spacing w:before="300" w:after="150"/>
      </w:pPr>
      <w:r>
        <w:t xml:space="preserve">Implementation Roadmap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4126"/>
        <w:gridCol w:w="2500"/>
      </w:tblGrid>
      <w:tr>
        <w:trPr>
          <w:tblHeader/>
        </w:trPr>
        <w:tc>
          <w:tcPr>
            <w:tcW w:type="dxa" w:w="1200"/>
            <w:tcBorders>
              <w:top w:val="single" w:color="CCCCCC" w:sz="1"/>
              <w:left w:val="single" w:color="CCCCCC" w:sz="1"/>
              <w:bottom w:val="single" w:color="CCCCCC" w:sz="1"/>
              <w:right w:val="single" w:color="CCCCCC" w:sz="1"/>
            </w:tcBorders>
            <w:shd w:fill="1A3D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1200"/>
            <w:tcBorders>
              <w:top w:val="single" w:color="CCCCCC" w:sz="1"/>
              <w:left w:val="single" w:color="CCCCCC" w:sz="1"/>
              <w:bottom w:val="single" w:color="CCCCCC" w:sz="1"/>
              <w:right w:val="single" w:color="CCCCCC" w:sz="1"/>
            </w:tcBorders>
            <w:shd w:fill="1A3D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Timeline</w:t>
            </w:r>
          </w:p>
        </w:tc>
        <w:tc>
          <w:tcPr>
            <w:tcW w:type="dxa" w:w="4126"/>
            <w:tcBorders>
              <w:top w:val="single" w:color="CCCCCC" w:sz="1"/>
              <w:left w:val="single" w:color="CCCCCC" w:sz="1"/>
              <w:bottom w:val="single" w:color="CCCCCC" w:sz="1"/>
              <w:right w:val="single" w:color="CCCCCC" w:sz="1"/>
            </w:tcBorders>
            <w:shd w:fill="1A3D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Deliverables</w:t>
            </w:r>
          </w:p>
        </w:tc>
        <w:tc>
          <w:tcPr>
            <w:tcW w:type="dxa" w:w="2500"/>
            <w:tcBorders>
              <w:top w:val="single" w:color="CCCCCC" w:sz="1"/>
              <w:left w:val="single" w:color="CCCCCC" w:sz="1"/>
              <w:bottom w:val="single" w:color="CCCCCC" w:sz="1"/>
              <w:right w:val="single" w:color="CCCCCC" w:sz="1"/>
            </w:tcBorders>
            <w:shd w:fill="1A3D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Success Metrics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Foundation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Months 1-3</w:t>
            </w:r>
          </w:p>
        </w:tc>
        <w:tc>
          <w:tcPr>
            <w:tcW w:type="dxa" w:w="4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Fixars Identity (SSO) + API Gateway
ConceptNexus MVP (idea submission + AI triage + certification)
SkillsCanvas MVP (profile + credential wallet + basic passport)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 registered users; 100 ideas submitted; 200 skill profiles created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Collaboration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Months 4-6</w:t>
            </w:r>
          </w:p>
        </w:tc>
        <w:tc>
          <w:tcPr>
            <w:tcW w:type="dxa" w:w="4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CollaBoard MVP (team matching + Tempo Board + basic rooms)
ConceptNexus ↔ CollaBoard integration (certified ideas feed teams)
SkillsCanvas ↔ CollaBoard integration (verified skills inform team matching)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teams formed; 20 milestones completed; 80% team satisfaction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Investment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Months 7-9</w:t>
            </w:r>
          </w:p>
        </w:tc>
        <w:tc>
          <w:tcPr>
            <w:tcW w:type="dxa" w:w="4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InvestDen MVP (sealed-bid auctions + milestone notes + basic dashboard)
ConceptNexus ↔ InvestDen integration (I-I-V-S scores feed odds)
CollaBoard ↔ InvestDen integration (team signals update odds)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projects listed; ₦10M staked; 15 milestones paid out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Ecosystem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Months 10-12</w:t>
            </w:r>
          </w:p>
        </w:tc>
        <w:tc>
          <w:tcPr>
            <w:tcW w:type="dxa" w:w="4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Fixars Feed + Messaging + Points Engine
Revenue Share Pool MVP
Cross-app onboarding flow
Third-party API documentation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3,000 cross-app users; 10,000 MAU; Fixar Points actively circulating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Scale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Months 13-18</w:t>
            </w:r>
          </w:p>
        </w:tc>
        <w:tc>
          <w:tcPr>
            <w:tcW w:type="dxa" w:w="4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Nigeria deep penetration (4 cities)
Employer Hub (SkillsCanvas)
Launch Bridge (CollaBoard)
Advanced analytics + premium tiers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50,000 users; ₦120M revenue; SEC licence obtained; 2 enterprise partnerships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Expand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Months 19-30</w:t>
            </w:r>
          </w:p>
        </w:tc>
        <w:tc>
          <w:tcPr>
            <w:tcW w:type="dxa" w:w="4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Ghana + Kenya launch
Pan-African partnerships
Open API for third-party apps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250,000 users; ₦850M revenue; 3 countries live</w:t>
            </w:r>
          </w:p>
        </w:tc>
      </w:tr>
    </w:tbl>
    <w:p>
      <w:r>
        <w:br w:type="page"/>
      </w:r>
    </w:p>
    <w:p>
      <w:pPr>
        <w:pStyle w:val="Heading1"/>
        <w:spacing w:before="300" w:after="150"/>
      </w:pPr>
      <w:r>
        <w:t xml:space="preserve">Conclusion &amp; Strategic Recommendations</w:t>
      </w:r>
    </w:p>
    <w:p>
      <w:pPr>
        <w:spacing w:after="120" w:before="0"/>
        <w:jc w:val="left"/>
      </w:pPr>
      <w:r>
        <w:rPr>
          <w:rFonts w:ascii="Arial" w:cs="Arial" w:eastAsia="Arial" w:hAnsi="Arial"/>
          <w:color w:val="000000"/>
          <w:sz w:val="22"/>
          <w:szCs w:val="22"/>
        </w:rPr>
        <w:t xml:space="preserve">Fixars represents a bold but achievable vision: an interconnected ecosystem that transforms how Africans create, collaborate, prove their worth, and fund innovation. The four apps address distinct but complementary needs, and their integration creates compounding value that no single-purpose platform can match.</w:t>
      </w:r>
    </w:p>
    <w:p>
      <w:pPr>
        <w:pStyle w:val="Heading2"/>
        <w:spacing w:before="300" w:after="150"/>
      </w:pPr>
      <w:r>
        <w:t xml:space="preserve">Strategic Recommendations</w:t>
      </w:r>
    </w:p>
    <w:p>
      <w:pPr>
        <w:pStyle w:val="ListParagraph"/>
        <w:numPr>
          <w:ilvl w:val="0"/>
          <w:numId w:val="3"/>
        </w:numPr>
        <w:spacing w:after="80"/>
      </w:pPr>
      <w:r>
        <w:rPr>
          <w:rFonts w:ascii="Arial" w:cs="Arial" w:eastAsia="Arial" w:hAnsi="Arial"/>
          <w:sz w:val="22"/>
          <w:szCs w:val="22"/>
        </w:rPr>
        <w:t xml:space="preserve">Start with SkillsCanvas and ConceptNexus as the foundation. These two apps have the lowest regulatory risk, clearest market demand, and provide the data infrastructure that CollaBoard and InvestDen depend on.</w:t>
      </w:r>
    </w:p>
    <w:p>
      <w:pPr>
        <w:pStyle w:val="ListParagraph"/>
        <w:numPr>
          <w:ilvl w:val="0"/>
          <w:numId w:val="3"/>
        </w:numPr>
        <w:spacing w:after="80"/>
      </w:pPr>
      <w:r>
        <w:rPr>
          <w:rFonts w:ascii="Arial" w:cs="Arial" w:eastAsia="Arial" w:hAnsi="Arial"/>
          <w:sz w:val="22"/>
          <w:szCs w:val="22"/>
        </w:rPr>
        <w:t xml:space="preserve">Build CollaBoard as the first integration point. Once you have verified talent (SkillsCanvas) and certified ideas (ConceptNexus), team formation becomes the natural next step. This creates tangible output (shipped projects) that validates the ecosystem.</w:t>
      </w:r>
    </w:p>
    <w:p>
      <w:pPr>
        <w:pStyle w:val="ListParagraph"/>
        <w:numPr>
          <w:ilvl w:val="0"/>
          <w:numId w:val="3"/>
        </w:numPr>
        <w:spacing w:after="80"/>
      </w:pPr>
      <w:r>
        <w:rPr>
          <w:rFonts w:ascii="Arial" w:cs="Arial" w:eastAsia="Arial" w:hAnsi="Arial"/>
          <w:sz w:val="22"/>
          <w:szCs w:val="22"/>
        </w:rPr>
        <w:t xml:space="preserve">Launch InvestDen last and carefully. The regulatory complexity is highest here. Use the 6-9 months of SkillsCanvas/ConceptNexus/CollaBoard operation to build the data history and regulatory relationships needed for InvestDen’s launch.</w:t>
      </w:r>
    </w:p>
    <w:p>
      <w:pPr>
        <w:pStyle w:val="ListParagraph"/>
        <w:numPr>
          <w:ilvl w:val="0"/>
          <w:numId w:val="3"/>
        </w:numPr>
        <w:spacing w:after="80"/>
      </w:pPr>
      <w:r>
        <w:rPr>
          <w:rFonts w:ascii="Arial" w:cs="Arial" w:eastAsia="Arial" w:hAnsi="Arial"/>
          <w:sz w:val="22"/>
          <w:szCs w:val="22"/>
        </w:rPr>
        <w:t xml:space="preserve">Prioritise the Fixar Points economy early. Even before full cross-app integration, Points create user stickiness and cross-app discovery. The points system is the connective tissue that makes users feel like they’re in one ecosystem, not four separate apps.</w:t>
      </w:r>
    </w:p>
    <w:p>
      <w:pPr>
        <w:pStyle w:val="ListParagraph"/>
        <w:numPr>
          <w:ilvl w:val="0"/>
          <w:numId w:val="3"/>
        </w:numPr>
        <w:spacing w:after="80"/>
      </w:pPr>
      <w:r>
        <w:rPr>
          <w:rFonts w:ascii="Arial" w:cs="Arial" w:eastAsia="Arial" w:hAnsi="Arial"/>
          <w:sz w:val="22"/>
          <w:szCs w:val="22"/>
        </w:rPr>
        <w:t xml:space="preserve">Engage regulators proactively. Nigerian SEC sandbox for InvestDen, NDPA compliance for all apps, CBN engagement for any financial products. Being the first to establish regulatory relationships is itself a competitive moat.</w:t>
      </w:r>
    </w:p>
    <w:p>
      <w:pPr>
        <w:pStyle w:val="ListParagraph"/>
        <w:numPr>
          <w:ilvl w:val="0"/>
          <w:numId w:val="3"/>
        </w:numPr>
        <w:spacing w:after="80"/>
      </w:pPr>
      <w:r>
        <w:rPr>
          <w:rFonts w:ascii="Arial" w:cs="Arial" w:eastAsia="Arial" w:hAnsi="Arial"/>
          <w:sz w:val="22"/>
          <w:szCs w:val="22"/>
        </w:rPr>
        <w:t xml:space="preserve">Design for Nigeria’s constraints from day one. Low bandwidth, expensive data, feature phones, USSD access, agent networks, micro-pricing. These are not afterthoughts; they are core design requirements.</w:t>
      </w:r>
    </w:p>
    <w:p>
      <w:pPr>
        <w:pStyle w:val="ListParagraph"/>
        <w:numPr>
          <w:ilvl w:val="0"/>
          <w:numId w:val="3"/>
        </w:numPr>
        <w:spacing w:after="80"/>
      </w:pPr>
      <w:r>
        <w:rPr>
          <w:rFonts w:ascii="Arial" w:cs="Arial" w:eastAsia="Arial" w:hAnsi="Arial"/>
          <w:sz w:val="22"/>
          <w:szCs w:val="22"/>
        </w:rPr>
        <w:t xml:space="preserve">Open the ecosystem early. The API gateway should welcome third-party integrations from Month 10 onwards. Network effects compound: each new app or service that joins Fixars makes the ecosystem more valuable for everyone.</w:t>
      </w:r>
    </w:p>
    <w:p>
      <w:pPr>
        <w:spacing w:before="200" w:after="0"/>
      </w:pPr>
    </w:p>
    <w:p>
      <w:pPr>
        <w:spacing w:after="120" w:before="0"/>
        <w:jc w:val="left"/>
      </w:pPr>
      <w:r>
        <w:rPr>
          <w:rFonts w:ascii="Arial" w:cs="Arial" w:eastAsia="Arial" w:hAnsi="Arial"/>
          <w:b/>
          <w:bCs/>
          <w:sz w:val="22"/>
          <w:szCs w:val="22"/>
        </w:rPr>
        <w:t xml:space="preserve">The opportunity is significant. </w:t>
      </w:r>
      <w:r>
        <w:rPr>
          <w:rFonts w:ascii="Arial" w:cs="Arial" w:eastAsia="Arial" w:hAnsi="Arial"/>
          <w:sz w:val="22"/>
          <w:szCs w:val="22"/>
        </w:rPr>
        <w:t xml:space="preserve">Nigeria alone has over 200 million people, a median age of 18, and a massive gap between speculative energy and productive investment channels. Fixars bridges that gap by making innovation accessible, verifiable, collaborative, and investable. Built right, it becomes the operating system for Africa’s next generation of builders.</w:t>
      </w:r>
    </w:p>
    <w:p>
      <w:pPr>
        <w:spacing w:before="300" w:after="0"/>
      </w:pPr>
    </w:p>
    <w:p>
      <w:pPr>
        <w:jc w:val="center"/>
      </w:pPr>
      <w:r>
        <w:rPr>
          <w:rFonts w:ascii="Arial" w:cs="Arial" w:eastAsia="Arial" w:hAnsi="Arial"/>
          <w:i/>
          <w:iCs/>
          <w:color w:val="666666"/>
          <w:sz w:val="20"/>
          <w:szCs w:val="20"/>
        </w:rPr>
        <w:t xml:space="preserve">— End of Document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FIXARS Super-App Ecosystem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D5C"/>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86AB"/>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F18F0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2026-02-07T15:44:17.028Z</dcterms:created>
  <dcterms:modified xsi:type="dcterms:W3CDTF">2026-02-07T15:44:17.029Z</dcterms:modified>
</cp:coreProperties>
</file>

<file path=docProps/custom.xml><?xml version="1.0" encoding="utf-8"?>
<Properties xmlns="http://schemas.openxmlformats.org/officeDocument/2006/custom-properties" xmlns:vt="http://schemas.openxmlformats.org/officeDocument/2006/docPropsVTypes"/>
</file>