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Georgia" w:cs="Georgia" w:eastAsia="Georgia" w:hAnsi="Georgia"/>
          <w:b/>
          <w:bCs/>
          <w:color w:val="1A2332"/>
          <w:sz w:val="72"/>
          <w:szCs w:val="72"/>
        </w:rPr>
        <w:t xml:space="preserve">PayPaddy</w:t>
      </w:r>
    </w:p>
    <w:p>
      <w:pPr>
        <w:spacing w:after="120"/>
        <w:jc w:val="center"/>
      </w:pPr>
      <w:r>
        <w:rPr>
          <w:rFonts w:ascii="Georgia" w:cs="Georgia" w:eastAsia="Georgia" w:hAnsi="Georgia"/>
          <w:color w:val="D4673F"/>
          <w:sz w:val="44"/>
          <w:szCs w:val="44"/>
        </w:rPr>
        <w:t xml:space="preserve">Global Expansion Strategy</w:t>
      </w:r>
    </w:p>
    <w:p>
      <w:pPr>
        <w:spacing w:after="80"/>
        <w:jc w:val="center"/>
      </w:pPr>
      <w:r>
        <w:rPr>
          <w:rFonts w:ascii="Calibri" w:cs="Calibri" w:eastAsia="Calibri" w:hAnsi="Calibri"/>
          <w:i/>
          <w:iCs/>
          <w:color w:val="3D4F63"/>
          <w:sz w:val="26"/>
          <w:szCs w:val="26"/>
        </w:rPr>
        <w:t xml:space="preserve">Scaling Africa’s Trust Infrastructure Layer — From Lagos to the World</w:t>
      </w:r>
    </w:p>
    <w:p>
      <w:pPr>
        <w:spacing w:after="600"/>
      </w:pPr>
    </w:p>
    <w:p>
      <w:pPr>
        <w:jc w:val="center"/>
      </w:pPr>
      <w:r>
        <w:rPr>
          <w:rFonts w:ascii="Calibri" w:cs="Calibri" w:eastAsia="Calibri" w:hAnsi="Calibri"/>
          <w:color w:val="999999"/>
          <w:sz w:val="22"/>
          <w:szCs w:val="22"/>
        </w:rPr>
        <w:t xml:space="preserve">March 2026  |  Version 1.0  |  Confidential</w:t>
      </w:r>
    </w:p>
    <w:p>
      <w:r>
        <w:br w:type="page"/>
      </w:r>
    </w:p>
    <w:p>
      <w:pPr>
        <w:spacing w:after="200" w:before="480"/>
      </w:pPr>
      <w:r>
        <w:rPr>
          <w:rFonts w:ascii="Georgia" w:cs="Georgia" w:eastAsia="Georgia" w:hAnsi="Georgia"/>
          <w:b/>
          <w:bCs/>
          <w:color w:val="1A2332"/>
          <w:sz w:val="36"/>
          <w:szCs w:val="36"/>
        </w:rPr>
        <w:t xml:space="preserve">1. Executive Summary</w:t>
      </w:r>
    </w:p>
    <w:p>
      <w:pPr>
        <w:spacing w:after="100" w:before="60" w:line="360" w:lineRule="auto"/>
      </w:pPr>
      <w:r>
        <w:rPr>
          <w:rFonts w:ascii="Calibri" w:cs="Calibri" w:eastAsia="Calibri" w:hAnsi="Calibri"/>
          <w:color w:val="3D4F63"/>
          <w:sz w:val="24"/>
          <w:szCs w:val="24"/>
        </w:rPr>
        <w:t xml:space="preserve">This document outlines PayPaddy’s strategy for scaling its trust infrastructure across Africa and subsequently to global markets facing similar trust deficits. The core thesis: PayPaddy should scale as a platform (trust-as-a-service), not as a marketplace, replicating Stripe’s playbook of giving every marketplace payments — except PayPaddy gives every marketplace trust.</w:t>
      </w:r>
    </w:p>
    <w:p>
      <w:pPr>
        <w:spacing w:after="100" w:before="60" w:line="360" w:lineRule="auto"/>
      </w:pPr>
      <w:r>
        <w:rPr>
          <w:rFonts w:ascii="Calibri" w:cs="Calibri" w:eastAsia="Calibri" w:hAnsi="Calibri"/>
          <w:color w:val="3D4F63"/>
          <w:sz w:val="24"/>
          <w:szCs w:val="24"/>
        </w:rPr>
        <w:t xml:space="preserve">The strategy prioritises three principles: lowest friction (API-first, partner-carried), lowest capital burn (ride existing rails, don’t rebuild them), and fastest time-to-market (country clusters, not country-by-country launches). Following this approach, PayPaddy can credibly cover 10+ African markets within 18 months without requiring a massive funding round.</w:t>
      </w:r>
    </w:p>
    <w:p>
      <w:r>
        <w:br w:type="page"/>
      </w:r>
    </w:p>
    <w:p>
      <w:pPr>
        <w:spacing w:after="200" w:before="480"/>
      </w:pPr>
      <w:r>
        <w:rPr>
          <w:rFonts w:ascii="Georgia" w:cs="Georgia" w:eastAsia="Georgia" w:hAnsi="Georgia"/>
          <w:b/>
          <w:bCs/>
          <w:color w:val="1A2332"/>
          <w:sz w:val="36"/>
          <w:szCs w:val="36"/>
        </w:rPr>
        <w:t xml:space="preserve">2. Scaling Philosophy: Franchise, Don’t Build</w:t>
      </w:r>
    </w:p>
    <w:p>
      <w:pPr>
        <w:spacing w:after="100" w:before="60" w:line="360" w:lineRule="auto"/>
      </w:pPr>
      <w:r>
        <w:rPr>
          <w:rFonts w:ascii="Calibri" w:cs="Calibri" w:eastAsia="Calibri" w:hAnsi="Calibri"/>
          <w:color w:val="3D4F63"/>
          <w:sz w:val="24"/>
          <w:szCs w:val="24"/>
        </w:rPr>
        <w:t xml:space="preserve">McDonald’s didn’t scale by rebuilding kitchens in every country. They exported a system — the playbook, supply chain rules, quality standards — and let local operators adapt it. PayPaddy’s scaling should follow the same logic.</w:t>
      </w:r>
    </w:p>
    <w:p>
      <w:pPr>
        <w:spacing w:after="100" w:before="60" w:line="360" w:lineRule="auto"/>
      </w:pPr>
      <w:r>
        <w:rPr>
          <w:rFonts w:ascii="Calibri" w:cs="Calibri" w:eastAsia="Calibri" w:hAnsi="Calibri"/>
          <w:color w:val="3D4F63"/>
          <w:sz w:val="24"/>
          <w:szCs w:val="24"/>
        </w:rPr>
        <w:t xml:space="preserve">Instead of building a full marketplace in each new market (estimated $500K–$2M per country in licensing, hiring, and user acquisition), PayPaddy should license its trust stack — escrow, verification, reputation scoring, SafeGuard pool — to existing local marketplaces that already have users but lack trust infrastructure.</w:t>
      </w:r>
    </w:p>
    <w:p>
      <w:pPr>
        <w:spacing w:after="100" w:before="300"/>
      </w:pPr>
      <w:r>
        <w:rPr>
          <w:rFonts w:ascii="Georgia" w:cs="Georgia" w:eastAsia="Georgia" w:hAnsi="Georgia"/>
          <w:b/>
          <w:bCs/>
          <w:color w:val="D4673F"/>
          <w:sz w:val="28"/>
          <w:szCs w:val="28"/>
        </w:rPr>
        <w:t xml:space="preserve">2.1 The Platform vs. Marketplace Decision</w:t>
      </w:r>
    </w:p>
    <w:p>
      <w:pPr>
        <w:spacing w:after="100" w:before="60" w:line="360" w:lineRule="auto"/>
      </w:pPr>
      <w:r>
        <w:rPr>
          <w:rFonts w:ascii="Calibri" w:cs="Calibri" w:eastAsia="Calibri" w:hAnsi="Calibri"/>
          <w:color w:val="3D4F63"/>
          <w:sz w:val="24"/>
          <w:szCs w:val="24"/>
        </w:rPr>
        <w:t xml:space="preserve">A marketplace approach means PayPaddy owns the full buyer-seller experience in every market: local compliance, customer acquisition, logistics partnerships, customer support. This is capital-intensive and slow.</w:t>
      </w:r>
    </w:p>
    <w:p>
      <w:pPr>
        <w:spacing w:after="100" w:before="60" w:line="360" w:lineRule="auto"/>
      </w:pPr>
      <w:r>
        <w:rPr>
          <w:rFonts w:ascii="Calibri" w:cs="Calibri" w:eastAsia="Calibri" w:hAnsi="Calibri"/>
          <w:color w:val="3D4F63"/>
          <w:sz w:val="24"/>
          <w:szCs w:val="24"/>
        </w:rPr>
        <w:t xml:space="preserve">A platform approach means PayPaddy’s trust engine becomes an API that other marketplaces plug into. PayPaddy’s cost per new market drops to API infrastructure + a partnerships team. Customer acquisition cost in new markets approaches zero because PayPaddy rides on existing user bases.</w:t>
      </w:r>
    </w:p>
    <w:p>
      <w:pPr>
        <w:spacing w:after="100" w:before="300"/>
      </w:pPr>
      <w:r>
        <w:rPr>
          <w:rFonts w:ascii="Georgia" w:cs="Georgia" w:eastAsia="Georgia" w:hAnsi="Georgia"/>
          <w:b/>
          <w:bCs/>
          <w:color w:val="D4673F"/>
          <w:sz w:val="28"/>
          <w:szCs w:val="28"/>
        </w:rPr>
        <w:t xml:space="preserve">2.2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Dimension</w:t>
            </w:r>
          </w:p>
        </w:tc>
        <w:tc>
          <w:tcPr>
            <w:tcW w:type="dxa" w:w="328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Marketplace Model</w:t>
            </w:r>
          </w:p>
        </w:tc>
        <w:tc>
          <w:tcPr>
            <w:tcW w:type="dxa" w:w="328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Platform / API Model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Cost per New Market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$500K–$2M</w:t>
            </w:r>
          </w:p>
        </w:tc>
        <w:tc>
          <w:tcPr>
            <w:tcW w:type="dxa" w:w="32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$30K–$80K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Time to Launch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6–12 months</w:t>
            </w:r>
          </w:p>
        </w:tc>
        <w:tc>
          <w:tcPr>
            <w:tcW w:type="dxa" w:w="32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4–8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Team Required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Local ops, CS, BD, legal</w:t>
            </w:r>
          </w:p>
        </w:tc>
        <w:tc>
          <w:tcPr>
            <w:tcW w:type="dxa" w:w="32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API integrations + 1 BD lead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User Acquisition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Build from scratch</w:t>
            </w:r>
          </w:p>
        </w:tc>
        <w:tc>
          <w:tcPr>
            <w:tcW w:type="dxa" w:w="32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Inherited from partner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Regulatory Burden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Full licensing per country</w:t>
            </w:r>
          </w:p>
        </w:tc>
        <w:tc>
          <w:tcPr>
            <w:tcW w:type="dxa" w:w="32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Partner carries most licensing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10-Market Cost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$5M–$20M</w:t>
            </w:r>
          </w:p>
        </w:tc>
        <w:tc>
          <w:tcPr>
            <w:tcW w:type="dxa" w:w="32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$300K–$800K</w:t>
            </w:r>
          </w:p>
        </w:tc>
      </w:tr>
    </w:tbl>
    <w:p>
      <w:pPr>
        <w:spacing w:after="200"/>
      </w:pPr>
    </w:p>
    <w:p>
      <w:r>
        <w:br w:type="page"/>
      </w:r>
    </w:p>
    <w:p>
      <w:pPr>
        <w:spacing w:after="200" w:before="480"/>
      </w:pPr>
      <w:r>
        <w:rPr>
          <w:rFonts w:ascii="Georgia" w:cs="Georgia" w:eastAsia="Georgia" w:hAnsi="Georgia"/>
          <w:b/>
          <w:bCs/>
          <w:color w:val="1A2332"/>
          <w:sz w:val="36"/>
          <w:szCs w:val="36"/>
        </w:rPr>
        <w:t xml:space="preserve">3. Africa-First: Country Clusters, Not Country-by-Country</w:t>
      </w:r>
    </w:p>
    <w:p>
      <w:pPr>
        <w:spacing w:after="100" w:before="60" w:line="360" w:lineRule="auto"/>
      </w:pPr>
      <w:r>
        <w:rPr>
          <w:rFonts w:ascii="Calibri" w:cs="Calibri" w:eastAsia="Calibri" w:hAnsi="Calibri"/>
          <w:color w:val="3D4F63"/>
          <w:sz w:val="24"/>
          <w:szCs w:val="24"/>
        </w:rPr>
        <w:t xml:space="preserve">Africa has 54 countries but only 3–4 regulatory and economic clusters that matter for scaling. Rather than treating each country as a separate launch, PayPaddy should think in regional clusters where regulatory frameworks, payment rails, and trading patterns are already shared.</w:t>
      </w:r>
    </w:p>
    <w:p>
      <w:pPr>
        <w:spacing w:after="100" w:before="300"/>
      </w:pPr>
      <w:r>
        <w:rPr>
          <w:rFonts w:ascii="Georgia" w:cs="Georgia" w:eastAsia="Georgia" w:hAnsi="Georgia"/>
          <w:b/>
          <w:bCs/>
          <w:color w:val="D4673F"/>
          <w:sz w:val="28"/>
          <w:szCs w:val="28"/>
        </w:rPr>
        <w:t xml:space="preserve">3.1 Regional Cluster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1680"/>
        <w:gridCol w:w="1680"/>
      </w:tblGrid>
      <w:tr>
        <w:tc>
          <w:tcPr>
            <w:tcW w:type="dxa" w:w="1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Cluster</w:t>
            </w:r>
          </w:p>
        </w:tc>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Beachhead</w:t>
            </w:r>
          </w:p>
        </w:tc>
        <w:tc>
          <w:tcPr>
            <w:tcW w:type="dxa" w:w="2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Expansion Markets</w:t>
            </w:r>
          </w:p>
        </w:tc>
        <w:tc>
          <w:tcPr>
            <w:tcW w:type="dxa" w:w="168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Shared Framework</w:t>
            </w:r>
          </w:p>
        </w:tc>
        <w:tc>
          <w:tcPr>
            <w:tcW w:type="dxa" w:w="168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Key Rail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West Africa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Nigeria (current)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Ghana, Senegal, Côte d’Ivoire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ECOWAS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Paystack, Flutterwave</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East Africa</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Kenya</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Tanzania, Uganda, Rwanda</w:t>
            </w:r>
          </w:p>
        </w:tc>
        <w:tc>
          <w:tcPr>
            <w:tcW w:type="dxa" w:w="1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EAC</w:t>
            </w:r>
          </w:p>
        </w:tc>
        <w:tc>
          <w:tcPr>
            <w:tcW w:type="dxa" w:w="1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M-Pesa, Flutterwave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Southern Africa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South Africa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Botswana, Namibia, Zambia</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SADC</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Standard Bank, MTN MoMo</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Central/North Africa</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Egypt</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Morocco, Tunisia, DRC</w:t>
            </w:r>
          </w:p>
        </w:tc>
        <w:tc>
          <w:tcPr>
            <w:tcW w:type="dxa" w:w="1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Various</w:t>
            </w:r>
          </w:p>
        </w:tc>
        <w:tc>
          <w:tcPr>
            <w:tcW w:type="dxa" w:w="1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Fawry, MTN MoMo</w:t>
            </w:r>
          </w:p>
        </w:tc>
      </w:tr>
    </w:tbl>
    <w:p>
      <w:pPr>
        <w:spacing w:after="200"/>
      </w:pPr>
    </w:p>
    <w:p>
      <w:pPr>
        <w:spacing w:after="100" w:before="300"/>
      </w:pPr>
      <w:r>
        <w:rPr>
          <w:rFonts w:ascii="Georgia" w:cs="Georgia" w:eastAsia="Georgia" w:hAnsi="Georgia"/>
          <w:b/>
          <w:bCs/>
          <w:color w:val="D4673F"/>
          <w:sz w:val="28"/>
          <w:szCs w:val="28"/>
        </w:rPr>
        <w:t xml:space="preserve">3.2 The “Hub Airport” Sequencing</w:t>
      </w:r>
    </w:p>
    <w:p>
      <w:pPr>
        <w:spacing w:after="100" w:before="60" w:line="360" w:lineRule="auto"/>
      </w:pPr>
      <w:r>
        <w:rPr>
          <w:rFonts w:ascii="Calibri" w:cs="Calibri" w:eastAsia="Calibri" w:hAnsi="Calibri"/>
          <w:color w:val="3D4F63"/>
          <w:sz w:val="24"/>
          <w:szCs w:val="24"/>
        </w:rPr>
        <w:t xml:space="preserve">Think of expansion like a virus spreading through hub airports. PayPaddy should land in the continent’s economic hubs first — Nigeria, Kenya, South Africa — and let natural trade routes carry the platform to neighbouring countries. The recommended sequence:</w:t>
      </w:r>
    </w:p>
    <w:p>
      <w:pPr>
        <w:spacing w:after="100" w:before="60" w:line="360" w:lineRule="auto"/>
      </w:pPr>
      <w:r>
        <w:rPr>
          <w:rFonts w:ascii="Calibri" w:cs="Calibri" w:eastAsia="Calibri" w:hAnsi="Calibri"/>
          <w:b/>
          <w:bCs/>
          <w:color w:val="D4673F"/>
          <w:sz w:val="24"/>
          <w:szCs w:val="24"/>
        </w:rPr>
        <w:t xml:space="preserve">Phase 1 (Current): </w:t>
      </w:r>
      <w:r>
        <w:rPr>
          <w:rFonts w:ascii="Calibri" w:cs="Calibri" w:eastAsia="Calibri" w:hAnsi="Calibri"/>
          <w:color w:val="3D4F63"/>
          <w:sz w:val="24"/>
          <w:szCs w:val="24"/>
        </w:rPr>
        <w:t xml:space="preserve">Nigeria — prove the model, build the trust data moat, achieve product-market fit.</w:t>
      </w:r>
    </w:p>
    <w:p>
      <w:pPr>
        <w:spacing w:after="100" w:before="60" w:line="360" w:lineRule="auto"/>
      </w:pPr>
      <w:r>
        <w:rPr>
          <w:rFonts w:ascii="Calibri" w:cs="Calibri" w:eastAsia="Calibri" w:hAnsi="Calibri"/>
          <w:b/>
          <w:bCs/>
          <w:color w:val="D4673F"/>
          <w:sz w:val="24"/>
          <w:szCs w:val="24"/>
        </w:rPr>
        <w:t xml:space="preserve">Phase 2 (Months 9–12): </w:t>
      </w:r>
      <w:r>
        <w:rPr>
          <w:rFonts w:ascii="Calibri" w:cs="Calibri" w:eastAsia="Calibri" w:hAnsi="Calibri"/>
          <w:color w:val="3D4F63"/>
          <w:sz w:val="24"/>
          <w:szCs w:val="24"/>
        </w:rPr>
        <w:t xml:space="preserve">Ghana — English-speaking, ECOWAS-shared regulation, strong tech ecosystem, validates West African cluster.</w:t>
      </w:r>
    </w:p>
    <w:p>
      <w:pPr>
        <w:spacing w:after="100" w:before="60" w:line="360" w:lineRule="auto"/>
      </w:pPr>
      <w:r>
        <w:rPr>
          <w:rFonts w:ascii="Calibri" w:cs="Calibri" w:eastAsia="Calibri" w:hAnsi="Calibri"/>
          <w:b/>
          <w:bCs/>
          <w:color w:val="D4673F"/>
          <w:sz w:val="24"/>
          <w:szCs w:val="24"/>
        </w:rPr>
        <w:t xml:space="preserve">Phase 3 (Months 12–18): </w:t>
      </w:r>
      <w:r>
        <w:rPr>
          <w:rFonts w:ascii="Calibri" w:cs="Calibri" w:eastAsia="Calibri" w:hAnsi="Calibri"/>
          <w:color w:val="3D4F63"/>
          <w:sz w:val="24"/>
          <w:szCs w:val="24"/>
        </w:rPr>
        <w:t xml:space="preserve">Kenya — M-Pesa-dominant economy, different payment culture, validates East African cluster and mobile-money integration.</w:t>
      </w:r>
    </w:p>
    <w:p>
      <w:pPr>
        <w:spacing w:after="100" w:before="60" w:line="360" w:lineRule="auto"/>
      </w:pPr>
      <w:r>
        <w:rPr>
          <w:rFonts w:ascii="Calibri" w:cs="Calibri" w:eastAsia="Calibri" w:hAnsi="Calibri"/>
          <w:b/>
          <w:bCs/>
          <w:color w:val="D4673F"/>
          <w:sz w:val="24"/>
          <w:szCs w:val="24"/>
        </w:rPr>
        <w:t xml:space="preserve">Phase 4 (Months 18–24): </w:t>
      </w:r>
      <w:r>
        <w:rPr>
          <w:rFonts w:ascii="Calibri" w:cs="Calibri" w:eastAsia="Calibri" w:hAnsi="Calibri"/>
          <w:color w:val="3D4F63"/>
          <w:sz w:val="24"/>
          <w:szCs w:val="24"/>
        </w:rPr>
        <w:t xml:space="preserve">South Africa — most mature e-commerce market on the continent, validates Southern cluster and higher-value transactions.</w:t>
      </w:r>
    </w:p>
    <w:p>
      <w:r>
        <w:br w:type="page"/>
      </w:r>
    </w:p>
    <w:p>
      <w:pPr>
        <w:spacing w:after="200" w:before="480"/>
      </w:pPr>
      <w:r>
        <w:rPr>
          <w:rFonts w:ascii="Georgia" w:cs="Georgia" w:eastAsia="Georgia" w:hAnsi="Georgia"/>
          <w:b/>
          <w:bCs/>
          <w:color w:val="1A2332"/>
          <w:sz w:val="36"/>
          <w:szCs w:val="36"/>
        </w:rPr>
        <w:t xml:space="preserve">4. Piggyback on Existing Rails</w:t>
      </w:r>
    </w:p>
    <w:p>
      <w:pPr>
        <w:spacing w:after="100" w:before="60" w:line="360" w:lineRule="auto"/>
      </w:pPr>
      <w:r>
        <w:rPr>
          <w:rFonts w:ascii="Calibri" w:cs="Calibri" w:eastAsia="Calibri" w:hAnsi="Calibri"/>
          <w:color w:val="3D4F63"/>
          <w:sz w:val="24"/>
          <w:szCs w:val="24"/>
        </w:rPr>
        <w:t xml:space="preserve">The most expensive part of fintech expansion is banking partnerships and regulatory licensing in each market. The shortcut: partner with pan-African players who have already done that work.</w:t>
      </w:r>
    </w:p>
    <w:p>
      <w:pPr>
        <w:spacing w:after="100" w:before="300"/>
      </w:pPr>
      <w:r>
        <w:rPr>
          <w:rFonts w:ascii="Georgia" w:cs="Georgia" w:eastAsia="Georgia" w:hAnsi="Georgia"/>
          <w:b/>
          <w:bCs/>
          <w:color w:val="D4673F"/>
          <w:sz w:val="28"/>
          <w:szCs w:val="28"/>
        </w:rPr>
        <w:t xml:space="preserve">4.1 Payment Rail Partners</w:t>
      </w:r>
    </w:p>
    <w:p>
      <w:pPr>
        <w:spacing w:after="100" w:before="60" w:line="360" w:lineRule="auto"/>
      </w:pPr>
      <w:r>
        <w:rPr>
          <w:rFonts w:ascii="Calibri" w:cs="Calibri" w:eastAsia="Calibri" w:hAnsi="Calibri"/>
          <w:color w:val="3D4F63"/>
          <w:sz w:val="24"/>
          <w:szCs w:val="24"/>
        </w:rPr>
        <w:t xml:space="preserve">M-Pesa (East Africa), MTN Mobile Money (West and Central Africa), and Flutterwave/Paystack (already multi-country) have spent years and millions obtaining licenses across Africa. PayPaddy should plug its trust layer on top of their payment rails rather than building its own. This is analogous to how apps scale on iOS and Android — you don’t build the phone, you build the app that runs on phones that already exist everywhere.</w:t>
      </w:r>
    </w:p>
    <w:p>
      <w:pPr>
        <w:spacing w:after="100" w:before="300"/>
      </w:pPr>
      <w:r>
        <w:rPr>
          <w:rFonts w:ascii="Georgia" w:cs="Georgia" w:eastAsia="Georgia" w:hAnsi="Georgia"/>
          <w:b/>
          <w:bCs/>
          <w:color w:val="D4673F"/>
          <w:sz w:val="28"/>
          <w:szCs w:val="28"/>
        </w:rPr>
        <w:t xml:space="preserve">4.2 Marketplace Integration Partners</w:t>
      </w:r>
    </w:p>
    <w:p>
      <w:pPr>
        <w:spacing w:after="100" w:before="60" w:line="360" w:lineRule="auto"/>
      </w:pPr>
      <w:r>
        <w:rPr>
          <w:rFonts w:ascii="Calibri" w:cs="Calibri" w:eastAsia="Calibri" w:hAnsi="Calibri"/>
          <w:color w:val="3D4F63"/>
          <w:sz w:val="24"/>
          <w:szCs w:val="24"/>
        </w:rPr>
        <w:t xml:space="preserve">Rather than competing with local marketplaces, PayPaddy should power them. Target integration partnerships with:</w:t>
      </w:r>
    </w:p>
    <w:p>
      <w:pPr>
        <w:spacing w:after="100" w:before="60" w:line="360" w:lineRule="auto"/>
      </w:pPr>
      <w:r>
        <w:rPr>
          <w:rFonts w:ascii="Calibri" w:cs="Calibri" w:eastAsia="Calibri" w:hAnsi="Calibri"/>
          <w:b/>
          <w:bCs/>
          <w:color w:val="3D4F63"/>
          <w:sz w:val="24"/>
          <w:szCs w:val="24"/>
        </w:rPr>
        <w:t xml:space="preserve">Jiji.ng / Jiji.co.ke / Jiji.co.za </w:t>
      </w:r>
      <w:r>
        <w:rPr>
          <w:rFonts w:ascii="Calibri" w:cs="Calibri" w:eastAsia="Calibri" w:hAnsi="Calibri"/>
          <w:color w:val="3D4F63"/>
          <w:sz w:val="24"/>
          <w:szCs w:val="24"/>
        </w:rPr>
        <w:t xml:space="preserve">— Africa’s largest classifieds platform (OLX successor), present in 5+ countries, massive trust deficit in peer-to-peer transactions.</w:t>
      </w:r>
    </w:p>
    <w:p>
      <w:pPr>
        <w:spacing w:after="100" w:before="60" w:line="360" w:lineRule="auto"/>
      </w:pPr>
      <w:r>
        <w:rPr>
          <w:rFonts w:ascii="Calibri" w:cs="Calibri" w:eastAsia="Calibri" w:hAnsi="Calibri"/>
          <w:b/>
          <w:bCs/>
          <w:color w:val="3D4F63"/>
          <w:sz w:val="24"/>
          <w:szCs w:val="24"/>
        </w:rPr>
        <w:t xml:space="preserve">Jumia </w:t>
      </w:r>
      <w:r>
        <w:rPr>
          <w:rFonts w:ascii="Calibri" w:cs="Calibri" w:eastAsia="Calibri" w:hAnsi="Calibri"/>
          <w:color w:val="3D4F63"/>
          <w:sz w:val="24"/>
          <w:szCs w:val="24"/>
        </w:rPr>
        <w:t xml:space="preserve">— Africa’s largest e-commerce platform. While they have internal buyer protection, they lack the collateral staking and biometric verification that PayPaddy offers.</w:t>
      </w:r>
    </w:p>
    <w:p>
      <w:pPr>
        <w:spacing w:after="100" w:before="60" w:line="360" w:lineRule="auto"/>
      </w:pPr>
      <w:r>
        <w:rPr>
          <w:rFonts w:ascii="Calibri" w:cs="Calibri" w:eastAsia="Calibri" w:hAnsi="Calibri"/>
          <w:b/>
          <w:bCs/>
          <w:color w:val="3D4F63"/>
          <w:sz w:val="24"/>
          <w:szCs w:val="24"/>
        </w:rPr>
        <w:t xml:space="preserve">Tonaton, Afribaba, and regional classifieds </w:t>
      </w:r>
      <w:r>
        <w:rPr>
          <w:rFonts w:ascii="Calibri" w:cs="Calibri" w:eastAsia="Calibri" w:hAnsi="Calibri"/>
          <w:color w:val="3D4F63"/>
          <w:sz w:val="24"/>
          <w:szCs w:val="24"/>
        </w:rPr>
        <w:t xml:space="preserve">— smaller platforms desperate for trust infrastructure but unable to build it themselves.</w:t>
      </w:r>
    </w:p>
    <w:p>
      <w:pPr>
        <w:spacing w:after="100" w:before="300"/>
      </w:pPr>
      <w:r>
        <w:rPr>
          <w:rFonts w:ascii="Georgia" w:cs="Georgia" w:eastAsia="Georgia" w:hAnsi="Georgia"/>
          <w:b/>
          <w:bCs/>
          <w:color w:val="D4673F"/>
          <w:sz w:val="28"/>
          <w:szCs w:val="28"/>
        </w:rPr>
        <w:t xml:space="preserve">4.3 The “Country Config” Architecture</w:t>
      </w:r>
    </w:p>
    <w:p>
      <w:pPr>
        <w:spacing w:after="100" w:before="60" w:line="360" w:lineRule="auto"/>
      </w:pPr>
      <w:r>
        <w:rPr>
          <w:rFonts w:ascii="Calibri" w:cs="Calibri" w:eastAsia="Calibri" w:hAnsi="Calibri"/>
          <w:color w:val="3D4F63"/>
          <w:sz w:val="24"/>
          <w:szCs w:val="24"/>
        </w:rPr>
        <w:t xml:space="preserve">For each new market, only three components need localisation: the identity verification source (each country has its own national ID), the banking partner for escrow settlement, and language/UX. The core trust engine — reputation scoring, collateral staking, dispute resolution, SafeGuard pool — remains identical. Build a configuration layer that swaps these three adapters without touching the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Component</w:t>
            </w:r>
          </w:p>
        </w:tc>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Nigeria</w:t>
            </w:r>
          </w:p>
        </w:tc>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Kenya</w:t>
            </w:r>
          </w:p>
        </w:tc>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South Africa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National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NIN (NIMC)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Huduma Namba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SA ID / Smart Card</w:t>
            </w:r>
          </w:p>
        </w:tc>
      </w:tr>
      <w:tr>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KYC Provider</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Prembly / Youverify</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Smile ID / IPRS</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Smile ID / XDS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Escrow Bank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Providus / Wema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Equity Bank / KCB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Standard Bank / FNB</w:t>
            </w:r>
          </w:p>
        </w:tc>
      </w:tr>
      <w:tr>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Payment Rail</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Paystack</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M-Pesa / Paystack</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Paystack / Ozow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Primary Language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English / Pidgin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English / Swahili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English / Zulu / Xhosa</w:t>
            </w:r>
          </w:p>
        </w:tc>
      </w:tr>
    </w:tbl>
    <w:p>
      <w:pPr>
        <w:spacing w:after="200"/>
      </w:pPr>
    </w:p>
    <w:p>
      <w:r>
        <w:br w:type="page"/>
      </w:r>
    </w:p>
    <w:p>
      <w:pPr>
        <w:spacing w:after="200" w:before="480"/>
      </w:pPr>
      <w:r>
        <w:rPr>
          <w:rFonts w:ascii="Georgia" w:cs="Georgia" w:eastAsia="Georgia" w:hAnsi="Georgia"/>
          <w:b/>
          <w:bCs/>
          <w:color w:val="1A2332"/>
          <w:sz w:val="36"/>
          <w:szCs w:val="36"/>
        </w:rPr>
        <w:t xml:space="preserve">5. Beyond Africa: Follow the Trade Routes</w:t>
      </w:r>
    </w:p>
    <w:p>
      <w:pPr>
        <w:spacing w:after="100" w:before="60" w:line="360" w:lineRule="auto"/>
      </w:pPr>
      <w:r>
        <w:rPr>
          <w:rFonts w:ascii="Calibri" w:cs="Calibri" w:eastAsia="Calibri" w:hAnsi="Calibri"/>
          <w:color w:val="3D4F63"/>
          <w:sz w:val="24"/>
          <w:szCs w:val="24"/>
        </w:rPr>
        <w:t xml:space="preserve">Global expansion should not be market-by-market. Instead, PayPaddy should follow the corridors where the trust problem already exists.</w:t>
      </w:r>
    </w:p>
    <w:p>
      <w:pPr>
        <w:spacing w:after="100" w:before="300"/>
      </w:pPr>
      <w:r>
        <w:rPr>
          <w:rFonts w:ascii="Georgia" w:cs="Georgia" w:eastAsia="Georgia" w:hAnsi="Georgia"/>
          <w:b/>
          <w:bCs/>
          <w:color w:val="D4673F"/>
          <w:sz w:val="28"/>
          <w:szCs w:val="28"/>
        </w:rPr>
        <w:t xml:space="preserve">5.1 Diaspora Remittance Corridors</w:t>
      </w:r>
    </w:p>
    <w:p>
      <w:pPr>
        <w:spacing w:after="100" w:before="60" w:line="360" w:lineRule="auto"/>
      </w:pPr>
      <w:r>
        <w:rPr>
          <w:rFonts w:ascii="Calibri" w:cs="Calibri" w:eastAsia="Calibri" w:hAnsi="Calibri"/>
          <w:color w:val="3D4F63"/>
          <w:sz w:val="24"/>
          <w:szCs w:val="24"/>
        </w:rPr>
        <w:t xml:space="preserve">UK ↔ Nigeria, US ↔ Kenya, UAE ↔ East Africa, and other diaspora corridors involve billions of dollars in annual remittances and cross-border purchases. PayPaddy’s trust layer can protect these transactions — particularly for goods purchased by diaspora members on behalf of family back home, where the buyer can’t physically inspect what they’re paying for.</w:t>
      </w:r>
    </w:p>
    <w:p>
      <w:pPr>
        <w:spacing w:after="100" w:before="300"/>
      </w:pPr>
      <w:r>
        <w:rPr>
          <w:rFonts w:ascii="Georgia" w:cs="Georgia" w:eastAsia="Georgia" w:hAnsi="Georgia"/>
          <w:b/>
          <w:bCs/>
          <w:color w:val="D4673F"/>
          <w:sz w:val="28"/>
          <w:szCs w:val="28"/>
        </w:rPr>
        <w:t xml:space="preserve">5.2 Cross-Border E-Commerce Corridors</w:t>
      </w:r>
    </w:p>
    <w:p>
      <w:pPr>
        <w:spacing w:after="100" w:before="60" w:line="360" w:lineRule="auto"/>
      </w:pPr>
      <w:r>
        <w:rPr>
          <w:rFonts w:ascii="Calibri" w:cs="Calibri" w:eastAsia="Calibri" w:hAnsi="Calibri"/>
          <w:color w:val="3D4F63"/>
          <w:sz w:val="24"/>
          <w:szCs w:val="24"/>
        </w:rPr>
        <w:t xml:space="preserve">China/India/Turkey → Africa is a massive corridor where Alibaba, AliExpress, and Turkish exporters sell heavily into African markets. These transactions are rife with trust issues: fake products, non-delivery, and no recourse. PayPaddy’s escrow and verification system is purpose-built for this problem.</w:t>
      </w:r>
    </w:p>
    <w:p>
      <w:pPr>
        <w:spacing w:after="100" w:before="300"/>
      </w:pPr>
      <w:r>
        <w:rPr>
          <w:rFonts w:ascii="Georgia" w:cs="Georgia" w:eastAsia="Georgia" w:hAnsi="Georgia"/>
          <w:b/>
          <w:bCs/>
          <w:color w:val="D4673F"/>
          <w:sz w:val="28"/>
          <w:szCs w:val="28"/>
        </w:rPr>
        <w:t xml:space="preserve">5.3 Analogous Emerging Markets</w:t>
      </w:r>
    </w:p>
    <w:p>
      <w:pPr>
        <w:spacing w:after="100" w:before="60" w:line="360" w:lineRule="auto"/>
      </w:pPr>
      <w:r>
        <w:rPr>
          <w:rFonts w:ascii="Calibri" w:cs="Calibri" w:eastAsia="Calibri" w:hAnsi="Calibri"/>
          <w:color w:val="3D4F63"/>
          <w:sz w:val="24"/>
          <w:szCs w:val="24"/>
        </w:rPr>
        <w:t xml:space="preserve">Southeast Asia (Indonesia, Philippines, Vietnam), South Asia (India, Bangladesh, Pakistan), and Latin America (Brazil, Colombia, Mexico) all share the same trust deficit in e-commerce. The API/platform model means PayPaddy can enter these markets by partnering with local marketplaces rather than building local operations.</w:t>
      </w:r>
    </w:p>
    <w:p>
      <w:pPr>
        <w:spacing w:after="100" w:before="300"/>
      </w:pPr>
      <w:r>
        <w:rPr>
          <w:rFonts w:ascii="Georgia" w:cs="Georgia" w:eastAsia="Georgia" w:hAnsi="Georgia"/>
          <w:b/>
          <w:bCs/>
          <w:color w:val="D4673F"/>
          <w:sz w:val="28"/>
          <w:szCs w:val="28"/>
        </w:rPr>
        <w:t xml:space="preserve">5.4 Global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Phase</w:t>
            </w:r>
          </w:p>
        </w:tc>
        <w:tc>
          <w:tcPr>
            <w:tcW w:type="dxa" w:w="2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Markets</w:t>
            </w:r>
          </w:p>
        </w:tc>
        <w:tc>
          <w:tcPr>
            <w:tcW w:type="dxa" w:w="2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Entry Mode</w:t>
            </w:r>
          </w:p>
        </w:tc>
        <w:tc>
          <w:tcPr>
            <w:tcW w:type="dxa" w:w="27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Rationale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Year 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Pan-Africa (10+ countries)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API partnerships + 3 beachheads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Prove model, build data moat</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Year 2–3</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Diaspora corridors</w:t>
            </w:r>
          </w:p>
        </w:tc>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Cross-border escrow API</w:t>
            </w:r>
          </w:p>
        </w:tc>
        <w:tc>
          <w:tcPr>
            <w:tcW w:type="dxa" w:w="2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Natural extension, high willingness to pay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Year 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SE Asia (Indonesia, Philippines)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API licensing to Tokopedia, Lazada, etc.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Similar trust deficit, large TAM</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Year 4–5</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South Asia, LATAM</w:t>
            </w:r>
          </w:p>
        </w:tc>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API licensing + local partners</w:t>
            </w:r>
          </w:p>
        </w:tc>
        <w:tc>
          <w:tcPr>
            <w:tcW w:type="dxa" w:w="2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Second-wave emerging markets</w:t>
            </w:r>
          </w:p>
        </w:tc>
      </w:tr>
    </w:tbl>
    <w:p>
      <w:pPr>
        <w:spacing w:after="200"/>
      </w:pPr>
    </w:p>
    <w:p>
      <w:r>
        <w:br w:type="page"/>
      </w:r>
    </w:p>
    <w:p>
      <w:pPr>
        <w:spacing w:after="200" w:before="480"/>
      </w:pPr>
      <w:r>
        <w:rPr>
          <w:rFonts w:ascii="Georgia" w:cs="Georgia" w:eastAsia="Georgia" w:hAnsi="Georgia"/>
          <w:b/>
          <w:bCs/>
          <w:color w:val="1A2332"/>
          <w:sz w:val="36"/>
          <w:szCs w:val="36"/>
        </w:rPr>
        <w:t xml:space="preserve">6. Revenue Model at Scale</w:t>
      </w:r>
    </w:p>
    <w:p>
      <w:pPr>
        <w:spacing w:after="100" w:before="60" w:line="360" w:lineRule="auto"/>
      </w:pPr>
      <w:r>
        <w:rPr>
          <w:rFonts w:ascii="Calibri" w:cs="Calibri" w:eastAsia="Calibri" w:hAnsi="Calibri"/>
          <w:color w:val="3D4F63"/>
          <w:sz w:val="24"/>
          <w:szCs w:val="24"/>
        </w:rPr>
        <w:t xml:space="preserve">The platform model unlocks multiple revenue streams beyond the original marketplace transaction fees:</w:t>
      </w:r>
    </w:p>
    <w:p>
      <w:pPr>
        <w:spacing w:after="100" w:before="60" w:line="360" w:lineRule="auto"/>
      </w:pPr>
      <w:r>
        <w:rPr>
          <w:rFonts w:ascii="Calibri" w:cs="Calibri" w:eastAsia="Calibri" w:hAnsi="Calibri"/>
          <w:b/>
          <w:bCs/>
          <w:color w:val="D4673F"/>
          <w:sz w:val="24"/>
          <w:szCs w:val="24"/>
        </w:rPr>
        <w:t xml:space="preserve">Trust API Licensing: </w:t>
      </w:r>
      <w:r>
        <w:rPr>
          <w:rFonts w:ascii="Calibri" w:cs="Calibri" w:eastAsia="Calibri" w:hAnsi="Calibri"/>
          <w:color w:val="3D4F63"/>
          <w:sz w:val="24"/>
          <w:szCs w:val="24"/>
        </w:rPr>
        <w:t xml:space="preserve">Per-transaction fee (0.5–1.0%) charged to partner marketplaces for escrow, verification, and reputation scoring. This is the Stripe model applied to trust.</w:t>
      </w:r>
    </w:p>
    <w:p>
      <w:pPr>
        <w:spacing w:after="100" w:before="60" w:line="360" w:lineRule="auto"/>
      </w:pPr>
      <w:r>
        <w:rPr>
          <w:rFonts w:ascii="Calibri" w:cs="Calibri" w:eastAsia="Calibri" w:hAnsi="Calibri"/>
          <w:b/>
          <w:bCs/>
          <w:color w:val="D4673F"/>
          <w:sz w:val="24"/>
          <w:szCs w:val="24"/>
        </w:rPr>
        <w:t xml:space="preserve">SafeGuard Pool Premium: </w:t>
      </w:r>
      <w:r>
        <w:rPr>
          <w:rFonts w:ascii="Calibri" w:cs="Calibri" w:eastAsia="Calibri" w:hAnsi="Calibri"/>
          <w:color w:val="3D4F63"/>
          <w:sz w:val="24"/>
          <w:szCs w:val="24"/>
        </w:rPr>
        <w:t xml:space="preserve">Insurance-like premium (0.3–0.8%) on transactions that opt into the buyer protection pool. As actuarial data grows, margins improve.</w:t>
      </w:r>
    </w:p>
    <w:p>
      <w:pPr>
        <w:spacing w:after="100" w:before="60" w:line="360" w:lineRule="auto"/>
      </w:pPr>
      <w:r>
        <w:rPr>
          <w:rFonts w:ascii="Calibri" w:cs="Calibri" w:eastAsia="Calibri" w:hAnsi="Calibri"/>
          <w:b/>
          <w:bCs/>
          <w:color w:val="D4673F"/>
          <w:sz w:val="24"/>
          <w:szCs w:val="24"/>
        </w:rPr>
        <w:t xml:space="preserve">Verification-as-a-Service: </w:t>
      </w:r>
      <w:r>
        <w:rPr>
          <w:rFonts w:ascii="Calibri" w:cs="Calibri" w:eastAsia="Calibri" w:hAnsi="Calibri"/>
          <w:color w:val="3D4F63"/>
          <w:sz w:val="24"/>
          <w:szCs w:val="24"/>
        </w:rPr>
        <w:t xml:space="preserve">Standalone identity and reputation verification API for platforms that need trust scoring without the full escrow stack.</w:t>
      </w:r>
    </w:p>
    <w:p>
      <w:pPr>
        <w:spacing w:after="100" w:before="60" w:line="360" w:lineRule="auto"/>
      </w:pPr>
      <w:r>
        <w:rPr>
          <w:rFonts w:ascii="Calibri" w:cs="Calibri" w:eastAsia="Calibri" w:hAnsi="Calibri"/>
          <w:b/>
          <w:bCs/>
          <w:color w:val="D4673F"/>
          <w:sz w:val="24"/>
          <w:szCs w:val="24"/>
        </w:rPr>
        <w:t xml:space="preserve">Cross-Border Escrow Premium: </w:t>
      </w:r>
      <w:r>
        <w:rPr>
          <w:rFonts w:ascii="Calibri" w:cs="Calibri" w:eastAsia="Calibri" w:hAnsi="Calibri"/>
          <w:color w:val="3D4F63"/>
          <w:sz w:val="24"/>
          <w:szCs w:val="24"/>
        </w:rPr>
        <w:t xml:space="preserve">Higher fee (1.5–2.5%) for cross-border transactions where trust deficit is most acute and willingness to pay is highest.</w:t>
      </w:r>
    </w:p>
    <w:p>
      <w:pPr>
        <w:spacing w:after="100" w:before="60" w:line="360" w:lineRule="auto"/>
      </w:pPr>
      <w:r>
        <w:rPr>
          <w:rFonts w:ascii="Calibri" w:cs="Calibri" w:eastAsia="Calibri" w:hAnsi="Calibri"/>
          <w:b/>
          <w:bCs/>
          <w:color w:val="D4673F"/>
          <w:sz w:val="24"/>
          <w:szCs w:val="24"/>
        </w:rPr>
        <w:t xml:space="preserve">Data Licensing (Long-term): </w:t>
      </w:r>
      <w:r>
        <w:rPr>
          <w:rFonts w:ascii="Calibri" w:cs="Calibri" w:eastAsia="Calibri" w:hAnsi="Calibri"/>
          <w:color w:val="3D4F63"/>
          <w:sz w:val="24"/>
          <w:szCs w:val="24"/>
        </w:rPr>
        <w:t xml:space="preserve">Anonymised trust and transaction data for credit scoring, insurance underwriting, and market intelligence. This is a future revenue stream once sufficient data scale is reached.</w:t>
      </w:r>
    </w:p>
    <w:p>
      <w:r>
        <w:br w:type="page"/>
      </w:r>
    </w:p>
    <w:p>
      <w:pPr>
        <w:spacing w:after="200" w:before="480"/>
      </w:pPr>
      <w:r>
        <w:rPr>
          <w:rFonts w:ascii="Georgia" w:cs="Georgia" w:eastAsia="Georgia" w:hAnsi="Georgia"/>
          <w:b/>
          <w:bCs/>
          <w:color w:val="1A2332"/>
          <w:sz w:val="36"/>
          <w:szCs w:val="36"/>
        </w:rPr>
        <w:t xml:space="preserve">7.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Risk</w:t>
            </w:r>
          </w:p>
        </w:tc>
        <w:tc>
          <w:tcPr>
            <w:tcW w:type="dxa" w:w="358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Impact</w:t>
            </w:r>
          </w:p>
        </w:tc>
        <w:tc>
          <w:tcPr>
            <w:tcW w:type="dxa" w:w="358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Regulatory fragmentation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Each country has different escrow and payments rules; compliance delays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Partner with pan-African rails (Paystack, M-Pesa) who already hold licenses; hire local regulatory counsel in beachhead markets only</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Partner dependency</w:t>
            </w:r>
          </w:p>
        </w:tc>
        <w:tc>
          <w:tcPr>
            <w:tcW w:type="dxa" w:w="35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Reliance on marketplace partners for distribution</w:t>
            </w:r>
          </w:p>
        </w:tc>
        <w:tc>
          <w:tcPr>
            <w:tcW w:type="dxa" w:w="35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Maintain direct marketplace in Nigeria as fallback; diversify across 3+ partners per cluster; make switching costs high via data moat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Fraud sophistication varies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Fraud patterns differ across markets; model may not generalise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Keep fraud models modular per-region; build feedback loops with local partners; invest in adaptive ML from day one</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Currency / FX risk</w:t>
            </w:r>
          </w:p>
        </w:tc>
        <w:tc>
          <w:tcPr>
            <w:tcW w:type="dxa" w:w="35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Operating across multiple currencies increases FX exposure</w:t>
            </w:r>
          </w:p>
        </w:tc>
        <w:tc>
          <w:tcPr>
            <w:tcW w:type="dxa" w:w="35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Stablecoin micro-hedging (from V2.0 roadmap); settle in local currency; keep treasury exposure minimal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Incumbent response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Jumia, Konga, or Paystack could build competing trust layers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Innovator’s Dilemma Shield (collateral staking alienates their sellers); move fast to build data moat; regulatory moat from early CBN licensing</w:t>
            </w:r>
          </w:p>
        </w:tc>
      </w:tr>
    </w:tbl>
    <w:p>
      <w:pPr>
        <w:spacing w:after="200"/>
      </w:pPr>
    </w:p>
    <w:p>
      <w:r>
        <w:br w:type="page"/>
      </w:r>
    </w:p>
    <w:p>
      <w:pPr>
        <w:spacing w:after="200" w:before="480"/>
      </w:pPr>
      <w:r>
        <w:rPr>
          <w:rFonts w:ascii="Georgia" w:cs="Georgia" w:eastAsia="Georgia" w:hAnsi="Georgia"/>
          <w:b/>
          <w:bCs/>
          <w:color w:val="1A2332"/>
          <w:sz w:val="36"/>
          <w:szCs w:val="36"/>
        </w:rPr>
        <w:t xml:space="preserve">8. 18-Month Execution Roadmap</w:t>
      </w:r>
    </w:p>
    <w:p>
      <w:pPr>
        <w:spacing w:after="100" w:before="300"/>
      </w:pPr>
      <w:r>
        <w:rPr>
          <w:rFonts w:ascii="Georgia" w:cs="Georgia" w:eastAsia="Georgia" w:hAnsi="Georgia"/>
          <w:b/>
          <w:bCs/>
          <w:color w:val="D4673F"/>
          <w:sz w:val="28"/>
          <w:szCs w:val="28"/>
        </w:rPr>
        <w:t xml:space="preserve">Months 1–3: Foundation</w:t>
      </w:r>
    </w:p>
    <w:p>
      <w:pPr>
        <w:spacing w:after="100" w:before="60" w:line="360" w:lineRule="auto"/>
      </w:pPr>
      <w:r>
        <w:rPr>
          <w:rFonts w:ascii="Calibri" w:cs="Calibri" w:eastAsia="Calibri" w:hAnsi="Calibri"/>
          <w:color w:val="3D4F63"/>
          <w:sz w:val="24"/>
          <w:szCs w:val="24"/>
        </w:rPr>
        <w:t xml:space="preserve">Nail product-market fit in Nigeria. Achieve 1,000+ completed transactions through the escrow system. Begin building the Trust API as a separate service layer that can be consumed externally. Engage 2–3 Nigerian marketplaces (Jiji, local classifieds) for pilot API integrations.</w:t>
      </w:r>
    </w:p>
    <w:p>
      <w:pPr>
        <w:spacing w:after="100" w:before="300"/>
      </w:pPr>
      <w:r>
        <w:rPr>
          <w:rFonts w:ascii="Georgia" w:cs="Georgia" w:eastAsia="Georgia" w:hAnsi="Georgia"/>
          <w:b/>
          <w:bCs/>
          <w:color w:val="D4673F"/>
          <w:sz w:val="28"/>
          <w:szCs w:val="28"/>
        </w:rPr>
        <w:t xml:space="preserve">Months 4–6: Prove the API</w:t>
      </w:r>
    </w:p>
    <w:p>
      <w:pPr>
        <w:spacing w:after="100" w:before="60" w:line="360" w:lineRule="auto"/>
      </w:pPr>
      <w:r>
        <w:rPr>
          <w:rFonts w:ascii="Calibri" w:cs="Calibri" w:eastAsia="Calibri" w:hAnsi="Calibri"/>
          <w:color w:val="3D4F63"/>
          <w:sz w:val="24"/>
          <w:szCs w:val="24"/>
        </w:rPr>
        <w:t xml:space="preserve">Launch Trust API with first external partner in Nigeria. Measure integration time, transaction volume, and fraud rates. Refine the “country config” architecture based on learnings. Begin regulatory groundwork in Ghana (banking partner, KYC provider).</w:t>
      </w:r>
    </w:p>
    <w:p>
      <w:pPr>
        <w:spacing w:after="100" w:before="300"/>
      </w:pPr>
      <w:r>
        <w:rPr>
          <w:rFonts w:ascii="Georgia" w:cs="Georgia" w:eastAsia="Georgia" w:hAnsi="Georgia"/>
          <w:b/>
          <w:bCs/>
          <w:color w:val="D4673F"/>
          <w:sz w:val="28"/>
          <w:szCs w:val="28"/>
        </w:rPr>
        <w:t xml:space="preserve">Months 7–9: First Cluster Expansion</w:t>
      </w:r>
    </w:p>
    <w:p>
      <w:pPr>
        <w:spacing w:after="100" w:before="60" w:line="360" w:lineRule="auto"/>
      </w:pPr>
      <w:r>
        <w:rPr>
          <w:rFonts w:ascii="Calibri" w:cs="Calibri" w:eastAsia="Calibri" w:hAnsi="Calibri"/>
          <w:color w:val="3D4F63"/>
          <w:sz w:val="24"/>
          <w:szCs w:val="24"/>
        </w:rPr>
        <w:t xml:space="preserve">Launch in Ghana via API partnership with a local marketplace. Validate that the country-config approach works (swap ID system, banking partner, language — keep core engine). Begin Kenya regulatory groundwork and M-Pesa integration development.</w:t>
      </w:r>
    </w:p>
    <w:p>
      <w:pPr>
        <w:spacing w:after="100" w:before="300"/>
      </w:pPr>
      <w:r>
        <w:rPr>
          <w:rFonts w:ascii="Georgia" w:cs="Georgia" w:eastAsia="Georgia" w:hAnsi="Georgia"/>
          <w:b/>
          <w:bCs/>
          <w:color w:val="D4673F"/>
          <w:sz w:val="28"/>
          <w:szCs w:val="28"/>
        </w:rPr>
        <w:t xml:space="preserve">Months 10–14: East African Beachhead</w:t>
      </w:r>
    </w:p>
    <w:p>
      <w:pPr>
        <w:spacing w:after="100" w:before="60" w:line="360" w:lineRule="auto"/>
      </w:pPr>
      <w:r>
        <w:rPr>
          <w:rFonts w:ascii="Calibri" w:cs="Calibri" w:eastAsia="Calibri" w:hAnsi="Calibri"/>
          <w:color w:val="3D4F63"/>
          <w:sz w:val="24"/>
          <w:szCs w:val="24"/>
        </w:rPr>
        <w:t xml:space="preserve">Launch in Kenya with M-Pesa integration. This is the critical test: can PayPaddy’s trust model work in a mobile-money-dominant economy? Sign 2+ marketplace partners in Kenya. Begin South Africa groundwork.</w:t>
      </w:r>
    </w:p>
    <w:p>
      <w:pPr>
        <w:spacing w:after="100" w:before="300"/>
      </w:pPr>
      <w:r>
        <w:rPr>
          <w:rFonts w:ascii="Georgia" w:cs="Georgia" w:eastAsia="Georgia" w:hAnsi="Georgia"/>
          <w:b/>
          <w:bCs/>
          <w:color w:val="D4673F"/>
          <w:sz w:val="28"/>
          <w:szCs w:val="28"/>
        </w:rPr>
        <w:t xml:space="preserve">Months 15–18: Continental Scale</w:t>
      </w:r>
    </w:p>
    <w:p>
      <w:pPr>
        <w:spacing w:after="100" w:before="60" w:line="360" w:lineRule="auto"/>
      </w:pPr>
      <w:r>
        <w:rPr>
          <w:rFonts w:ascii="Calibri" w:cs="Calibri" w:eastAsia="Calibri" w:hAnsi="Calibri"/>
          <w:color w:val="3D4F63"/>
          <w:sz w:val="24"/>
          <w:szCs w:val="24"/>
        </w:rPr>
        <w:t xml:space="preserve">Launch in South Africa. By this point, PayPaddy should have API integrations with 8–12 marketplace partners across 4 countries. Begin diaspora corridor pilot (UK ↔ Nigeria cross-border escrow). Prepare Series A materials with pan-African traction data.</w:t>
      </w:r>
    </w:p>
    <w:p>
      <w:r>
        <w:br w:type="page"/>
      </w:r>
    </w:p>
    <w:p>
      <w:pPr>
        <w:spacing w:after="200" w:before="480"/>
      </w:pPr>
      <w:r>
        <w:rPr>
          <w:rFonts w:ascii="Georgia" w:cs="Georgia" w:eastAsia="Georgia" w:hAnsi="Georgia"/>
          <w:b/>
          <w:bCs/>
          <w:color w:val="1A2332"/>
          <w:sz w:val="36"/>
          <w:szCs w:val="36"/>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c>
          <w:tcPr>
            <w:tcW w:type="dxa" w:w="26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Metric</w:t>
            </w:r>
          </w:p>
        </w:tc>
        <w:tc>
          <w:tcPr>
            <w:tcW w:type="dxa" w:w="2253"/>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Month 6</w:t>
            </w:r>
          </w:p>
        </w:tc>
        <w:tc>
          <w:tcPr>
            <w:tcW w:type="dxa" w:w="2253"/>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Month 12</w:t>
            </w:r>
          </w:p>
        </w:tc>
        <w:tc>
          <w:tcPr>
            <w:tcW w:type="dxa" w:w="2254"/>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Calibri" w:cs="Calibri" w:eastAsia="Calibri" w:hAnsi="Calibri"/>
                <w:b/>
                <w:bCs/>
                <w:color w:val="FFFFFF"/>
                <w:sz w:val="22"/>
                <w:szCs w:val="22"/>
              </w:rPr>
              <w:t xml:space="preserve">Month 18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Countries Live</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1 (Nigeria)</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2 (+ Ghana)</w:t>
            </w:r>
          </w:p>
        </w:tc>
        <w:tc>
          <w:tcPr>
            <w:tcW w:type="dxa" w:w="22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4 (+ Kenya, SA)</w:t>
            </w:r>
          </w:p>
        </w:tc>
      </w:tr>
      <w:tr>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API Partner Integrations</w:t>
            </w:r>
          </w:p>
        </w:tc>
        <w:tc>
          <w:tcPr>
            <w:tcW w:type="dxa" w:w="2253"/>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2–3</w:t>
            </w:r>
          </w:p>
        </w:tc>
        <w:tc>
          <w:tcPr>
            <w:tcW w:type="dxa" w:w="2253"/>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5–8</w:t>
            </w:r>
          </w:p>
        </w:tc>
        <w:tc>
          <w:tcPr>
            <w:tcW w:type="dxa" w:w="2254"/>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10–15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Monthly Transaction Volume</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5,000+</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25,000+</w:t>
            </w:r>
          </w:p>
        </w:tc>
        <w:tc>
          <w:tcPr>
            <w:tcW w:type="dxa" w:w="22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100,000+</w:t>
            </w:r>
          </w:p>
        </w:tc>
      </w:tr>
      <w:tr>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Fraud Rate (via PayPaddy)</w:t>
            </w:r>
          </w:p>
        </w:tc>
        <w:tc>
          <w:tcPr>
            <w:tcW w:type="dxa" w:w="2253"/>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&lt; 2%</w:t>
            </w:r>
          </w:p>
        </w:tc>
        <w:tc>
          <w:tcPr>
            <w:tcW w:type="dxa" w:w="2253"/>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&lt; 1.5%</w:t>
            </w:r>
          </w:p>
        </w:tc>
        <w:tc>
          <w:tcPr>
            <w:tcW w:type="dxa" w:w="2254"/>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&lt; 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API Integration Time</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4–6 weeks</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2–3 weeks</w:t>
            </w:r>
          </w:p>
        </w:tc>
        <w:tc>
          <w:tcPr>
            <w:tcW w:type="dxa" w:w="22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D4F63"/>
                <w:sz w:val="22"/>
                <w:szCs w:val="22"/>
              </w:rPr>
              <w:t xml:space="preserve">&lt; 2 weeks</w:t>
            </w:r>
          </w:p>
        </w:tc>
      </w:tr>
      <w:tr>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Cumulative Capital Deployed</w:t>
            </w:r>
          </w:p>
        </w:tc>
        <w:tc>
          <w:tcPr>
            <w:tcW w:type="dxa" w:w="2253"/>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$200K–$400K</w:t>
            </w:r>
          </w:p>
        </w:tc>
        <w:tc>
          <w:tcPr>
            <w:tcW w:type="dxa" w:w="2253"/>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$400K–$700K</w:t>
            </w:r>
          </w:p>
        </w:tc>
        <w:tc>
          <w:tcPr>
            <w:tcW w:type="dxa" w:w="2254"/>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alibri" w:cs="Calibri" w:eastAsia="Calibri" w:hAnsi="Calibri"/>
                <w:color w:val="3D4F63"/>
                <w:sz w:val="22"/>
                <w:szCs w:val="22"/>
              </w:rPr>
              <w:t xml:space="preserve">$600K–$1M</w:t>
            </w:r>
          </w:p>
        </w:tc>
      </w:tr>
    </w:tbl>
    <w:p>
      <w:pPr>
        <w:spacing w:after="300"/>
      </w:pPr>
    </w:p>
    <w:p>
      <w:pPr>
        <w:spacing w:after="100" w:before="60" w:line="360" w:lineRule="auto"/>
      </w:pPr>
      <w:r>
        <w:rPr>
          <w:rFonts w:ascii="Calibri" w:cs="Calibri" w:eastAsia="Calibri" w:hAnsi="Calibri"/>
          <w:color w:val="3D4F63"/>
          <w:sz w:val="24"/>
          <w:szCs w:val="24"/>
        </w:rPr>
        <w:t xml:space="preserve">This strategy positions PayPaddy not as a marketplace that must be rebuilt in every country, but as the trust infrastructure layer that every marketplace needs. The API-first, partner-carried approach minimises capital requirements while maximising speed to market — the fastest, cheapest, and most scalable path from Lagos to the world.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Calibri" w:cs="Calibri" w:eastAsia="Calibri" w:hAnsi="Calibri"/>
        <w:color w:val="999999"/>
        <w:sz w:val="18"/>
        <w:szCs w:val="18"/>
      </w:rPr>
      <w:t xml:space="preserve">Confidential — PayPaddy Inc.</w:t>
    </w:r>
    <w:r>
      <w:rPr>
        <w:rFonts w:ascii="Calibri" w:cs="Calibri" w:eastAsia="Calibri" w:hAnsi="Calibri"/>
        <w:color w:val="999999"/>
        <w:sz w:val="18"/>
        <w:szCs w:val="18"/>
      </w:rPr>
      <w:t xml:space="preserve">	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673F" w:sz="6" w:space="1"/>
      </w:pBdr>
      <w:spacing w:after="120"/>
    </w:pPr>
    <w:r>
      <w:rPr>
        <w:rFonts w:ascii="Georgia" w:cs="Georgia" w:eastAsia="Georgia" w:hAnsi="Georgia"/>
        <w:b/>
        <w:bCs/>
        <w:color w:val="1A2332"/>
        <w:sz w:val="20"/>
        <w:szCs w:val="20"/>
      </w:rPr>
      <w:t xml:space="preserve">PayPaddy</w:t>
    </w:r>
    <w:r>
      <w:rPr>
        <w:rFonts w:ascii="Calibri" w:cs="Calibri" w:eastAsia="Calibri" w:hAnsi="Calibri"/>
        <w:color w:val="3D4F63"/>
        <w:sz w:val="20"/>
        <w:szCs w:val="20"/>
      </w:rPr>
      <w:t xml:space="preserve">  •  Global Expansion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4F6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2026-03-21T16:13:34.431Z</dcterms:created>
  <dcterms:modified xsi:type="dcterms:W3CDTF">2026-03-21T16:13:34.432Z</dcterms:modified>
</cp:coreProperties>
</file>

<file path=docProps/custom.xml><?xml version="1.0" encoding="utf-8"?>
<Properties xmlns="http://schemas.openxmlformats.org/officeDocument/2006/custom-properties" xmlns:vt="http://schemas.openxmlformats.org/officeDocument/2006/docPropsVTypes"/>
</file>