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D3B24"/>
          <w:sz w:val="72"/>
          <w:szCs w:val="72"/>
        </w:rPr>
        <w:t xml:space="preserve">TruCycle</w:t>
      </w:r>
    </w:p>
    <w:p>
      <w:pPr>
        <w:spacing w:after="400" w:before="120"/>
        <w:jc w:val="center"/>
      </w:pPr>
      <w:r>
        <w:rPr>
          <w:color w:val="3F6B3A"/>
          <w:sz w:val="36"/>
          <w:szCs w:val="36"/>
        </w:rPr>
        <w:t xml:space="preserve">Carbon Calculation Methodology</w:t>
      </w:r>
    </w:p>
    <w:p>
      <w:pPr>
        <w:spacing w:after="1200" w:before="120"/>
        <w:jc w:val="center"/>
      </w:pPr>
      <w:r>
        <w:rPr>
          <w:i/>
          <w:iCs/>
          <w:color w:val="6B7280"/>
          <w:sz w:val="24"/>
          <w:szCs w:val="24"/>
        </w:rPr>
        <w:t xml:space="preserve">How we calculate the carbon saved every time an item is rescued</w:t>
      </w:r>
    </w:p>
    <w:p>
      <w:pPr>
        <w:spacing w:after="120" w:before="400"/>
        <w:jc w:val="center"/>
      </w:pPr>
      <w:r>
        <w:rPr>
          <w:color w:val="0D3B24"/>
          <w:sz w:val="22"/>
          <w:szCs w:val="22"/>
        </w:rPr>
        <w:t xml:space="preserve">Version 1.0 — April 2026</w:t>
      </w:r>
    </w:p>
    <w:p>
      <w:pPr>
        <w:spacing w:after="120" w:before="60"/>
        <w:jc w:val="center"/>
      </w:pPr>
      <w:r>
        <w:rPr>
          <w:color w:val="3F6B3A"/>
          <w:sz w:val="20"/>
          <w:szCs w:val="20"/>
        </w:rPr>
        <w:t xml:space="preserve">www.trucycle.co.uk</w:t>
      </w:r>
    </w:p>
    <w:p>
      <w:r>
        <w:br w:type="page"/>
      </w:r>
    </w:p>
    <w:p>
      <w:pPr>
        <w:pStyle w:val="Heading1"/>
        <w:spacing w:after="200" w:before="360"/>
      </w:pPr>
      <w:r>
        <w:rPr>
          <w:b/>
          <w:bCs/>
          <w:color w:val="0D3B24"/>
          <w:sz w:val="36"/>
          <w:szCs w:val="36"/>
        </w:rPr>
        <w:t xml:space="preserve">1. Introduction</w:t>
      </w:r>
    </w:p>
    <w:p>
      <w:pPr>
        <w:spacing w:after="120" w:before="80"/>
      </w:pPr>
      <w:r>
        <w:rPr>
          <w:sz w:val="22"/>
          <w:szCs w:val="22"/>
        </w:rPr>
        <w:t xml:space="preserve">TruCycle is a circular economy platform that diverts bulky household items and waste electrical and electronic equipment (WEEE) from landfill by enabling peer-to-peer reuse. Every transaction on the platform — a spot, a rescue, a rehoming — carries an environmental impact that we measure in kilograms of carbon dioxide equivalent (kg CO2e) saved.</w:t>
      </w:r>
    </w:p>
    <w:p>
      <w:pPr>
        <w:spacing w:after="120" w:before="80"/>
      </w:pPr>
      <w:r>
        <w:rPr>
          <w:sz w:val="22"/>
          <w:szCs w:val="22"/>
        </w:rPr>
        <w:t xml:space="preserve">This document sets out the methodology behind those calculations. It is designed to be transparent, defensible, and aligned with UK-recognised standards so that our users, councils, investors, and regulators can trust the numbers we publish.</w:t>
      </w:r>
    </w:p>
    <w:p>
      <w:pPr>
        <w:spacing w:after="120" w:before="80"/>
      </w:pPr>
      <w:r>
        <w:rPr>
          <w:sz w:val="22"/>
          <w:szCs w:val="22"/>
        </w:rPr>
        <w:t xml:space="preserve">The methodology is a living document. It will be updated annually to reflect new DEFRA/DESNZ conversion factors and any material changes to our operational model.</w:t>
      </w:r>
    </w:p>
    <w:p>
      <w:pPr>
        <w:pStyle w:val="Heading2"/>
        <w:spacing w:after="160" w:before="300"/>
      </w:pPr>
      <w:r>
        <w:rPr>
          <w:b/>
          <w:bCs/>
          <w:color w:val="3F6B3A"/>
          <w:sz w:val="28"/>
          <w:szCs w:val="28"/>
        </w:rPr>
        <w:t xml:space="preserve">1.1 Scope</w:t>
      </w:r>
    </w:p>
    <w:p>
      <w:pPr>
        <w:spacing w:after="120" w:before="80"/>
      </w:pPr>
      <w:r>
        <w:rPr>
          <w:sz w:val="22"/>
          <w:szCs w:val="22"/>
        </w:rPr>
        <w:t xml:space="preserve">TruCycle's carbon methodology covers two categories of household items:</w:t>
      </w:r>
    </w:p>
    <w:p>
      <w:pPr>
        <w:pStyle w:val="ListParagraph"/>
        <w:numPr>
          <w:ilvl w:val="0"/>
          <w:numId w:val="2"/>
        </w:numPr>
        <w:spacing w:after="40" w:before="40"/>
      </w:pPr>
      <w:r>
        <w:rPr>
          <w:sz w:val="22"/>
          <w:szCs w:val="22"/>
        </w:rPr>
        <w:t xml:space="preserve">Bulky furniture — sofas, beds, mattresses, tables, wardrobes, chests of drawers, and similar items that do not fit standard kerbside collections</w:t>
      </w:r>
    </w:p>
    <w:p>
      <w:pPr>
        <w:pStyle w:val="ListParagraph"/>
        <w:numPr>
          <w:ilvl w:val="0"/>
          <w:numId w:val="2"/>
        </w:numPr>
        <w:spacing w:after="40" w:before="40"/>
      </w:pPr>
      <w:r>
        <w:rPr>
          <w:sz w:val="22"/>
          <w:szCs w:val="22"/>
        </w:rPr>
        <w:t xml:space="preserve">WEEE — large appliances (fridges, washing machines, ovens), small appliances (kettles, microwaves, toasters), IT equipment (laptops, monitors, printers), consumer electronics (TVs, audio, games consoles), lighting, and power tools</w:t>
      </w:r>
    </w:p>
    <w:p>
      <w:pPr>
        <w:spacing w:after="120" w:before="80"/>
      </w:pPr>
      <w:r>
        <w:rPr>
          <w:sz w:val="22"/>
          <w:szCs w:val="22"/>
        </w:rPr>
        <w:t xml:space="preserve">Out of scope: food waste, textiles and fashion, garden waste, construction materials, hazardous waste, and standard dry recycling. These may be added in future versions if TruCycle's operational scope expands, but are not currently covered.</w:t>
      </w:r>
    </w:p>
    <w:p>
      <w:pPr>
        <w:pStyle w:val="Heading2"/>
        <w:spacing w:after="160" w:before="300"/>
      </w:pPr>
      <w:r>
        <w:rPr>
          <w:b/>
          <w:bCs/>
          <w:color w:val="3F6B3A"/>
          <w:sz w:val="28"/>
          <w:szCs w:val="28"/>
        </w:rPr>
        <w:t xml:space="preserve">1.2 Why This Methodology Matters</w:t>
      </w:r>
    </w:p>
    <w:p>
      <w:pPr>
        <w:spacing w:after="120" w:before="80"/>
      </w:pPr>
      <w:r>
        <w:rPr>
          <w:sz w:val="22"/>
          <w:szCs w:val="22"/>
        </w:rPr>
        <w:t xml:space="preserve">Carbon claims in the reuse and circular economy sector are often either absent or inflated. Platforms typically either avoid making specific carbon claims, or publish headline numbers without explaining how they were derived. Both approaches undermine user trust.</w:t>
      </w:r>
    </w:p>
    <w:p>
      <w:pPr>
        <w:spacing w:after="120" w:before="80"/>
      </w:pPr>
      <w:r>
        <w:rPr>
          <w:sz w:val="22"/>
          <w:szCs w:val="22"/>
        </w:rPr>
        <w:t xml:space="preserve">TruCycle takes a different approach. Every carbon figure we publish is traceable to a recognised source, applies a conservative substitution rate, and subtracts operational emissions. Users see the actual environmental contribution of their action — not an inflated marketing number.</w:t>
      </w:r>
    </w:p>
    <w:p>
      <w:pPr>
        <w:spacing w:after="120" w:before="80"/>
      </w:pPr>
      <w:r>
        <w:rPr>
          <w:sz w:val="22"/>
          <w:szCs w:val="22"/>
        </w:rPr>
        <w:t xml:space="preserve">This transparency also positions TruCycle for future monetisation opportunities (carbon credits, council compliance reporting, Extended Producer Responsibility schemes) that require auditable methodology.</w:t>
      </w:r>
    </w:p>
    <w:p>
      <w:r>
        <w:br w:type="page"/>
      </w:r>
    </w:p>
    <w:p>
      <w:pPr>
        <w:pStyle w:val="Heading1"/>
        <w:spacing w:after="200" w:before="360"/>
      </w:pPr>
      <w:r>
        <w:rPr>
          <w:b/>
          <w:bCs/>
          <w:color w:val="0D3B24"/>
          <w:sz w:val="36"/>
          <w:szCs w:val="36"/>
        </w:rPr>
        <w:t xml:space="preserve">2. Standards Referenced</w:t>
      </w:r>
    </w:p>
    <w:p>
      <w:pPr>
        <w:spacing w:after="120" w:before="80"/>
      </w:pPr>
      <w:r>
        <w:rPr>
          <w:sz w:val="22"/>
          <w:szCs w:val="22"/>
        </w:rPr>
        <w:t xml:space="preserve">TruCycle's methodology is built on six UK and international standards for carbon footprinting and waste accounting:</w:t>
      </w:r>
    </w:p>
    <w:p>
      <w:pPr>
        <w:pStyle w:val="Heading3"/>
        <w:spacing w:after="120" w:before="240"/>
      </w:pPr>
      <w:r>
        <w:rPr>
          <w:b/>
          <w:bCs/>
          <w:color w:val="0D3B24"/>
          <w:sz w:val="24"/>
          <w:szCs w:val="24"/>
        </w:rPr>
        <w:t xml:space="preserve">DEFRA/DESNZ GHG Conversion Factors (2025)</w:t>
      </w:r>
    </w:p>
    <w:p>
      <w:pPr>
        <w:spacing w:after="120" w:before="80"/>
      </w:pPr>
      <w:r>
        <w:rPr>
          <w:sz w:val="22"/>
          <w:szCs w:val="22"/>
        </w:rPr>
        <w:t xml:space="preserve">The UK government's official emission factors for greenhouse gas reporting, updated annually by the Department for Energy Security and Net Zero. Used for material-use carbon, landfill emissions, and transport/freight factors.</w:t>
      </w:r>
    </w:p>
    <w:p>
      <w:pPr>
        <w:spacing w:after="180" w:before="60"/>
      </w:pPr>
      <w:r>
        <w:rPr>
          <w:i/>
          <w:iCs/>
          <w:color w:val="6B7280"/>
          <w:sz w:val="18"/>
          <w:szCs w:val="18"/>
        </w:rPr>
        <w:t xml:space="preserve">Source: gov.uk/government/publications/greenhouse-gas-reporting-conversion-factors-2025</w:t>
      </w:r>
    </w:p>
    <w:p>
      <w:pPr>
        <w:pStyle w:val="Heading3"/>
        <w:spacing w:after="120" w:before="240"/>
      </w:pPr>
      <w:r>
        <w:rPr>
          <w:b/>
          <w:bCs/>
          <w:color w:val="0D3B24"/>
          <w:sz w:val="24"/>
          <w:szCs w:val="24"/>
        </w:rPr>
        <w:t xml:space="preserve">WRAP CarbonWARM2</w:t>
      </w:r>
    </w:p>
    <w:p>
      <w:pPr>
        <w:spacing w:after="120" w:before="80"/>
      </w:pPr>
      <w:r>
        <w:rPr>
          <w:sz w:val="22"/>
          <w:szCs w:val="22"/>
        </w:rPr>
        <w:t xml:space="preserve">The Carbon Waste and Resources Metric v2, developed by WRAP on behalf of DEFRA. Specifically designed for waste management reporting. Provides emission factors for reuse, recycling, and landfill pathways including WEEE, batteries, and mixed waste streams.</w:t>
      </w:r>
    </w:p>
    <w:p>
      <w:pPr>
        <w:spacing w:after="180" w:before="60"/>
      </w:pPr>
      <w:r>
        <w:rPr>
          <w:i/>
          <w:iCs/>
          <w:color w:val="6B7280"/>
          <w:sz w:val="18"/>
          <w:szCs w:val="18"/>
        </w:rPr>
        <w:t xml:space="preserve">Source: wrap.ngo/resources/report/carbon-waste-and-resources-metric-carbonwarm2</w:t>
      </w:r>
    </w:p>
    <w:p>
      <w:pPr>
        <w:pStyle w:val="Heading3"/>
        <w:spacing w:after="120" w:before="240"/>
      </w:pPr>
      <w:r>
        <w:rPr>
          <w:b/>
          <w:bCs/>
          <w:color w:val="0D3B24"/>
          <w:sz w:val="24"/>
          <w:szCs w:val="24"/>
        </w:rPr>
        <w:t xml:space="preserve">PAS 2050</w:t>
      </w:r>
    </w:p>
    <w:p>
      <w:pPr>
        <w:spacing w:after="120" w:before="80"/>
      </w:pPr>
      <w:r>
        <w:rPr>
          <w:sz w:val="22"/>
          <w:szCs w:val="22"/>
        </w:rPr>
        <w:t xml:space="preserve">British Standards specification for assessing the life cycle GHG emissions of goods and services. Used for cradle-to-gate embodied carbon methodology.</w:t>
      </w:r>
    </w:p>
    <w:p>
      <w:pPr>
        <w:pStyle w:val="Heading3"/>
        <w:spacing w:after="120" w:before="240"/>
      </w:pPr>
      <w:r>
        <w:rPr>
          <w:b/>
          <w:bCs/>
          <w:color w:val="0D3B24"/>
          <w:sz w:val="24"/>
          <w:szCs w:val="24"/>
        </w:rPr>
        <w:t xml:space="preserve">GHG Protocol Scope 3 Standard</w:t>
      </w:r>
    </w:p>
    <w:p>
      <w:pPr>
        <w:spacing w:after="120" w:before="80"/>
      </w:pPr>
      <w:r>
        <w:rPr>
          <w:sz w:val="22"/>
          <w:szCs w:val="22"/>
        </w:rPr>
        <w:t xml:space="preserve">Global standard for value chain (Scope 3) emissions accounting. Guides how avoided and attributable emissions are allocated between parties in a reuse transaction.</w:t>
      </w:r>
    </w:p>
    <w:p>
      <w:pPr>
        <w:pStyle w:val="Heading3"/>
        <w:spacing w:after="120" w:before="240"/>
      </w:pPr>
      <w:r>
        <w:rPr>
          <w:b/>
          <w:bCs/>
          <w:color w:val="0D3B24"/>
          <w:sz w:val="24"/>
          <w:szCs w:val="24"/>
        </w:rPr>
        <w:t xml:space="preserve">FIRA Benchmarking Carbon Footprints of Furniture Products</w:t>
      </w:r>
    </w:p>
    <w:p>
      <w:pPr>
        <w:spacing w:after="120" w:before="80"/>
      </w:pPr>
      <w:r>
        <w:rPr>
          <w:sz w:val="22"/>
          <w:szCs w:val="22"/>
        </w:rPr>
        <w:t xml:space="preserve">UK furniture industry study providing per-item embodied carbon benchmarks for typical furniture types. The Recycle Scotland methodology and numerous circular furniture businesses use FIRA as their primary reference.</w:t>
      </w:r>
    </w:p>
    <w:p>
      <w:pPr>
        <w:pStyle w:val="Heading3"/>
        <w:spacing w:after="120" w:before="240"/>
      </w:pPr>
      <w:r>
        <w:rPr>
          <w:b/>
          <w:bCs/>
          <w:color w:val="0D3B24"/>
          <w:sz w:val="24"/>
          <w:szCs w:val="24"/>
        </w:rPr>
        <w:t xml:space="preserve">ISO 14067</w:t>
      </w:r>
    </w:p>
    <w:p>
      <w:pPr>
        <w:spacing w:after="120" w:before="80"/>
      </w:pPr>
      <w:r>
        <w:rPr>
          <w:sz w:val="22"/>
          <w:szCs w:val="22"/>
        </w:rPr>
        <w:t xml:space="preserve">International standard for the quantification and reporting of the carbon footprint of products. Aligns with PAS 2050 and provides the formal structure for product-level LCA.</w:t>
      </w:r>
    </w:p>
    <w:p>
      <w:r>
        <w:br w:type="page"/>
      </w:r>
    </w:p>
    <w:p>
      <w:pPr>
        <w:pStyle w:val="Heading1"/>
        <w:spacing w:after="200" w:before="360"/>
      </w:pPr>
      <w:r>
        <w:rPr>
          <w:b/>
          <w:bCs/>
          <w:color w:val="0D3B24"/>
          <w:sz w:val="36"/>
          <w:szCs w:val="36"/>
        </w:rPr>
        <w:t xml:space="preserve">3. The Core Calculation</w:t>
      </w:r>
    </w:p>
    <w:p>
      <w:pPr>
        <w:spacing w:after="120" w:before="80"/>
      </w:pPr>
      <w:r>
        <w:rPr>
          <w:sz w:val="22"/>
          <w:szCs w:val="22"/>
        </w:rPr>
        <w:t xml:space="preserve">Carbon savings from a reuse transaction on TruCycle are calculated as the sum of three avoided-emission components, minus operational emissions, adjusted for realistic substitution behaviour.</w:t>
      </w:r>
    </w:p>
    <w:p>
      <w:pPr>
        <w:pStyle w:val="Heading2"/>
        <w:spacing w:after="160" w:before="300"/>
      </w:pPr>
      <w:r>
        <w:rPr>
          <w:b/>
          <w:bCs/>
          <w:color w:val="3F6B3A"/>
          <w:sz w:val="28"/>
          <w:szCs w:val="28"/>
        </w:rPr>
        <w:t xml:space="preserve">3.1 The Formula</w:t>
      </w:r>
    </w:p>
    <w:p>
      <w:pPr>
        <w:spacing w:after="80" w:before="80"/>
        <w:ind w:left="360"/>
        <w:jc w:val="left"/>
      </w:pPr>
      <w:r>
        <w:rPr>
          <w:rFonts w:ascii="Consolas" w:cs="Consolas" w:eastAsia="Consolas" w:hAnsi="Consolas"/>
          <w:b/>
          <w:bCs/>
          <w:color w:val="0D3B24"/>
          <w:sz w:val="22"/>
          <w:szCs w:val="22"/>
        </w:rPr>
        <w:t xml:space="preserve">Net CO2e saved =</w:t>
      </w:r>
    </w:p>
    <w:p>
      <w:pPr>
        <w:spacing w:after="80" w:before="80"/>
        <w:ind w:left="360"/>
        <w:jc w:val="left"/>
      </w:pPr>
      <w:r>
        <w:rPr>
          <w:rFonts w:ascii="Consolas" w:cs="Consolas" w:eastAsia="Consolas" w:hAnsi="Consolas"/>
          <w:b/>
          <w:bCs/>
          <w:color w:val="0D3B24"/>
          <w:sz w:val="22"/>
          <w:szCs w:val="22"/>
        </w:rPr>
        <w:t xml:space="preserve">  ( Embodied carbon avoided × Weight × Substitution rate )</w:t>
      </w:r>
    </w:p>
    <w:p>
      <w:pPr>
        <w:spacing w:after="80" w:before="80"/>
        <w:ind w:left="360"/>
        <w:jc w:val="left"/>
      </w:pPr>
      <w:r>
        <w:rPr>
          <w:rFonts w:ascii="Consolas" w:cs="Consolas" w:eastAsia="Consolas" w:hAnsi="Consolas"/>
          <w:b/>
          <w:bCs/>
          <w:color w:val="0D3B24"/>
          <w:sz w:val="22"/>
          <w:szCs w:val="22"/>
        </w:rPr>
        <w:t xml:space="preserve">  + ( Landfill emissions avoided × Weight )</w:t>
      </w:r>
    </w:p>
    <w:p>
      <w:pPr>
        <w:spacing w:after="80" w:before="80"/>
        <w:ind w:left="360"/>
        <w:jc w:val="left"/>
      </w:pPr>
      <w:r>
        <w:rPr>
          <w:rFonts w:ascii="Consolas" w:cs="Consolas" w:eastAsia="Consolas" w:hAnsi="Consolas"/>
          <w:b/>
          <w:bCs/>
          <w:color w:val="0D3B24"/>
          <w:sz w:val="22"/>
          <w:szCs w:val="22"/>
        </w:rPr>
        <w:t xml:space="preserve">  − ( Collection and transport emissions )</w:t>
      </w:r>
    </w:p>
    <w:p>
      <w:pPr>
        <w:spacing w:after="80" w:before="80"/>
        <w:ind w:left="360"/>
        <w:jc w:val="left"/>
      </w:pPr>
      <w:r>
        <w:rPr>
          <w:rFonts w:ascii="Consolas" w:cs="Consolas" w:eastAsia="Consolas" w:hAnsi="Consolas"/>
          <w:b/>
          <w:bCs/>
          <w:color w:val="0D3B24"/>
          <w:sz w:val="22"/>
          <w:szCs w:val="22"/>
        </w:rPr>
        <w:t xml:space="preserve">  × ( Action type multiplier )</w:t>
      </w:r>
    </w:p>
    <w:p>
      <w:pPr>
        <w:pStyle w:val="Heading2"/>
        <w:spacing w:after="160" w:before="300"/>
      </w:pPr>
      <w:r>
        <w:rPr>
          <w:b/>
          <w:bCs/>
          <w:color w:val="3F6B3A"/>
          <w:sz w:val="28"/>
          <w:szCs w:val="28"/>
        </w:rPr>
        <w:t xml:space="preserve">3.2 Worked Example — 3-Seater Sofa</w:t>
      </w:r>
    </w:p>
    <w:p>
      <w:pPr>
        <w:spacing w:after="120" w:before="80"/>
      </w:pPr>
      <w:r>
        <w:rPr>
          <w:sz w:val="22"/>
          <w:szCs w:val="22"/>
        </w:rPr>
        <w:t xml:space="preserve">A user spots a 55 kg 3-seater sofa on the kerb in E15, posts it to TruCycle, and another user rescues and rehomes it.</w:t>
      </w:r>
    </w:p>
    <w:p>
      <w:pPr>
        <w:pStyle w:val="ListParagraph"/>
        <w:numPr>
          <w:ilvl w:val="0"/>
          <w:numId w:val="2"/>
        </w:numPr>
        <w:spacing w:after="40" w:before="40"/>
      </w:pPr>
      <w:r>
        <w:rPr>
          <w:sz w:val="22"/>
          <w:szCs w:val="22"/>
        </w:rPr>
        <w:t xml:space="preserve">Embodied carbon of new equivalent: 55 kg × 5.0 kg CO2e/kg = 275 kg CO2e</w:t>
      </w:r>
    </w:p>
    <w:p>
      <w:pPr>
        <w:pStyle w:val="ListParagraph"/>
        <w:numPr>
          <w:ilvl w:val="0"/>
          <w:numId w:val="2"/>
        </w:numPr>
        <w:spacing w:after="40" w:before="40"/>
      </w:pPr>
      <w:r>
        <w:rPr>
          <w:sz w:val="22"/>
          <w:szCs w:val="22"/>
        </w:rPr>
        <w:t xml:space="preserve">Applied substitution rate (0.6): 275 × 0.6 = 165 kg CO2e</w:t>
      </w:r>
    </w:p>
    <w:p>
      <w:pPr>
        <w:pStyle w:val="ListParagraph"/>
        <w:numPr>
          <w:ilvl w:val="0"/>
          <w:numId w:val="2"/>
        </w:numPr>
        <w:spacing w:after="40" w:before="40"/>
      </w:pPr>
      <w:r>
        <w:rPr>
          <w:sz w:val="22"/>
          <w:szCs w:val="22"/>
        </w:rPr>
        <w:t xml:space="preserve">Avoided landfill emissions: 55 kg × 0.497 kg CO2e/kg = 27.3 kg CO2e</w:t>
      </w:r>
    </w:p>
    <w:p>
      <w:pPr>
        <w:pStyle w:val="ListParagraph"/>
        <w:numPr>
          <w:ilvl w:val="0"/>
          <w:numId w:val="2"/>
        </w:numPr>
        <w:spacing w:after="40" w:before="40"/>
      </w:pPr>
      <w:r>
        <w:rPr>
          <w:sz w:val="22"/>
          <w:szCs w:val="22"/>
        </w:rPr>
        <w:t xml:space="preserve">Gross saving: 165 + 27.3 = 192.3 kg CO2e</w:t>
      </w:r>
    </w:p>
    <w:p>
      <w:pPr>
        <w:pStyle w:val="ListParagraph"/>
        <w:numPr>
          <w:ilvl w:val="0"/>
          <w:numId w:val="2"/>
        </w:numPr>
        <w:spacing w:after="40" w:before="40"/>
      </w:pPr>
      <w:r>
        <w:rPr>
          <w:sz w:val="22"/>
          <w:szCs w:val="22"/>
        </w:rPr>
        <w:t xml:space="preserve">Less collection emissions (5-mile van trip): 1.4 kg CO2e</w:t>
      </w:r>
    </w:p>
    <w:p>
      <w:pPr>
        <w:pStyle w:val="ListParagraph"/>
        <w:numPr>
          <w:ilvl w:val="0"/>
          <w:numId w:val="2"/>
        </w:numPr>
        <w:spacing w:after="40" w:before="40"/>
      </w:pPr>
      <w:r>
        <w:rPr>
          <w:sz w:val="22"/>
          <w:szCs w:val="22"/>
        </w:rPr>
        <w:t xml:space="preserve">Action type multiplier (Full rescue): × 1.0</w:t>
      </w:r>
    </w:p>
    <w:p>
      <w:pPr>
        <w:pStyle w:val="ListParagraph"/>
        <w:numPr>
          <w:ilvl w:val="0"/>
          <w:numId w:val="2"/>
        </w:numPr>
        <w:spacing w:after="40" w:before="40"/>
      </w:pPr>
      <w:r>
        <w:rPr>
          <w:sz w:val="22"/>
          <w:szCs w:val="22"/>
        </w:rPr>
        <w:t xml:space="preserve">Net CO2e saved: 190.9 kg CO2e</w:t>
      </w:r>
    </w:p>
    <w:p>
      <w:pPr>
        <w:spacing w:after="120" w:before="80"/>
      </w:pPr>
      <w:r>
        <w:rPr>
          <w:sz w:val="22"/>
          <w:szCs w:val="22"/>
        </w:rPr>
        <w:t xml:space="preserve">This rescue would earn the spotter and rescuer a combined 191 carbon points, split according to the bonus rules in Section 6.</w:t>
      </w:r>
    </w:p>
    <w:p>
      <w:r>
        <w:br w:type="page"/>
      </w:r>
    </w:p>
    <w:p>
      <w:pPr>
        <w:pStyle w:val="Heading1"/>
        <w:spacing w:after="200" w:before="360"/>
      </w:pPr>
      <w:r>
        <w:rPr>
          <w:b/>
          <w:bCs/>
          <w:color w:val="0D3B24"/>
          <w:sz w:val="36"/>
          <w:szCs w:val="36"/>
        </w:rPr>
        <w:t xml:space="preserve">4. Embodied Carbon Reference Values</w:t>
      </w:r>
    </w:p>
    <w:p>
      <w:pPr>
        <w:spacing w:after="120" w:before="80"/>
      </w:pPr>
      <w:r>
        <w:rPr>
          <w:sz w:val="22"/>
          <w:szCs w:val="22"/>
        </w:rPr>
        <w:t xml:space="preserve">These are the embodied carbon factors applied to each category of item when a new equivalent is avoided through reuse. All figures are in kg CO2e per kg of item, drawn from DEFRA Material Use factors, CarbonWARM2, and FIRA.</w:t>
      </w:r>
    </w:p>
    <w:p>
      <w:pPr>
        <w:pStyle w:val="Heading2"/>
        <w:spacing w:after="160" w:before="300"/>
      </w:pPr>
      <w:r>
        <w:rPr>
          <w:b/>
          <w:bCs/>
          <w:color w:val="3F6B3A"/>
          <w:sz w:val="28"/>
          <w:szCs w:val="28"/>
        </w:rPr>
        <w:t xml:space="preserve">Furniture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Category</w:t>
            </w:r>
          </w:p>
        </w:tc>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Embodied CO2e/kg</w:t>
            </w:r>
          </w:p>
        </w:tc>
        <w:tc>
          <w:tcPr>
            <w:tcW w:type="dxa" w:w="37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Upholstered (sofas, armchairs)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5.0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FIRA avg; higher due to foam, fabric, mixed materials</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Mattresses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6.0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WRAP research on mattress manufacture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Wood furniture (tables, wardrobes)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Solid or engineered wood, DEFRA Material Use</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Metal furniture (filing cabinets, frames)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4.0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Steel, DEFRA Material Use factor</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Mixed construction (beds, desks)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1.0–3.5</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Varies with material split</w:t>
            </w:r>
          </w:p>
        </w:tc>
      </w:tr>
    </w:tbl>
    <w:p>
      <w:pPr>
        <w:pStyle w:val="Heading2"/>
        <w:spacing w:after="160" w:before="300"/>
      </w:pPr>
      <w:r>
        <w:rPr>
          <w:b/>
          <w:bCs/>
          <w:color w:val="3F6B3A"/>
          <w:sz w:val="28"/>
          <w:szCs w:val="28"/>
        </w:rPr>
        <w:t xml:space="preserve">WEEE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Category</w:t>
            </w:r>
          </w:p>
        </w:tc>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Embodied CO2e/kg</w:t>
            </w:r>
          </w:p>
        </w:tc>
        <w:tc>
          <w:tcPr>
            <w:tcW w:type="dxa" w:w="37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Large white goods (fridges, washers)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4.0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CarbonWARM2 large WEEE</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Small appliances (kettles, microwaves)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6.0–8.0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CarbonWARM2 small WEEE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IT equipment (laptops, monitors)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10.0–20.0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Very high embodied; rare earths, processors</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Consumer electronics (TVs, audio)</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7.0–10.0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Displays and complex assemblies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Lighting</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3.0–5.0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Mixed materials, lower complexity</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Power tools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5.5–8.0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Motor, battery, plastic housing</w:t>
            </w:r>
          </w:p>
        </w:tc>
      </w:tr>
    </w:tbl>
    <w:p>
      <w:pPr>
        <w:pStyle w:val="Heading2"/>
        <w:spacing w:after="160" w:before="300"/>
      </w:pPr>
      <w:r>
        <w:rPr>
          <w:b/>
          <w:bCs/>
          <w:color w:val="3F6B3A"/>
          <w:sz w:val="28"/>
          <w:szCs w:val="28"/>
        </w:rPr>
        <w:t xml:space="preserve">Other bulky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Category</w:t>
            </w:r>
          </w:p>
        </w:tc>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Embodied CO2e/kg</w:t>
            </w:r>
          </w:p>
        </w:tc>
        <w:tc>
          <w:tcPr>
            <w:tcW w:type="dxa" w:w="37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Carpets, rugs, floor coverings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3.5</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WRAP textile factor for floor materials</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Exercise equipment</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4.0–5.0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Mixed steel/upholstery/electronics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Baby and child items (prams, cots)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3.5–5.0</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Safety-rated complex assemblies</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Garden furniture</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2.0</w:t>
            </w:r>
          </w:p>
        </w:tc>
        <w:tc>
          <w:tcPr>
            <w:tcW w:type="dxa" w:w="37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Wooden or metal outdoor use</w:t>
            </w:r>
          </w:p>
        </w:tc>
      </w:tr>
    </w:tbl>
    <w:p>
      <w:r>
        <w:br w:type="page"/>
      </w:r>
    </w:p>
    <w:p>
      <w:pPr>
        <w:pStyle w:val="Heading1"/>
        <w:spacing w:after="200" w:before="360"/>
      </w:pPr>
      <w:r>
        <w:rPr>
          <w:b/>
          <w:bCs/>
          <w:color w:val="0D3B24"/>
          <w:sz w:val="36"/>
          <w:szCs w:val="36"/>
        </w:rPr>
        <w:t xml:space="preserve">5. Other Calculation Components</w:t>
      </w:r>
    </w:p>
    <w:p>
      <w:pPr>
        <w:pStyle w:val="Heading2"/>
        <w:spacing w:after="160" w:before="300"/>
      </w:pPr>
      <w:r>
        <w:rPr>
          <w:b/>
          <w:bCs/>
          <w:color w:val="3F6B3A"/>
          <w:sz w:val="28"/>
          <w:szCs w:val="28"/>
        </w:rPr>
        <w:t xml:space="preserve">5.1 Landfill Emissions (avoided)</w:t>
      </w:r>
    </w:p>
    <w:p>
      <w:pPr>
        <w:spacing w:after="120" w:before="80"/>
      </w:pPr>
      <w:r>
        <w:rPr>
          <w:sz w:val="22"/>
          <w:szCs w:val="22"/>
        </w:rPr>
        <w:t xml:space="preserve">When an item is rescued and rehomed instead of going to landfill, the user avoids the emissions associated with landfill disposal — primarily methane from anaerobic decomposition of biodegradable materials. These are direct, well-documented emissions that reuse eliminates.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Material</w:t>
            </w:r>
          </w:p>
        </w:tc>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Landfill CO2e/tonne</w:t>
            </w:r>
          </w:p>
        </w:tc>
        <w:tc>
          <w:tcPr>
            <w:tcW w:type="dxa" w:w="43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Source</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Wood</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925 kg</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DEFRA 2025 Waste Disposal</w:t>
            </w:r>
          </w:p>
        </w:tc>
      </w:tr>
      <w:tr>
        <w:tc>
          <w:tcPr>
            <w:tcW w:type="dxa" w:w="2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Textiles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497 kg</w:t>
            </w:r>
          </w:p>
        </w:tc>
        <w:tc>
          <w:tcPr>
            <w:tcW w:type="dxa" w:w="4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DEFRA 2025 Waste Disposal</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Paper/card</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~600 kg</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DEFRA 2025 Waste Disposal</w:t>
            </w:r>
          </w:p>
        </w:tc>
      </w:tr>
      <w:tr>
        <w:tc>
          <w:tcPr>
            <w:tcW w:type="dxa" w:w="2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Mixed residual</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~470 kg</w:t>
            </w:r>
          </w:p>
        </w:tc>
        <w:tc>
          <w:tcPr>
            <w:tcW w:type="dxa" w:w="4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DEFRA 2025 Waste Disposal</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Metal (mostly recycled)</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~50 kg</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CarbonWARM2</w:t>
            </w:r>
          </w:p>
        </w:tc>
      </w:tr>
      <w:tr>
        <w:tc>
          <w:tcPr>
            <w:tcW w:type="dxa" w:w="2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Plastics (typical)</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~100 kg</w:t>
            </w:r>
          </w:p>
        </w:tc>
        <w:tc>
          <w:tcPr>
            <w:tcW w:type="dxa" w:w="4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DEFRA 2025 Waste Disposal</w:t>
            </w:r>
          </w:p>
        </w:tc>
      </w:tr>
    </w:tbl>
    <w:p>
      <w:pPr>
        <w:spacing w:after="120" w:before="80"/>
      </w:pPr>
      <w:r>
        <w:rPr>
          <w:sz w:val="22"/>
          <w:szCs w:val="22"/>
        </w:rPr>
        <w:t xml:space="preserve">In the calculator, these are expressed as per-kg factors (e.g., 0.925 kg CO2e/kg for wood).</w:t>
      </w:r>
    </w:p>
    <w:p>
      <w:pPr>
        <w:pStyle w:val="Heading2"/>
        <w:spacing w:after="160" w:before="300"/>
      </w:pPr>
      <w:r>
        <w:rPr>
          <w:b/>
          <w:bCs/>
          <w:color w:val="3F6B3A"/>
          <w:sz w:val="28"/>
          <w:szCs w:val="28"/>
        </w:rPr>
        <w:t xml:space="preserve">5.2 Collection and Transport Emissions (subtracted)</w:t>
      </w:r>
    </w:p>
    <w:p>
      <w:pPr>
        <w:spacing w:after="120" w:before="80"/>
      </w:pPr>
      <w:r>
        <w:rPr>
          <w:sz w:val="22"/>
          <w:szCs w:val="22"/>
        </w:rPr>
        <w:t xml:space="preserve">When TruCycle operates a van-based collection, we subtract the emissions of that trip from the gross saving. The default assumption is 1.4 kg CO2e per collection (based on DEFRA freight factor of approximately 0.28 kg CO2e/mile × 5-mile typical trip).</w:t>
      </w:r>
    </w:p>
    <w:p>
      <w:pPr>
        <w:spacing w:after="120" w:before="80"/>
      </w:pPr>
      <w:r>
        <w:rPr>
          <w:sz w:val="22"/>
          <w:szCs w:val="22"/>
        </w:rPr>
        <w:t xml:space="preserve">For street-discovery transactions — where a user spots an item on foot and another user collects it on foot or by public transport — collection emissions are set to zero. This makes street discovery the most carbon-positive action on the platform.</w:t>
      </w:r>
    </w:p>
    <w:p>
      <w:pPr>
        <w:pStyle w:val="Heading2"/>
        <w:spacing w:after="160" w:before="300"/>
      </w:pPr>
      <w:r>
        <w:rPr>
          <w:b/>
          <w:bCs/>
          <w:color w:val="3F6B3A"/>
          <w:sz w:val="28"/>
          <w:szCs w:val="28"/>
        </w:rPr>
        <w:t xml:space="preserve">5.3 Refurbishment Emissions (where applicable)</w:t>
      </w:r>
    </w:p>
    <w:p>
      <w:pPr>
        <w:spacing w:after="120" w:before="80"/>
      </w:pPr>
      <w:r>
        <w:rPr>
          <w:sz w:val="22"/>
          <w:szCs w:val="22"/>
        </w:rPr>
        <w:t xml:space="preserve">If an item is refurbished before rehoming, the refurbishment emissions are subtracted from the saving. Values from Coggin SOS methodology:</w:t>
      </w:r>
    </w:p>
    <w:p>
      <w:pPr>
        <w:pStyle w:val="ListParagraph"/>
        <w:numPr>
          <w:ilvl w:val="0"/>
          <w:numId w:val="2"/>
        </w:numPr>
        <w:spacing w:after="40" w:before="40"/>
      </w:pPr>
      <w:r>
        <w:rPr>
          <w:sz w:val="22"/>
          <w:szCs w:val="22"/>
        </w:rPr>
        <w:t xml:space="preserve">Reupholstery: approximately 2.5 kg CO2e per item</w:t>
      </w:r>
    </w:p>
    <w:p>
      <w:pPr>
        <w:pStyle w:val="ListParagraph"/>
        <w:numPr>
          <w:ilvl w:val="0"/>
          <w:numId w:val="2"/>
        </w:numPr>
        <w:spacing w:after="40" w:before="40"/>
      </w:pPr>
      <w:r>
        <w:rPr>
          <w:sz w:val="22"/>
          <w:szCs w:val="22"/>
        </w:rPr>
        <w:t xml:space="preserve">Powder coating: approximately 6 kg CO2e per item</w:t>
      </w:r>
    </w:p>
    <w:p>
      <w:pPr>
        <w:pStyle w:val="ListParagraph"/>
        <w:numPr>
          <w:ilvl w:val="0"/>
          <w:numId w:val="2"/>
        </w:numPr>
        <w:spacing w:after="40" w:before="40"/>
      </w:pPr>
      <w:r>
        <w:rPr>
          <w:sz w:val="22"/>
          <w:szCs w:val="22"/>
        </w:rPr>
        <w:t xml:space="preserve">Component replacement: approximately 4 kg CO2e per swap</w:t>
      </w:r>
    </w:p>
    <w:p>
      <w:pPr>
        <w:pStyle w:val="ListParagraph"/>
        <w:numPr>
          <w:ilvl w:val="0"/>
          <w:numId w:val="2"/>
        </w:numPr>
        <w:spacing w:after="40" w:before="40"/>
      </w:pPr>
      <w:r>
        <w:rPr>
          <w:sz w:val="22"/>
          <w:szCs w:val="22"/>
        </w:rPr>
        <w:t xml:space="preserve">Industrial cleaning: approximately 1 kg CO2e per item</w:t>
      </w:r>
    </w:p>
    <w:p>
      <w:pPr>
        <w:spacing w:after="120" w:before="80"/>
      </w:pPr>
      <w:r>
        <w:rPr>
          <w:sz w:val="22"/>
          <w:szCs w:val="22"/>
        </w:rPr>
        <w:t xml:space="preserve">These are captured by applying a Refurbishment action multiplier of 0.85 (net 15% reduction from gross saving).</w:t>
      </w:r>
    </w:p>
    <w:p>
      <w:pPr>
        <w:pStyle w:val="Heading2"/>
        <w:spacing w:after="160" w:before="300"/>
      </w:pPr>
      <w:r>
        <w:rPr>
          <w:b/>
          <w:bCs/>
          <w:color w:val="3F6B3A"/>
          <w:sz w:val="28"/>
          <w:szCs w:val="28"/>
        </w:rPr>
        <w:t xml:space="preserve">5.4 The Substitution Rate</w:t>
      </w:r>
    </w:p>
    <w:p>
      <w:pPr>
        <w:spacing w:after="120" w:before="80"/>
      </w:pPr>
      <w:r>
        <w:rPr>
          <w:sz w:val="22"/>
          <w:szCs w:val="22"/>
        </w:rPr>
        <w:t xml:space="preserve">Not every reused item replaces a new purchase. Some people who acquire a second-hand item would not have bought new regardless. Others would have bought a cheaper alternative. This is known as imperfect substitution, and it's been the subject of significant peer-reviewed research in the circular economy field.</w:t>
      </w:r>
    </w:p>
    <w:p>
      <w:pPr>
        <w:spacing w:after="120" w:before="80"/>
      </w:pPr>
      <w:r>
        <w:rPr>
          <w:sz w:val="22"/>
          <w:szCs w:val="22"/>
        </w:rPr>
        <w:t xml:space="preserve">A 2025 ScienceDirect study on municipal reuse programs found rebound effects of 82–167% for furniture products — meaning the savings from reuse can be partially or fully offset by the income effect of buying cheap second-hand items and spending the savings on other carbon-intensive goods.</w:t>
      </w:r>
    </w:p>
    <w:p>
      <w:pPr>
        <w:spacing w:after="120" w:before="80"/>
      </w:pPr>
      <w:r>
        <w:rPr>
          <w:sz w:val="22"/>
          <w:szCs w:val="22"/>
        </w:rPr>
        <w:t xml:space="preserve">To keep TruCycle's claims honest and defensible, we apply a substitution rate of 0.6 to all embodied carbon calculations. This means we assume 60% of rescued items genuinely displace a new purchase. This is conservative — the platform likely performs better than this — but publishing a lower number we can defend is better than a higher number we can't.</w:t>
      </w:r>
    </w:p>
    <w:p>
      <w:r>
        <w:br w:type="page"/>
      </w:r>
    </w:p>
    <w:p>
      <w:pPr>
        <w:pStyle w:val="Heading1"/>
        <w:spacing w:after="200" w:before="360"/>
      </w:pPr>
      <w:r>
        <w:rPr>
          <w:b/>
          <w:bCs/>
          <w:color w:val="0D3B24"/>
          <w:sz w:val="36"/>
          <w:szCs w:val="36"/>
        </w:rPr>
        <w:t xml:space="preserve">6. Action Type Multipliers</w:t>
      </w:r>
    </w:p>
    <w:p>
      <w:pPr>
        <w:spacing w:after="120" w:before="80"/>
      </w:pPr>
      <w:r>
        <w:rPr>
          <w:sz w:val="22"/>
          <w:szCs w:val="22"/>
        </w:rPr>
        <w:t xml:space="preserve">Different actions on TruCycle produce different levels of environmental benefit. The action multiplier adjusts the gross carbon saving to reflect the actual outcome of each transaction.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960"/>
      </w:tblGrid>
      <w:tr>
        <w:tc>
          <w:tcPr>
            <w:tcW w:type="dxa" w:w="36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Action</w:t>
            </w:r>
          </w:p>
        </w:tc>
        <w:tc>
          <w:tcPr>
            <w:tcW w:type="dxa" w:w="16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Multiplier</w:t>
            </w:r>
          </w:p>
        </w:tc>
        <w:tc>
          <w:tcPr>
            <w:tcW w:type="dxa" w:w="39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pPr>
              <w:jc w:val="left"/>
            </w:pPr>
            <w:r>
              <w:rPr>
                <w:b/>
                <w:bCs/>
                <w:color w:val="FFFFFF"/>
                <w:sz w:val="20"/>
                <w:szCs w:val="20"/>
              </w:rPr>
              <w:t xml:space="preserve">Rationale</w:t>
            </w:r>
          </w:p>
        </w:tc>
      </w:tr>
      <w:tr>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Full rescue (spot + collect + rehome)</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1.00</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Item is fully diverted and replaces a new purchase</w:t>
            </w:r>
          </w:p>
        </w:tc>
      </w:tr>
      <w:tr>
        <w:tc>
          <w:tcPr>
            <w:tcW w:type="dxa" w:w="3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Donation only (awaiting claim)</w:t>
            </w:r>
          </w:p>
        </w:tc>
        <w:tc>
          <w:tcPr>
            <w:tcW w:type="dxa" w:w="1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0.30</w:t>
            </w:r>
          </w:p>
        </w:tc>
        <w:tc>
          <w:tcPr>
            <w:tcW w:type="dxa" w:w="39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Partial credit, remainder locked until item is rescued</w:t>
            </w:r>
          </w:p>
        </w:tc>
      </w:tr>
      <w:tr>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Spot-and-report (fly-tipping)</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0.15</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Council reporting value; item may or may not be rescued</w:t>
            </w:r>
          </w:p>
        </w:tc>
      </w:tr>
      <w:tr>
        <w:tc>
          <w:tcPr>
            <w:tcW w:type="dxa" w:w="3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Refurbishment route</w:t>
            </w:r>
          </w:p>
        </w:tc>
        <w:tc>
          <w:tcPr>
            <w:tcW w:type="dxa" w:w="1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0.85</w:t>
            </w:r>
          </w:p>
        </w:tc>
        <w:tc>
          <w:tcPr>
            <w:tcW w:type="dxa" w:w="39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Net of 2.5 kg reupholstery / 1 kg cleaning emissions</w:t>
            </w:r>
          </w:p>
        </w:tc>
      </w:tr>
      <w:tr>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Recycling only (no reuse possible)</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0.15</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Small saving from material recovery, not reuse</w:t>
            </w:r>
          </w:p>
        </w:tc>
      </w:tr>
    </w:tbl>
    <w:p>
      <w:pPr>
        <w:pStyle w:val="Heading2"/>
        <w:spacing w:after="160" w:before="300"/>
      </w:pPr>
      <w:r>
        <w:rPr>
          <w:b/>
          <w:bCs/>
          <w:color w:val="3F6B3A"/>
          <w:sz w:val="28"/>
          <w:szCs w:val="28"/>
        </w:rPr>
        <w:t xml:space="preserve">6.1 Why This Matters</w:t>
      </w:r>
    </w:p>
    <w:p>
      <w:pPr>
        <w:spacing w:after="120" w:before="80"/>
      </w:pPr>
      <w:r>
        <w:rPr>
          <w:sz w:val="22"/>
          <w:szCs w:val="22"/>
        </w:rPr>
        <w:t xml:space="preserve">By applying different multipliers to different actions, TruCycle creates a natural incentive hierarchy. Users earn significantly more carbon points for rescuing reusable items than for flagging items for recycling. This aligns the reward system with the environmental waste hierarchy: prevention &gt; reuse &gt; recycling &gt; recovery &gt; disposal.</w:t>
      </w:r>
    </w:p>
    <w:p>
      <w:r>
        <w:br w:type="page"/>
      </w:r>
    </w:p>
    <w:p>
      <w:pPr>
        <w:pStyle w:val="Heading1"/>
        <w:spacing w:after="200" w:before="360"/>
      </w:pPr>
      <w:r>
        <w:rPr>
          <w:b/>
          <w:bCs/>
          <w:color w:val="0D3B24"/>
          <w:sz w:val="36"/>
          <w:szCs w:val="36"/>
        </w:rPr>
        <w:t xml:space="preserve">7. Carbon Points System</w:t>
      </w:r>
    </w:p>
    <w:p>
      <w:pPr>
        <w:pStyle w:val="Heading2"/>
        <w:spacing w:after="160" w:before="300"/>
      </w:pPr>
      <w:r>
        <w:rPr>
          <w:b/>
          <w:bCs/>
          <w:color w:val="3F6B3A"/>
          <w:sz w:val="28"/>
          <w:szCs w:val="28"/>
        </w:rPr>
        <w:t xml:space="preserve">7.1 The Conversion</w:t>
      </w:r>
    </w:p>
    <w:p>
      <w:pPr>
        <w:spacing w:after="120" w:before="80"/>
      </w:pPr>
      <w:r>
        <w:rPr>
          <w:sz w:val="22"/>
          <w:szCs w:val="22"/>
        </w:rPr>
        <w:t xml:space="preserve">1 kg CO2e saved = 1 carbon point.</w:t>
      </w:r>
    </w:p>
    <w:p>
      <w:pPr>
        <w:spacing w:after="120" w:before="80"/>
      </w:pPr>
      <w:r>
        <w:rPr>
          <w:sz w:val="22"/>
          <w:szCs w:val="22"/>
        </w:rPr>
        <w:t xml:space="preserve">This 1:1 ratio is intentional and transparent. Users see a number that represents their actual environmental contribution, not an inflated marketing figure. A user who has earned 500 carbon points has directly contributed to 500 kg CO2e being saved from landfill.</w:t>
      </w:r>
    </w:p>
    <w:p>
      <w:pPr>
        <w:pStyle w:val="Heading2"/>
        <w:spacing w:after="160" w:before="300"/>
      </w:pPr>
      <w:r>
        <w:rPr>
          <w:b/>
          <w:bCs/>
          <w:color w:val="3F6B3A"/>
          <w:sz w:val="28"/>
          <w:szCs w:val="28"/>
        </w:rPr>
        <w:t xml:space="preserve">7.2 Bonus Layers</w:t>
      </w:r>
    </w:p>
    <w:p>
      <w:pPr>
        <w:spacing w:after="120" w:before="80"/>
      </w:pPr>
      <w:r>
        <w:rPr>
          <w:sz w:val="22"/>
          <w:szCs w:val="22"/>
        </w:rPr>
        <w:t xml:space="preserve">On top of the base calculation, the following bonuses apply:</w:t>
      </w:r>
    </w:p>
    <w:p>
      <w:pPr>
        <w:pStyle w:val="ListParagraph"/>
        <w:numPr>
          <w:ilvl w:val="0"/>
          <w:numId w:val="2"/>
        </w:numPr>
        <w:spacing w:after="40" w:before="40"/>
      </w:pPr>
      <w:r>
        <w:rPr>
          <w:sz w:val="22"/>
          <w:szCs w:val="22"/>
        </w:rPr>
        <w:t xml:space="preserve">Spotter bonus: +10% for being the first person to list an item on TruCycle</w:t>
      </w:r>
    </w:p>
    <w:p>
      <w:pPr>
        <w:pStyle w:val="ListParagraph"/>
        <w:numPr>
          <w:ilvl w:val="0"/>
          <w:numId w:val="2"/>
        </w:numPr>
        <w:spacing w:after="40" w:before="40"/>
      </w:pPr>
      <w:r>
        <w:rPr>
          <w:sz w:val="22"/>
          <w:szCs w:val="22"/>
        </w:rPr>
        <w:t xml:space="preserve">Rescuer bonus: +5% for completing a pickup within 24 hours of listing</w:t>
      </w:r>
    </w:p>
    <w:p>
      <w:pPr>
        <w:pStyle w:val="ListParagraph"/>
        <w:numPr>
          <w:ilvl w:val="0"/>
          <w:numId w:val="2"/>
        </w:numPr>
        <w:spacing w:after="40" w:before="40"/>
      </w:pPr>
      <w:r>
        <w:rPr>
          <w:sz w:val="22"/>
          <w:szCs w:val="22"/>
        </w:rPr>
        <w:t xml:space="preserve">Streak bonus: +5% after 3 items in a month, +10% after 10 items</w:t>
      </w:r>
    </w:p>
    <w:p>
      <w:pPr>
        <w:pStyle w:val="ListParagraph"/>
        <w:numPr>
          <w:ilvl w:val="0"/>
          <w:numId w:val="2"/>
        </w:numPr>
        <w:spacing w:after="40" w:before="40"/>
      </w:pPr>
      <w:r>
        <w:rPr>
          <w:sz w:val="22"/>
          <w:szCs w:val="22"/>
        </w:rPr>
        <w:t xml:space="preserve">First-time user bonus: 50-point welcome credit to seed engagement</w:t>
      </w:r>
    </w:p>
    <w:p>
      <w:pPr>
        <w:spacing w:after="120" w:before="80"/>
      </w:pPr>
      <w:r>
        <w:rPr>
          <w:sz w:val="22"/>
          <w:szCs w:val="22"/>
        </w:rPr>
        <w:t xml:space="preserve">These bonuses are cosmetic adjustments on the user-facing point total. They do not alter the underlying CO2e calculation used for reporting and compliance.</w:t>
      </w:r>
    </w:p>
    <w:p>
      <w:pPr>
        <w:pStyle w:val="Heading2"/>
        <w:spacing w:after="160" w:before="300"/>
      </w:pPr>
      <w:r>
        <w:rPr>
          <w:b/>
          <w:bCs/>
          <w:color w:val="3F6B3A"/>
          <w:sz w:val="28"/>
          <w:szCs w:val="28"/>
        </w:rPr>
        <w:t xml:space="preserve">7.3 User-Facing Equivalencies</w:t>
      </w:r>
    </w:p>
    <w:p>
      <w:pPr>
        <w:spacing w:after="120" w:before="80"/>
      </w:pPr>
      <w:r>
        <w:rPr>
          <w:sz w:val="22"/>
          <w:szCs w:val="22"/>
        </w:rPr>
        <w:t xml:space="preserve">To make carbon savings meaningful to users who don't think in kg CO2e, we translate the numbers into familiar comparisons:</w:t>
      </w:r>
    </w:p>
    <w:p>
      <w:pPr>
        <w:pStyle w:val="ListParagraph"/>
        <w:numPr>
          <w:ilvl w:val="0"/>
          <w:numId w:val="2"/>
        </w:numPr>
        <w:spacing w:after="40" w:before="40"/>
      </w:pPr>
      <w:r>
        <w:rPr>
          <w:sz w:val="22"/>
          <w:szCs w:val="22"/>
        </w:rPr>
        <w:t xml:space="preserve">1 kg CO2e = approximately 4 miles not driven in an average UK car</w:t>
      </w:r>
    </w:p>
    <w:p>
      <w:pPr>
        <w:pStyle w:val="ListParagraph"/>
        <w:numPr>
          <w:ilvl w:val="0"/>
          <w:numId w:val="2"/>
        </w:numPr>
        <w:spacing w:after="40" w:before="40"/>
      </w:pPr>
      <w:r>
        <w:rPr>
          <w:sz w:val="22"/>
          <w:szCs w:val="22"/>
        </w:rPr>
        <w:t xml:space="preserve">100 kg CO2e = a London-Edinburgh return train journey</w:t>
      </w:r>
    </w:p>
    <w:p>
      <w:pPr>
        <w:pStyle w:val="ListParagraph"/>
        <w:numPr>
          <w:ilvl w:val="0"/>
          <w:numId w:val="2"/>
        </w:numPr>
        <w:spacing w:after="40" w:before="40"/>
      </w:pPr>
      <w:r>
        <w:rPr>
          <w:sz w:val="22"/>
          <w:szCs w:val="22"/>
        </w:rPr>
        <w:t xml:space="preserve">200 kg CO2e = a month of UK household gas heating in winter</w:t>
      </w:r>
    </w:p>
    <w:p>
      <w:pPr>
        <w:spacing w:after="120" w:before="80"/>
      </w:pPr>
      <w:r>
        <w:rPr>
          <w:sz w:val="22"/>
          <w:szCs w:val="22"/>
        </w:rPr>
        <w:t xml:space="preserve">A rescued 3-seater sofa (191 kg CO2e) therefore equates to 'roughly 680 miles not driven' or 'almost two London-Edinburgh train returns.'</w:t>
      </w:r>
    </w:p>
    <w:p>
      <w:r>
        <w:br w:type="page"/>
      </w:r>
    </w:p>
    <w:p>
      <w:pPr>
        <w:pStyle w:val="Heading1"/>
        <w:spacing w:after="200" w:before="360"/>
      </w:pPr>
      <w:r>
        <w:rPr>
          <w:b/>
          <w:bCs/>
          <w:color w:val="0D3B24"/>
          <w:sz w:val="36"/>
          <w:szCs w:val="36"/>
        </w:rPr>
        <w:t xml:space="preserve">8. Data and Governance</w:t>
      </w:r>
    </w:p>
    <w:p>
      <w:pPr>
        <w:pStyle w:val="Heading2"/>
        <w:spacing w:after="160" w:before="300"/>
      </w:pPr>
      <w:r>
        <w:rPr>
          <w:b/>
          <w:bCs/>
          <w:color w:val="3F6B3A"/>
          <w:sz w:val="28"/>
          <w:szCs w:val="28"/>
        </w:rPr>
        <w:t xml:space="preserve">8.1 Data Sources</w:t>
      </w:r>
    </w:p>
    <w:p>
      <w:pPr>
        <w:spacing w:after="120" w:before="80"/>
      </w:pPr>
      <w:r>
        <w:rPr>
          <w:sz w:val="22"/>
          <w:szCs w:val="22"/>
        </w:rPr>
        <w:t xml:space="preserve">The TruCycle item database contains 100+ categorised items spanning furniture and WEEE. Each item has a typical weight range, embodied carbon factor, and landfill disposal factor, derived from the standards listed in Section 2.</w:t>
      </w:r>
    </w:p>
    <w:p>
      <w:pPr>
        <w:spacing w:after="120" w:before="80"/>
      </w:pPr>
      <w:r>
        <w:rPr>
          <w:sz w:val="22"/>
          <w:szCs w:val="22"/>
        </w:rPr>
        <w:t xml:space="preserve">Weight estimates are based on UK retail product data and manufacturer specifications. Where an item's weight is known (e.g., from the product's EPD or manufacturer specification), that value is used. Where only a category is known, a conservative typical weight is applied.</w:t>
      </w:r>
    </w:p>
    <w:p>
      <w:pPr>
        <w:pStyle w:val="Heading2"/>
        <w:spacing w:after="160" w:before="300"/>
      </w:pPr>
      <w:r>
        <w:rPr>
          <w:b/>
          <w:bCs/>
          <w:color w:val="3F6B3A"/>
          <w:sz w:val="28"/>
          <w:szCs w:val="28"/>
        </w:rPr>
        <w:t xml:space="preserve">8.2 Version Control</w:t>
      </w:r>
    </w:p>
    <w:p>
      <w:pPr>
        <w:spacing w:after="120" w:before="80"/>
      </w:pPr>
      <w:r>
        <w:rPr>
          <w:sz w:val="22"/>
          <w:szCs w:val="22"/>
        </w:rPr>
        <w:t xml:space="preserve">This methodology document is versioned and dated. Every material change to factors, multipliers, or formulas is logged in a changelog. The current version and date are shown on the cover page.</w:t>
      </w:r>
    </w:p>
    <w:p>
      <w:pPr>
        <w:spacing w:after="120" w:before="80"/>
      </w:pPr>
      <w:r>
        <w:rPr>
          <w:sz w:val="22"/>
          <w:szCs w:val="22"/>
        </w:rPr>
        <w:t xml:space="preserve">DEFRA/DESNZ publish updated conversion factors annually in summer. TruCycle's factors will be refreshed within 60 days of each DEFRA update.</w:t>
      </w:r>
    </w:p>
    <w:p>
      <w:pPr>
        <w:pStyle w:val="Heading2"/>
        <w:spacing w:after="160" w:before="300"/>
      </w:pPr>
      <w:r>
        <w:rPr>
          <w:b/>
          <w:bCs/>
          <w:color w:val="3F6B3A"/>
          <w:sz w:val="28"/>
          <w:szCs w:val="28"/>
        </w:rPr>
        <w:t xml:space="preserve">8.3 Annual Review</w:t>
      </w:r>
    </w:p>
    <w:p>
      <w:pPr>
        <w:spacing w:after="120" w:before="80"/>
      </w:pPr>
      <w:r>
        <w:rPr>
          <w:sz w:val="22"/>
          <w:szCs w:val="22"/>
        </w:rPr>
        <w:t xml:space="preserve">Every 12 months, TruCycle will:</w:t>
      </w:r>
    </w:p>
    <w:p>
      <w:pPr>
        <w:pStyle w:val="ListParagraph"/>
        <w:numPr>
          <w:ilvl w:val="0"/>
          <w:numId w:val="2"/>
        </w:numPr>
        <w:spacing w:after="40" w:before="40"/>
      </w:pPr>
      <w:r>
        <w:rPr>
          <w:sz w:val="22"/>
          <w:szCs w:val="22"/>
        </w:rPr>
        <w:t xml:space="preserve">Refresh embodied carbon and landfill factors against the latest DEFRA/DESNZ release</w:t>
      </w:r>
    </w:p>
    <w:p>
      <w:pPr>
        <w:pStyle w:val="ListParagraph"/>
        <w:numPr>
          <w:ilvl w:val="0"/>
          <w:numId w:val="2"/>
        </w:numPr>
        <w:spacing w:after="40" w:before="40"/>
      </w:pPr>
      <w:r>
        <w:rPr>
          <w:sz w:val="22"/>
          <w:szCs w:val="22"/>
        </w:rPr>
        <w:t xml:space="preserve">Review the substitution rate against new peer-reviewed research on reuse rebound effects</w:t>
      </w:r>
    </w:p>
    <w:p>
      <w:pPr>
        <w:pStyle w:val="ListParagraph"/>
        <w:numPr>
          <w:ilvl w:val="0"/>
          <w:numId w:val="2"/>
        </w:numPr>
        <w:spacing w:after="40" w:before="40"/>
      </w:pPr>
      <w:r>
        <w:rPr>
          <w:sz w:val="22"/>
          <w:szCs w:val="22"/>
        </w:rPr>
        <w:t xml:space="preserve">Audit a sample of transaction calculations against the methodology</w:t>
      </w:r>
    </w:p>
    <w:p>
      <w:pPr>
        <w:pStyle w:val="ListParagraph"/>
        <w:numPr>
          <w:ilvl w:val="0"/>
          <w:numId w:val="2"/>
        </w:numPr>
        <w:spacing w:after="40" w:before="40"/>
      </w:pPr>
      <w:r>
        <w:rPr>
          <w:sz w:val="22"/>
          <w:szCs w:val="22"/>
        </w:rPr>
        <w:t xml:space="preserve">Publish a short methodology update note for the website</w:t>
      </w:r>
    </w:p>
    <w:p>
      <w:pPr>
        <w:pStyle w:val="Heading2"/>
        <w:spacing w:after="160" w:before="300"/>
      </w:pPr>
      <w:r>
        <w:rPr>
          <w:b/>
          <w:bCs/>
          <w:color w:val="3F6B3A"/>
          <w:sz w:val="28"/>
          <w:szCs w:val="28"/>
        </w:rPr>
        <w:t xml:space="preserve">8.4 Third-Party Verification</w:t>
      </w:r>
    </w:p>
    <w:p>
      <w:pPr>
        <w:spacing w:after="120" w:before="80"/>
      </w:pPr>
      <w:r>
        <w:rPr>
          <w:sz w:val="22"/>
          <w:szCs w:val="22"/>
        </w:rPr>
        <w:t xml:space="preserve">Once TruCycle reaches 10,000 transactions or secures a council contract that requires verified impact reporting (whichever comes first), we will commission a third-party review of this methodology from a qualified sustainability consultancy. The review findings will be published alongside this document.</w:t>
      </w:r>
    </w:p>
    <w:p>
      <w:r>
        <w:br w:type="page"/>
      </w:r>
    </w:p>
    <w:p>
      <w:pPr>
        <w:pStyle w:val="Heading1"/>
        <w:spacing w:after="200" w:before="360"/>
      </w:pPr>
      <w:r>
        <w:rPr>
          <w:b/>
          <w:bCs/>
          <w:color w:val="0D3B24"/>
          <w:sz w:val="36"/>
          <w:szCs w:val="36"/>
        </w:rPr>
        <w:t xml:space="preserve">9. Limitations and Conservative Choices</w:t>
      </w:r>
    </w:p>
    <w:p>
      <w:pPr>
        <w:spacing w:after="120" w:before="80"/>
      </w:pPr>
      <w:r>
        <w:rPr>
          <w:sz w:val="22"/>
          <w:szCs w:val="22"/>
        </w:rPr>
        <w:t xml:space="preserve">TruCycle's methodology errs on the side of under-claiming rather than over-claiming. Where assumptions must be made, we take the more conservative option. This section lists the key areas where our numbers are likely understating actual impact.</w:t>
      </w:r>
    </w:p>
    <w:p>
      <w:pPr>
        <w:pStyle w:val="Heading2"/>
        <w:spacing w:after="160" w:before="300"/>
      </w:pPr>
      <w:r>
        <w:rPr>
          <w:b/>
          <w:bCs/>
          <w:color w:val="3F6B3A"/>
          <w:sz w:val="28"/>
          <w:szCs w:val="28"/>
        </w:rPr>
        <w:t xml:space="preserve">9.1 Substitution rate</w:t>
      </w:r>
    </w:p>
    <w:p>
      <w:pPr>
        <w:spacing w:after="120" w:before="80"/>
      </w:pPr>
      <w:r>
        <w:rPr>
          <w:sz w:val="22"/>
          <w:szCs w:val="22"/>
        </w:rPr>
        <w:t xml:space="preserve">We apply 0.6 substitution rate. The actual rate for high-demand items (working fridges, good-condition sofas in central London) is almost certainly higher. We could justify 0.7 or 0.75 but have chosen not to until we have transaction data to support it.</w:t>
      </w:r>
    </w:p>
    <w:p>
      <w:pPr>
        <w:pStyle w:val="Heading2"/>
        <w:spacing w:after="160" w:before="300"/>
      </w:pPr>
      <w:r>
        <w:rPr>
          <w:b/>
          <w:bCs/>
          <w:color w:val="3F6B3A"/>
          <w:sz w:val="28"/>
          <w:szCs w:val="28"/>
        </w:rPr>
        <w:t xml:space="preserve">9.2 Use-phase emissions</w:t>
      </w:r>
    </w:p>
    <w:p>
      <w:pPr>
        <w:spacing w:after="120" w:before="80"/>
      </w:pPr>
      <w:r>
        <w:rPr>
          <w:sz w:val="22"/>
          <w:szCs w:val="22"/>
        </w:rPr>
        <w:t xml:space="preserve">Our embodied carbon values are cradle-to-gate (raw material through manufacture). They do not include use-phase emissions (electricity to run a fridge, for example) because those emissions would be generated regardless of whether the appliance is new or reused. This is consistent with PAS 2050 boundary definitions.</w:t>
      </w:r>
    </w:p>
    <w:p>
      <w:pPr>
        <w:pStyle w:val="Heading2"/>
        <w:spacing w:after="160" w:before="300"/>
      </w:pPr>
      <w:r>
        <w:rPr>
          <w:b/>
          <w:bCs/>
          <w:color w:val="3F6B3A"/>
          <w:sz w:val="28"/>
          <w:szCs w:val="28"/>
        </w:rPr>
        <w:t xml:space="preserve">9.3 Longer product life</w:t>
      </w:r>
    </w:p>
    <w:p>
      <w:pPr>
        <w:spacing w:after="120" w:before="80"/>
      </w:pPr>
      <w:r>
        <w:rPr>
          <w:sz w:val="22"/>
          <w:szCs w:val="22"/>
        </w:rPr>
        <w:t xml:space="preserve">When an item is reused, its total useful life extends. If a sofa lasts 10 years new and gets 5 more years of use through reuse, the environmental value per year of life is higher. Our methodology does not currently apply a life-extension multiplier. This is conservative — a more generous methodology would credit reuse with extending product lifetimes.</w:t>
      </w:r>
    </w:p>
    <w:p>
      <w:pPr>
        <w:pStyle w:val="Heading2"/>
        <w:spacing w:after="160" w:before="300"/>
      </w:pPr>
      <w:r>
        <w:rPr>
          <w:b/>
          <w:bCs/>
          <w:color w:val="3F6B3A"/>
          <w:sz w:val="28"/>
          <w:szCs w:val="28"/>
        </w:rPr>
        <w:t xml:space="preserve">9.4 Avoided manufacturing supply chain</w:t>
      </w:r>
    </w:p>
    <w:p>
      <w:pPr>
        <w:spacing w:after="120" w:before="80"/>
      </w:pPr>
      <w:r>
        <w:rPr>
          <w:sz w:val="22"/>
          <w:szCs w:val="22"/>
        </w:rPr>
        <w:t xml:space="preserve">When a rescued item replaces a new purchase, the entire supply chain for that new item (mining, shipping, factory energy, packaging, retail) is avoided. Our methodology captures the cradle-to-gate embodied carbon, which includes most of this. It does not separately credit retail and last-mile delivery emissions, which would add 5–15% to typical savings.</w:t>
      </w:r>
    </w:p>
    <w:p>
      <w:pPr>
        <w:pBdr>
          <w:bottom w:val="single" w:color="3F6B3A" w:sz="6" w:space="1"/>
        </w:pBdr>
        <w:spacing w:after="240" w:before="120"/>
      </w:pPr>
      <w:r>
        <w:t xml:space="preserve"/>
      </w:r>
    </w:p>
    <w:p>
      <w:pPr>
        <w:spacing w:after="120" w:before="400"/>
        <w:jc w:val="center"/>
      </w:pPr>
      <w:r>
        <w:rPr>
          <w:i/>
          <w:iCs/>
          <w:color w:val="6B7280"/>
          <w:sz w:val="18"/>
          <w:szCs w:val="18"/>
        </w:rPr>
        <w:t xml:space="preserve">www.trucycle.co.uk  ·  Rescue. Rehome. Pay it forward.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3B2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3F6B3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D3B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TruCycle Carbon Calculation Methodology</dc:title>
  <dc:creator>TruCycle</dc:creator>
  <cp:lastModifiedBy>Un-named</cp:lastModifiedBy>
  <cp:revision>1</cp:revision>
  <dcterms:created xsi:type="dcterms:W3CDTF">2026-04-19T16:28:38.995Z</dcterms:created>
  <dcterms:modified xsi:type="dcterms:W3CDTF">2026-04-19T16:28:38.996Z</dcterms:modified>
</cp:coreProperties>
</file>

<file path=docProps/custom.xml><?xml version="1.0" encoding="utf-8"?>
<Properties xmlns="http://schemas.openxmlformats.org/officeDocument/2006/custom-properties" xmlns:vt="http://schemas.openxmlformats.org/officeDocument/2006/docPropsVTypes"/>
</file>