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65D"/>
          <w:sz w:val="56"/>
          <w:szCs w:val="56"/>
        </w:rPr>
        <w:t xml:space="preserve">FIXARS LABORATORIES</w:t>
      </w:r>
    </w:p>
    <w:p>
      <w:pPr>
        <w:spacing w:after="100"/>
        <w:jc w:val="center"/>
      </w:pPr>
      <w:r>
        <w:rPr>
          <w:rFonts w:ascii="Arial" w:cs="Arial" w:eastAsia="Arial" w:hAnsi="Arial"/>
          <w:color w:val="2E75B6"/>
          <w:sz w:val="32"/>
          <w:szCs w:val="32"/>
        </w:rPr>
        <w:t xml:space="preserve">AI Think Tank &amp; Solutions Laboratory</w:t>
      </w:r>
    </w:p>
    <w:p>
      <w:pPr>
        <w:spacing w:after="60"/>
        <w:jc w:val="center"/>
      </w:pPr>
      <w:r>
        <w:rPr>
          <w:rFonts w:ascii="Arial" w:cs="Arial" w:eastAsia="Arial" w:hAnsi="Arial"/>
          <w:i/>
          <w:iCs/>
          <w:color w:val="2E75B6"/>
          <w:sz w:val="28"/>
          <w:szCs w:val="28"/>
        </w:rPr>
        <w:t xml:space="preserve">fixars.ai</w:t>
      </w:r>
    </w:p>
    <w:p>
      <w:pPr>
        <w:spacing w:after="600"/>
      </w:pPr>
    </w:p>
    <w:p>
      <w:pPr>
        <w:spacing w:after="200"/>
        <w:jc w:val="center"/>
      </w:pPr>
      <w:r>
        <w:rPr>
          <w:rFonts w:ascii="Arial" w:cs="Arial" w:eastAsia="Arial" w:hAnsi="Arial"/>
          <w:b/>
          <w:bCs/>
          <w:color w:val="1B365D"/>
          <w:sz w:val="40"/>
          <w:szCs w:val="40"/>
        </w:rPr>
        <w:t xml:space="preserve">Business Plan &amp; Strategy Document</w:t>
      </w:r>
    </w:p>
    <w:p>
      <w:pPr>
        <w:spacing w:after="100"/>
        <w:jc w:val="center"/>
      </w:pPr>
      <w:r>
        <w:rPr>
          <w:rFonts w:ascii="Arial" w:cs="Arial" w:eastAsia="Arial" w:hAnsi="Arial"/>
          <w:color w:val="333333"/>
          <w:sz w:val="32"/>
          <w:szCs w:val="32"/>
        </w:rPr>
        <w:t xml:space="preserve">2026–2029</w:t>
      </w:r>
    </w:p>
    <w:p>
      <w:pPr>
        <w:spacing w:after="800"/>
      </w:pPr>
    </w:p>
    <w:p>
      <w:pPr>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Prepared 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Ade — Founder &amp; CEO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March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STRICTLY CONFIDENTIAL</w:t>
            </w:r>
          </w:p>
        </w:tc>
      </w:tr>
    </w:tbl>
    <w:p>
      <w:r>
        <w:br w:type="page"/>
      </w:r>
    </w:p>
    <w:p>
      <w:pPr>
        <w:pStyle w:val="Heading1"/>
        <w:spacing w:after="200" w:before="360"/>
      </w:pPr>
      <w:r>
        <w:t xml:space="preserve">Table of Contents</w:t>
      </w:r>
    </w:p>
    <w:p>
      <w:pPr>
        <w:spacing w:after="60"/>
      </w:pPr>
      <w:r>
        <w:rPr>
          <w:rFonts w:ascii="Arial" w:cs="Arial" w:eastAsia="Arial" w:hAnsi="Arial"/>
          <w:color w:val="2E75B6"/>
          <w:sz w:val="24"/>
          <w:szCs w:val="24"/>
        </w:rPr>
        <w:t xml:space="preserve">1. Executive Summary</w:t>
      </w:r>
    </w:p>
    <w:p>
      <w:pPr>
        <w:spacing w:after="60"/>
      </w:pPr>
      <w:r>
        <w:rPr>
          <w:rFonts w:ascii="Arial" w:cs="Arial" w:eastAsia="Arial" w:hAnsi="Arial"/>
          <w:color w:val="2E75B6"/>
          <w:sz w:val="24"/>
          <w:szCs w:val="24"/>
        </w:rPr>
        <w:t xml:space="preserve">2. Company Overview &amp; Corporate Structure</w:t>
      </w:r>
    </w:p>
    <w:p>
      <w:pPr>
        <w:spacing w:after="60"/>
      </w:pPr>
      <w:r>
        <w:rPr>
          <w:rFonts w:ascii="Arial" w:cs="Arial" w:eastAsia="Arial" w:hAnsi="Arial"/>
          <w:color w:val="2E75B6"/>
          <w:sz w:val="24"/>
          <w:szCs w:val="24"/>
        </w:rPr>
        <w:t xml:space="preserve">3. The Problem: Town vs. Gown</w:t>
      </w:r>
    </w:p>
    <w:p>
      <w:pPr>
        <w:spacing w:after="60"/>
      </w:pPr>
      <w:r>
        <w:rPr>
          <w:rFonts w:ascii="Arial" w:cs="Arial" w:eastAsia="Arial" w:hAnsi="Arial"/>
          <w:color w:val="2E75B6"/>
          <w:sz w:val="24"/>
          <w:szCs w:val="24"/>
        </w:rPr>
        <w:t xml:space="preserve">4. The Solution: Fixars Laboratories</w:t>
      </w:r>
    </w:p>
    <w:p>
      <w:pPr>
        <w:spacing w:after="60"/>
      </w:pPr>
      <w:r>
        <w:rPr>
          <w:rFonts w:ascii="Arial" w:cs="Arial" w:eastAsia="Arial" w:hAnsi="Arial"/>
          <w:color w:val="2E75B6"/>
          <w:sz w:val="24"/>
          <w:szCs w:val="24"/>
        </w:rPr>
        <w:t xml:space="preserve">5. Market Landscape &amp; AI Climate</w:t>
      </w:r>
    </w:p>
    <w:p>
      <w:pPr>
        <w:spacing w:after="60"/>
      </w:pPr>
      <w:r>
        <w:rPr>
          <w:rFonts w:ascii="Arial" w:cs="Arial" w:eastAsia="Arial" w:hAnsi="Arial"/>
          <w:color w:val="2E75B6"/>
          <w:sz w:val="24"/>
          <w:szCs w:val="24"/>
        </w:rPr>
        <w:t xml:space="preserve">6. Competitive Positioning</w:t>
      </w:r>
    </w:p>
    <w:p>
      <w:pPr>
        <w:spacing w:after="60"/>
      </w:pPr>
      <w:r>
        <w:rPr>
          <w:rFonts w:ascii="Arial" w:cs="Arial" w:eastAsia="Arial" w:hAnsi="Arial"/>
          <w:color w:val="2E75B6"/>
          <w:sz w:val="24"/>
          <w:szCs w:val="24"/>
        </w:rPr>
        <w:t xml:space="preserve">7. Products &amp; Services Portfolio</w:t>
      </w:r>
    </w:p>
    <w:p>
      <w:pPr>
        <w:spacing w:after="60"/>
      </w:pPr>
      <w:r>
        <w:rPr>
          <w:rFonts w:ascii="Arial" w:cs="Arial" w:eastAsia="Arial" w:hAnsi="Arial"/>
          <w:color w:val="2E75B6"/>
          <w:sz w:val="24"/>
          <w:szCs w:val="24"/>
        </w:rPr>
        <w:t xml:space="preserve">8. Revenue Model &amp; Sequencing Strategy</w:t>
      </w:r>
    </w:p>
    <w:p>
      <w:pPr>
        <w:spacing w:after="60"/>
      </w:pPr>
      <w:r>
        <w:rPr>
          <w:rFonts w:ascii="Arial" w:cs="Arial" w:eastAsia="Arial" w:hAnsi="Arial"/>
          <w:color w:val="2E75B6"/>
          <w:sz w:val="24"/>
          <w:szCs w:val="24"/>
        </w:rPr>
        <w:t xml:space="preserve">9. Go-to-Market Strategy</w:t>
      </w:r>
    </w:p>
    <w:p>
      <w:pPr>
        <w:spacing w:after="60"/>
      </w:pPr>
      <w:r>
        <w:rPr>
          <w:rFonts w:ascii="Arial" w:cs="Arial" w:eastAsia="Arial" w:hAnsi="Arial"/>
          <w:color w:val="2E75B6"/>
          <w:sz w:val="24"/>
          <w:szCs w:val="24"/>
        </w:rPr>
        <w:t xml:space="preserve">10. Financial Projections (3-Year)</w:t>
      </w:r>
    </w:p>
    <w:p>
      <w:pPr>
        <w:spacing w:after="60"/>
      </w:pPr>
      <w:r>
        <w:rPr>
          <w:rFonts w:ascii="Arial" w:cs="Arial" w:eastAsia="Arial" w:hAnsi="Arial"/>
          <w:color w:val="2E75B6"/>
          <w:sz w:val="24"/>
          <w:szCs w:val="24"/>
        </w:rPr>
        <w:t xml:space="preserve">11. Funding Strategy &amp; Investment Roadmap</w:t>
      </w:r>
    </w:p>
    <w:p>
      <w:pPr>
        <w:spacing w:after="60"/>
      </w:pPr>
      <w:r>
        <w:rPr>
          <w:rFonts w:ascii="Arial" w:cs="Arial" w:eastAsia="Arial" w:hAnsi="Arial"/>
          <w:color w:val="2E75B6"/>
          <w:sz w:val="24"/>
          <w:szCs w:val="24"/>
        </w:rPr>
        <w:t xml:space="preserve">12. Team &amp; Talent Strategy</w:t>
      </w:r>
    </w:p>
    <w:p>
      <w:pPr>
        <w:spacing w:after="60"/>
      </w:pPr>
      <w:r>
        <w:rPr>
          <w:rFonts w:ascii="Arial" w:cs="Arial" w:eastAsia="Arial" w:hAnsi="Arial"/>
          <w:color w:val="2E75B6"/>
          <w:sz w:val="24"/>
          <w:szCs w:val="24"/>
        </w:rPr>
        <w:t xml:space="preserve">13. Risk Analysis &amp; Mitigation</w:t>
      </w:r>
    </w:p>
    <w:p>
      <w:pPr>
        <w:spacing w:after="60"/>
      </w:pPr>
      <w:r>
        <w:rPr>
          <w:rFonts w:ascii="Arial" w:cs="Arial" w:eastAsia="Arial" w:hAnsi="Arial"/>
          <w:color w:val="2E75B6"/>
          <w:sz w:val="24"/>
          <w:szCs w:val="24"/>
        </w:rPr>
        <w:t xml:space="preserve">14. Key Milestones &amp; Execution Timeline</w:t>
      </w:r>
    </w:p>
    <w:p>
      <w:pPr>
        <w:spacing w:after="60"/>
      </w:pPr>
      <w:r>
        <w:rPr>
          <w:rFonts w:ascii="Arial" w:cs="Arial" w:eastAsia="Arial" w:hAnsi="Arial"/>
          <w:color w:val="2E75B6"/>
          <w:sz w:val="24"/>
          <w:szCs w:val="24"/>
        </w:rPr>
        <w:t xml:space="preserve">15. Appendix: Registration Action Plan</w:t>
      </w:r>
    </w:p>
    <w:p>
      <w:r>
        <w:br w:type="page"/>
      </w:r>
    </w:p>
    <w:p>
      <w:pPr>
        <w:pStyle w:val="Heading1"/>
        <w:spacing w:after="200" w:before="360"/>
      </w:pPr>
      <w:r>
        <w:t xml:space="preserve">1. Executive Summary</w:t>
      </w:r>
    </w:p>
    <w:p>
      <w:pPr>
        <w:spacing w:after="160"/>
        <w:jc w:val="left"/>
      </w:pPr>
      <w:r>
        <w:rPr>
          <w:rFonts w:ascii="Arial" w:cs="Arial" w:eastAsia="Arial" w:hAnsi="Arial"/>
          <w:b w:val="false"/>
          <w:bCs w:val="false"/>
          <w:i w:val="false"/>
          <w:iCs w:val="false"/>
          <w:color w:val="333333"/>
          <w:sz w:val="24"/>
          <w:szCs w:val="24"/>
        </w:rPr>
        <w:t xml:space="preserve">Fixars Laboratories (fixars.ai) is an AI think tank and solutions laboratory being established as a UK limited company, with majority ownership (51%) held by Fixars Group Ltd (Nigeria) and 15% held directly by founder Ade. It occupies a unique position at the intersection of applied research, AI product development, and the innovation-to-industry pipeline — specifically targeting the vast, underserved gap between academic research and commercial application in Africa and emerging markets.</w:t>
      </w:r>
    </w:p>
    <w:p>
      <w:pPr>
        <w:spacing w:after="160"/>
        <w:jc w:val="left"/>
      </w:pPr>
      <w:r>
        <w:rPr>
          <w:rFonts w:ascii="Arial" w:cs="Arial" w:eastAsia="Arial" w:hAnsi="Arial"/>
          <w:b w:val="false"/>
          <w:bCs w:val="false"/>
          <w:i w:val="false"/>
          <w:iCs w:val="false"/>
          <w:color w:val="333333"/>
          <w:sz w:val="24"/>
          <w:szCs w:val="24"/>
        </w:rPr>
        <w:t xml:space="preserve">The lab operates on a dual mandate: it serves as the AI engine room for the entire Fixars superapp ecosystem (ConceptNexus, VestDen, CollaBoard, SkillsCanvas) while simultaneously building and selling AI solutions, fine-tuned models, and research services to external clients. This dual revenue structure — internal management fees plus external commercial income — provides both stability and growth optionality from day one.</w:t>
      </w:r>
    </w:p>
    <w:p>
      <w:pPr>
        <w:spacing w:after="160"/>
        <w:jc w:val="left"/>
      </w:pPr>
      <w:r>
        <w:rPr>
          <w:rFonts w:ascii="Arial" w:cs="Arial" w:eastAsia="Arial" w:hAnsi="Arial"/>
          <w:b w:val="false"/>
          <w:bCs w:val="false"/>
          <w:i w:val="false"/>
          <w:iCs w:val="false"/>
          <w:color w:val="333333"/>
          <w:sz w:val="24"/>
          <w:szCs w:val="24"/>
        </w:rPr>
        <w:t xml:space="preserve">Fixars Laboratories is entering the market at a pivotal moment. The global AI market is projected to exceed $500 billion by 2026, growing at approximately 30% annually. The UK government has committed over £2 billion to sovereign AI infrastructure, with dedicated funding streams for AI startups through Innovate UK, SEIS/EIS schemes, and R&amp;D tax credits. In Nigeria, NITDA is finalising its National AI Strategy and launching regulatory sandboxes for AI startups, while the education ministry is building a national research thesis repository — an asset that Fixars Labs is uniquely positioned to transform into an AI-powered knowledge platform.</w:t>
      </w:r>
    </w:p>
    <w:p>
      <w:pPr>
        <w:spacing w:after="160"/>
        <w:jc w:val="left"/>
      </w:pPr>
      <w:r>
        <w:rPr>
          <w:rFonts w:ascii="Arial" w:cs="Arial" w:eastAsia="Arial" w:hAnsi="Arial"/>
          <w:b w:val="false"/>
          <w:bCs w:val="false"/>
          <w:i w:val="false"/>
          <w:iCs w:val="false"/>
          <w:color w:val="333333"/>
          <w:sz w:val="24"/>
          <w:szCs w:val="24"/>
        </w:rPr>
        <w:t xml:space="preserve">This document presents the comprehensive business plan, market strategy, financial projections, and execution roadmap for Fixars Laboratories from 2026 to 2029.</w:t>
      </w:r>
    </w:p>
    <w:p>
      <w:r>
        <w:br w:type="page"/>
      </w:r>
    </w:p>
    <w:p>
      <w:pPr>
        <w:pStyle w:val="Heading1"/>
        <w:spacing w:after="200" w:before="360"/>
      </w:pPr>
      <w:r>
        <w:t xml:space="preserve">2. Company Overview &amp; Corporate Structure</w:t>
      </w:r>
    </w:p>
    <w:p>
      <w:pPr>
        <w:pStyle w:val="Heading2"/>
        <w:spacing w:after="200" w:before="240"/>
      </w:pPr>
      <w:r>
        <w:t xml:space="preserve">2.1 Entity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Entity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Laboratories Ltd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Trading 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AI / Fixars Labs / FixLAB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 Registration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 be registered at Companies House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Parent 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Group Ltd (Nigeria) — 51% controlling stake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Founder Direct Stake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Ade — 15% personal holding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Effective Founder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63.45% (48.45% via Group + 15% direct)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SIC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72190 (R&amp;D in natural sciences and engineering)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Geography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Registered: UK. Operations: UK + Nigeria (remote AI team)</w:t>
            </w:r>
          </w:p>
        </w:tc>
      </w:tr>
    </w:tbl>
    <w:p>
      <w:pPr>
        <w:spacing w:after="200"/>
      </w:pPr>
    </w:p>
    <w:p>
      <w:pPr>
        <w:pStyle w:val="Heading2"/>
        <w:spacing w:after="200" w:before="240"/>
      </w:pPr>
      <w:r>
        <w:t xml:space="preserve">2.2 Corporate Structure</w:t>
      </w:r>
    </w:p>
    <w:p>
      <w:pPr>
        <w:spacing w:after="160"/>
        <w:jc w:val="left"/>
      </w:pPr>
      <w:r>
        <w:rPr>
          <w:rFonts w:ascii="Arial" w:cs="Arial" w:eastAsia="Arial" w:hAnsi="Arial"/>
          <w:b w:val="false"/>
          <w:bCs w:val="false"/>
          <w:i w:val="false"/>
          <w:iCs w:val="false"/>
          <w:color w:val="333333"/>
          <w:sz w:val="24"/>
          <w:szCs w:val="24"/>
        </w:rPr>
        <w:t xml:space="preserve">Fixars Laboratories sits within a multi-entity portfolio spanning 11 entities across two jurisdictions (UK and Nigeria). The parent holding company, Fixars Group Ltd (registered in Nigeria as Fixars Multibusiness Concepts Ltd, pending name change), owns controlling stakes in seven Nigerian sub-entities and the UK-based Fixars Laboratories. Three additional UK entities (TruCycle, DepositGuard, PathMate) operate independently outside the Fixars Group structure.</w:t>
      </w:r>
    </w:p>
    <w:p>
      <w:pPr>
        <w:spacing w:after="160"/>
        <w:jc w:val="left"/>
      </w:pPr>
      <w:r>
        <w:rPr>
          <w:rFonts w:ascii="Arial" w:cs="Arial" w:eastAsia="Arial" w:hAnsi="Arial"/>
          <w:b w:val="false"/>
          <w:bCs w:val="false"/>
          <w:i w:val="false"/>
          <w:iCs w:val="false"/>
          <w:color w:val="333333"/>
          <w:sz w:val="24"/>
          <w:szCs w:val="24"/>
        </w:rPr>
        <w:t xml:space="preserve">The dual-layer ownership structure serves three purposes: it preserves Ade’s effective majority control (63.45%) across all sub-entities; it creates clean separation for investor entry at the entity level without diluting the parent; and it positions Fixars Labs under UK jurisdiction for credibility, funding access, and IP protection while maintaining strategic control from the Nigerian parent.</w:t>
      </w:r>
    </w:p>
    <w:p>
      <w:r>
        <w:br w:type="page"/>
      </w:r>
    </w:p>
    <w:p>
      <w:pPr>
        <w:pStyle w:val="Heading1"/>
        <w:spacing w:after="200" w:before="360"/>
      </w:pPr>
      <w:r>
        <w:t xml:space="preserve">3. The Problem: Town vs. Gown</w:t>
      </w:r>
    </w:p>
    <w:p>
      <w:pPr>
        <w:spacing w:after="160"/>
        <w:jc w:val="left"/>
      </w:pPr>
      <w:r>
        <w:rPr>
          <w:rFonts w:ascii="Arial" w:cs="Arial" w:eastAsia="Arial" w:hAnsi="Arial"/>
          <w:b w:val="false"/>
          <w:bCs w:val="false"/>
          <w:i w:val="false"/>
          <w:iCs w:val="false"/>
          <w:color w:val="333333"/>
          <w:sz w:val="24"/>
          <w:szCs w:val="24"/>
        </w:rPr>
        <w:t xml:space="preserve">Fixars Laboratories was conceived over five years ago around a fundamental observation: there is a persistent, widening divide between academic research and industrial application in developing nations, particularly Nigeria and across Africa. Universities produce research that rarely leaves the campus. Industries struggle with problems that published research has already solved. The knowledge exists, but the bridge does not.</w:t>
      </w:r>
    </w:p>
    <w:p>
      <w:pPr>
        <w:spacing w:after="160"/>
        <w:jc w:val="left"/>
      </w:pPr>
      <w:r>
        <w:rPr>
          <w:rFonts w:ascii="Arial" w:cs="Arial" w:eastAsia="Arial" w:hAnsi="Arial"/>
          <w:b/>
          <w:bCs/>
          <w:color w:val="333333"/>
          <w:sz w:val="24"/>
          <w:szCs w:val="24"/>
        </w:rPr>
        <w:t xml:space="preserve">Think of it like a hydroelectric dam with no power lines. </w:t>
      </w:r>
      <w:r>
        <w:rPr>
          <w:rFonts w:ascii="Arial" w:cs="Arial" w:eastAsia="Arial" w:hAnsi="Arial"/>
          <w:color w:val="333333"/>
          <w:sz w:val="24"/>
          <w:szCs w:val="24"/>
        </w:rPr>
        <w:t xml:space="preserve">Nigerian universities generate enormous volumes of research — theses, dissertations, experimental findings — but almost none of it reaches the companies, policymakers, or entrepreneurs who could use it. The dam is full; the cities are dark.</w:t>
      </w:r>
    </w:p>
    <w:p>
      <w:pPr>
        <w:pStyle w:val="Heading2"/>
        <w:spacing w:after="200" w:before="240"/>
      </w:pPr>
      <w:r>
        <w:t xml:space="preserve">3.1 The Scale of the Problem</w:t>
      </w:r>
    </w:p>
    <w:p>
      <w:pPr>
        <w:pStyle w:val="ListParagraph"/>
        <w:numPr>
          <w:ilvl w:val="0"/>
          <w:numId w:val="2"/>
        </w:numPr>
        <w:spacing w:after="80"/>
      </w:pPr>
      <w:r>
        <w:rPr>
          <w:rFonts w:ascii="Arial" w:cs="Arial" w:eastAsia="Arial" w:hAnsi="Arial"/>
          <w:b/>
          <w:bCs/>
          <w:color w:val="333333"/>
          <w:sz w:val="24"/>
          <w:szCs w:val="24"/>
        </w:rPr>
        <w:t xml:space="preserve">Research waste: </w:t>
      </w:r>
      <w:r>
        <w:rPr>
          <w:rFonts w:ascii="Arial" w:cs="Arial" w:eastAsia="Arial" w:hAnsi="Arial"/>
          <w:color w:val="333333"/>
          <w:sz w:val="24"/>
          <w:szCs w:val="24"/>
        </w:rPr>
        <w:t xml:space="preserve">The vast majority of Nigerian university research is never commercialised, applied, or even read beyond the examining committee. Institutional repositories exist (UNN, University of Ibadan, UNIZIK) but are fragmented, poorly indexed, and disconnected from industry.</w:t>
      </w:r>
    </w:p>
    <w:p>
      <w:pPr>
        <w:pStyle w:val="ListParagraph"/>
        <w:numPr>
          <w:ilvl w:val="0"/>
          <w:numId w:val="2"/>
        </w:numPr>
        <w:spacing w:after="80"/>
      </w:pPr>
      <w:r>
        <w:rPr>
          <w:rFonts w:ascii="Arial" w:cs="Arial" w:eastAsia="Arial" w:hAnsi="Arial"/>
          <w:b/>
          <w:bCs/>
          <w:color w:val="333333"/>
          <w:sz w:val="24"/>
          <w:szCs w:val="24"/>
        </w:rPr>
        <w:t xml:space="preserve">Innovation starvation: </w:t>
      </w:r>
      <w:r>
        <w:rPr>
          <w:rFonts w:ascii="Arial" w:cs="Arial" w:eastAsia="Arial" w:hAnsi="Arial"/>
          <w:color w:val="333333"/>
          <w:sz w:val="24"/>
          <w:szCs w:val="24"/>
        </w:rPr>
        <w:t xml:space="preserve">Nigerian SMEs and enterprises lack access to applied research that could improve their products, processes, and competitiveness. They reinvent wheels that academia solved years ago.</w:t>
      </w:r>
    </w:p>
    <w:p>
      <w:pPr>
        <w:pStyle w:val="ListParagraph"/>
        <w:numPr>
          <w:ilvl w:val="0"/>
          <w:numId w:val="2"/>
        </w:numPr>
        <w:spacing w:after="80"/>
      </w:pPr>
      <w:r>
        <w:rPr>
          <w:rFonts w:ascii="Arial" w:cs="Arial" w:eastAsia="Arial" w:hAnsi="Arial"/>
          <w:b/>
          <w:bCs/>
          <w:color w:val="333333"/>
          <w:sz w:val="24"/>
          <w:szCs w:val="24"/>
        </w:rPr>
        <w:t xml:space="preserve">Brain drain amplifier: </w:t>
      </w:r>
      <w:r>
        <w:rPr>
          <w:rFonts w:ascii="Arial" w:cs="Arial" w:eastAsia="Arial" w:hAnsi="Arial"/>
          <w:color w:val="333333"/>
          <w:sz w:val="24"/>
          <w:szCs w:val="24"/>
        </w:rPr>
        <w:t xml:space="preserve">Researchers see no pathway from their work to impact or income, accelerating emigration of Nigeria’s brightest minds.</w:t>
      </w:r>
    </w:p>
    <w:p>
      <w:pPr>
        <w:pStyle w:val="ListParagraph"/>
        <w:numPr>
          <w:ilvl w:val="0"/>
          <w:numId w:val="2"/>
        </w:numPr>
        <w:spacing w:after="80"/>
      </w:pPr>
      <w:r>
        <w:rPr>
          <w:rFonts w:ascii="Arial" w:cs="Arial" w:eastAsia="Arial" w:hAnsi="Arial"/>
          <w:b/>
          <w:bCs/>
          <w:color w:val="333333"/>
          <w:sz w:val="24"/>
          <w:szCs w:val="24"/>
        </w:rPr>
        <w:t xml:space="preserve">Policy blind spots: </w:t>
      </w:r>
      <w:r>
        <w:rPr>
          <w:rFonts w:ascii="Arial" w:cs="Arial" w:eastAsia="Arial" w:hAnsi="Arial"/>
          <w:color w:val="333333"/>
          <w:sz w:val="24"/>
          <w:szCs w:val="24"/>
        </w:rPr>
        <w:t xml:space="preserve">Government agencies (including the education ministry now building a national thesis repository) collect data without the AI infrastructure to extract actionable intelligence from it.</w:t>
      </w:r>
    </w:p>
    <w:p>
      <w:pPr>
        <w:pStyle w:val="Heading2"/>
        <w:spacing w:after="200" w:before="240"/>
      </w:pPr>
      <w:r>
        <w:t xml:space="preserve">3.2 The AI Opportunity</w:t>
      </w:r>
    </w:p>
    <w:p>
      <w:pPr>
        <w:spacing w:after="160"/>
        <w:jc w:val="left"/>
      </w:pPr>
      <w:r>
        <w:rPr>
          <w:rFonts w:ascii="Arial" w:cs="Arial" w:eastAsia="Arial" w:hAnsi="Arial"/>
          <w:b w:val="false"/>
          <w:bCs w:val="false"/>
          <w:i w:val="false"/>
          <w:iCs w:val="false"/>
          <w:color w:val="333333"/>
          <w:sz w:val="24"/>
          <w:szCs w:val="24"/>
        </w:rPr>
        <w:t xml:space="preserve">The emergence of large language models, retrieval-augmented generation (RAG), and agentic AI systems has created, for the first time, the technological capability to bridge this gap at scale. AI can ingest, index, summarise, and connect research outputs to industry needs in ways that were impossible five years ago when Fixars Labs was first conceived. The original FixLAB vision — an “unconventional journal of inquisition and innovation” — can now be realised not as a static publication, but as a living, AI-powered knowledge platform.</w:t>
      </w:r>
    </w:p>
    <w:p>
      <w:r>
        <w:br w:type="page"/>
      </w:r>
    </w:p>
    <w:p>
      <w:pPr>
        <w:pStyle w:val="Heading1"/>
        <w:spacing w:after="200" w:before="360"/>
      </w:pPr>
      <w:r>
        <w:t xml:space="preserve">4. The Solution: Fixars Laboratories</w:t>
      </w:r>
    </w:p>
    <w:p>
      <w:pPr>
        <w:spacing w:after="160"/>
        <w:jc w:val="left"/>
      </w:pPr>
      <w:r>
        <w:rPr>
          <w:rFonts w:ascii="Arial" w:cs="Arial" w:eastAsia="Arial" w:hAnsi="Arial"/>
          <w:b w:val="false"/>
          <w:bCs w:val="false"/>
          <w:i w:val="false"/>
          <w:iCs w:val="false"/>
          <w:color w:val="333333"/>
          <w:sz w:val="24"/>
          <w:szCs w:val="24"/>
        </w:rPr>
        <w:t xml:space="preserve">Fixars Laboratories is an AI think tank and solutions laboratory that develops, fine-tunes, and deploys AI solutions for both internal (Fixars ecosystem) and external markets. It bridges the research-to-industry gap using AI as the connective tissue, while also operating as a standalone commercial AI lab.</w:t>
      </w:r>
    </w:p>
    <w:p>
      <w:pPr>
        <w:pStyle w:val="Heading2"/>
        <w:spacing w:after="200" w:before="240"/>
      </w:pPr>
      <w:r>
        <w:t xml:space="preserve">4.1 Core Identity: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Pillar</w:t>
            </w:r>
          </w:p>
        </w:tc>
        <w:tc>
          <w:tcPr>
            <w:tcW w:type="dxa" w:w="4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Revenue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Engine Room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Builds the AI layer for all Fixars sub-entities: recommendation engines for ConceptNexus, matching algorithms for SkillsCanvas, collaboration AI for CollaBoard, prediction models for VestDen.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Internal management fees from sub-entities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Commercial AI 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Develops and sells custom AI solutions, fine-tuned models (API access), and consulting services to external clients across sectors (finance, healthcare, education, agriculture).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Project fees, SaaS/API subscriptions, enterprise contracts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Applied Research Platform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Operates an AI-powered research platform that ingests academic outputs (theses, papers, datasets), transforms them into actionable intelligence, and connects researchers with industry.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subscriptions, data licensing, government/institutional contracts</w:t>
            </w:r>
          </w:p>
        </w:tc>
      </w:tr>
    </w:tbl>
    <w:p>
      <w:pPr>
        <w:spacing w:after="200"/>
      </w:pPr>
    </w:p>
    <w:p>
      <w:pPr>
        <w:pStyle w:val="Heading2"/>
        <w:spacing w:after="200" w:before="240"/>
      </w:pPr>
      <w:r>
        <w:t xml:space="preserve">4.2 The Research Repository Opportunity</w:t>
      </w:r>
    </w:p>
    <w:p>
      <w:pPr>
        <w:spacing w:after="160"/>
        <w:jc w:val="left"/>
      </w:pPr>
      <w:r>
        <w:rPr>
          <w:rFonts w:ascii="Arial" w:cs="Arial" w:eastAsia="Arial" w:hAnsi="Arial"/>
          <w:b w:val="false"/>
          <w:bCs w:val="false"/>
          <w:i w:val="false"/>
          <w:iCs w:val="false"/>
          <w:color w:val="333333"/>
          <w:sz w:val="24"/>
          <w:szCs w:val="24"/>
        </w:rPr>
        <w:t xml:space="preserve">Nigeria’s education ministry is building a national repository of graduating students’ research theses (Bachelor’s and Master’s level). This is a goldmine of domain-specific knowledge that currently has no AI infrastructure wrapped around it. Fixars Laboratories can integrate with this initiative to build:</w:t>
      </w:r>
    </w:p>
    <w:p>
      <w:pPr>
        <w:pStyle w:val="ListParagraph"/>
        <w:numPr>
          <w:ilvl w:val="0"/>
          <w:numId w:val="2"/>
        </w:numPr>
        <w:spacing w:after="80"/>
      </w:pPr>
      <w:r>
        <w:rPr>
          <w:rFonts w:ascii="Arial" w:cs="Arial" w:eastAsia="Arial" w:hAnsi="Arial"/>
          <w:b/>
          <w:bCs/>
          <w:color w:val="333333"/>
          <w:sz w:val="24"/>
          <w:szCs w:val="24"/>
        </w:rPr>
        <w:t xml:space="preserve">A Research Intelligence Agent: </w:t>
      </w:r>
      <w:r>
        <w:rPr>
          <w:rFonts w:ascii="Arial" w:cs="Arial" w:eastAsia="Arial" w:hAnsi="Arial"/>
          <w:color w:val="333333"/>
          <w:sz w:val="24"/>
          <w:szCs w:val="24"/>
        </w:rPr>
        <w:t xml:space="preserve">An AI agent trained on Nigerian academic research that can answer industry questions, identify applicable research, and connect enterprises with researchers whose work is relevant to their challenges.</w:t>
      </w:r>
    </w:p>
    <w:p>
      <w:pPr>
        <w:pStyle w:val="ListParagraph"/>
        <w:numPr>
          <w:ilvl w:val="0"/>
          <w:numId w:val="2"/>
        </w:numPr>
        <w:spacing w:after="80"/>
      </w:pPr>
      <w:r>
        <w:rPr>
          <w:rFonts w:ascii="Arial" w:cs="Arial" w:eastAsia="Arial" w:hAnsi="Arial"/>
          <w:b/>
          <w:bCs/>
          <w:color w:val="333333"/>
          <w:sz w:val="24"/>
          <w:szCs w:val="24"/>
        </w:rPr>
        <w:t xml:space="preserve">A Fine-Tuned Nigerian Research Model: </w:t>
      </w:r>
      <w:r>
        <w:rPr>
          <w:rFonts w:ascii="Arial" w:cs="Arial" w:eastAsia="Arial" w:hAnsi="Arial"/>
          <w:color w:val="333333"/>
          <w:sz w:val="24"/>
          <w:szCs w:val="24"/>
        </w:rPr>
        <w:t xml:space="preserve">An LLM fine-tuned on Nigerian academic outputs, capable of understanding local context, terminology, and research traditions — something no global model currently does well.</w:t>
      </w:r>
    </w:p>
    <w:p>
      <w:pPr>
        <w:pStyle w:val="ListParagraph"/>
        <w:numPr>
          <w:ilvl w:val="0"/>
          <w:numId w:val="2"/>
        </w:numPr>
        <w:spacing w:after="80"/>
      </w:pPr>
      <w:r>
        <w:rPr>
          <w:rFonts w:ascii="Arial" w:cs="Arial" w:eastAsia="Arial" w:hAnsi="Arial"/>
          <w:b/>
          <w:bCs/>
          <w:color w:val="333333"/>
          <w:sz w:val="24"/>
          <w:szCs w:val="24"/>
        </w:rPr>
        <w:t xml:space="preserve">An Innovation Matching Engine: </w:t>
      </w:r>
      <w:r>
        <w:rPr>
          <w:rFonts w:ascii="Arial" w:cs="Arial" w:eastAsia="Arial" w:hAnsi="Arial"/>
          <w:color w:val="333333"/>
          <w:sz w:val="24"/>
          <w:szCs w:val="24"/>
        </w:rPr>
        <w:t xml:space="preserve">Feeding validated research insights into ConceptNexus for idea validation, and connecting research-backed concepts to VestDen for funding.</w:t>
      </w:r>
    </w:p>
    <w:p>
      <w:r>
        <w:br w:type="page"/>
      </w:r>
    </w:p>
    <w:p>
      <w:pPr>
        <w:pStyle w:val="Heading1"/>
        <w:spacing w:after="200" w:before="360"/>
      </w:pPr>
      <w:r>
        <w:t xml:space="preserve">5. Market Landscape &amp; AI Climate</w:t>
      </w:r>
    </w:p>
    <w:p>
      <w:pPr>
        <w:pStyle w:val="Heading2"/>
        <w:spacing w:after="200" w:before="240"/>
      </w:pPr>
      <w:r>
        <w:t xml:space="preserve">5.1 Global AI Market</w:t>
      </w:r>
    </w:p>
    <w:p>
      <w:pPr>
        <w:spacing w:after="160"/>
        <w:jc w:val="left"/>
      </w:pPr>
      <w:r>
        <w:rPr>
          <w:rFonts w:ascii="Arial" w:cs="Arial" w:eastAsia="Arial" w:hAnsi="Arial"/>
          <w:b w:val="false"/>
          <w:bCs w:val="false"/>
          <w:i w:val="false"/>
          <w:iCs w:val="false"/>
          <w:color w:val="333333"/>
          <w:sz w:val="24"/>
          <w:szCs w:val="24"/>
        </w:rPr>
        <w:t xml:space="preserve">The global AI market was valued at approximately $391 billion in 2025 and is projected to reach $539 billion in 2026, growing toward $2.4 trillion by 2032 at a compound annual growth rate of 30.6%. Key trends shaping the landscape include the rise of agentic AI platforms, enterprise adoption of fine-tuned models, and the democratisation of AI through open-source foundation models.</w:t>
      </w:r>
    </w:p>
    <w:p>
      <w:pPr>
        <w:pStyle w:val="Heading2"/>
        <w:spacing w:after="200" w:before="240"/>
      </w:pPr>
      <w:r>
        <w:t xml:space="preserve">5.2 United Kingdom: AI Policy &amp; Funding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Initiative</w:t>
            </w:r>
          </w:p>
        </w:tc>
        <w:tc>
          <w:tcPr>
            <w:tcW w:type="dxa" w:w="3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Relevance to Fixars Labs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Opportunities Action Plan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50-recommendation plan published January 2025 covering AI infrastructure, adoption, and national champions.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qualifies as a “national champion” candidate building sovereign AI capabilities.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Sovereign AI Fund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Up to £500 million allocated to back UK AI companies. £150M GPU deployment in Northamptonshire.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Potential compute access for model training. Apply through Sovereign AI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Billion Compute Investment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Government committed to expanding UK compute capacity twentyfold by 2030.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Reduces infrastructure costs for UK-registered AI labs.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SEIS/EIS Schemes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SEIS: 50% tax relief, £250K cap. EIS: 30% relief, increasing to £10M from April 2026 (£20M for knowledge-intensive companies).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qualifies as knowledge-intensive. Investors get significant tax relief.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R&amp;D Tax Credits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Up to 27% relief on qualifying R&amp;D expenditure. Loss-making startups can claim as cash credit.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development qualifies. HMRC effectively subsidises research costs.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Growth Lab (Sandbox)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Cross-economy regulatory sandbox for AI deployment, announced October 2025.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Enables testing of AI products in regulated sectors (healthcare, finance) without full compliance burden.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Venture Capital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startups captured 19% of all UK venture funding in 2025 (£6 billion 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Strong investor appetite for UK-registered AI companies.</w:t>
            </w:r>
          </w:p>
        </w:tc>
      </w:tr>
    </w:tbl>
    <w:p>
      <w:pPr>
        <w:spacing w:after="200"/>
      </w:pPr>
    </w:p>
    <w:p>
      <w:pPr>
        <w:pStyle w:val="Heading2"/>
        <w:spacing w:after="200" w:before="240"/>
      </w:pPr>
      <w:r>
        <w:t xml:space="preserve">5.3 Nigeria: AI Policy &amp;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Initiative</w:t>
            </w:r>
          </w:p>
        </w:tc>
        <w:tc>
          <w:tcPr>
            <w:tcW w:type="dxa" w:w="3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Relevance to Fixars Labs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National AI Strategy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Being finalised by NITDA (September 2025 draft). Focuses on responsible innovation, capacity building, and local industry.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applied research mission aligns directly with NITDA’s capacity-building objectives.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National Digital Economy Bill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Expected to pass by March 2026. Positions NITDA as “super-regulator” with power to classify AI systems by risk.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Early compliance positioning gives Fixars Labs first-mover advantage as a licensed AI developer.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NITDA AI Research Grants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Up to ₦5 million per grant for 45 research teams and startups.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Direct funding opportunity for Fixars Labs’ Nigerian research operations.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Regulatory Sandbox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NDPC expected to launch sandbox for AI startups to test solutions in controlled environments.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Ideal for testing the Research Intelligence Agent on government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Research Thesis Repository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Education ministry building national repository of graduating students’ research.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most distinctive opportunity: build AI infrastructure around this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Government AI Readiness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Nigeria ranked 72nd globally in 2025 Government AI Readiness Index (up from previous years).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Growing institutional readiness for AI adoption creates demand for Fixars Labs’ services.</w:t>
            </w:r>
          </w:p>
        </w:tc>
      </w:tr>
    </w:tbl>
    <w:p>
      <w:pPr>
        <w:spacing w:after="200"/>
      </w:pPr>
    </w:p>
    <w:p>
      <w:pPr>
        <w:pStyle w:val="Heading2"/>
        <w:spacing w:after="200" w:before="240"/>
      </w:pPr>
      <w:r>
        <w:t xml:space="preserve">5.4 Africa-Wide AI Ecosystem</w:t>
      </w:r>
    </w:p>
    <w:p>
      <w:pPr>
        <w:spacing w:after="160"/>
        <w:jc w:val="left"/>
      </w:pPr>
      <w:r>
        <w:rPr>
          <w:rFonts w:ascii="Arial" w:cs="Arial" w:eastAsia="Arial" w:hAnsi="Arial"/>
          <w:b w:val="false"/>
          <w:bCs w:val="false"/>
          <w:i w:val="false"/>
          <w:iCs w:val="false"/>
          <w:color w:val="333333"/>
          <w:sz w:val="24"/>
          <w:szCs w:val="24"/>
        </w:rPr>
        <w:t xml:space="preserve">The African AI ecosystem has matured significantly. As of mid-2025, 159 AI startups across Africa have raised external funding totalling $803.2 million. Key players include InstaDeep (acquired by BioNTech for approximately £562 million), Lelapa AI (South African language models), and a growing ecosystem of sector-specific AI startups. By 2026, AI in Africa is expected to move from pilot programmes to mainstream adoption across multiple industries.</w:t>
      </w:r>
    </w:p>
    <w:p>
      <w:r>
        <w:br w:type="page"/>
      </w:r>
    </w:p>
    <w:p>
      <w:pPr>
        <w:pStyle w:val="Heading1"/>
        <w:spacing w:after="200" w:before="360"/>
      </w:pPr>
      <w:r>
        <w:t xml:space="preserve">6. Competitive Positioning</w:t>
      </w:r>
    </w:p>
    <w:p>
      <w:pPr>
        <w:spacing w:after="160"/>
        <w:jc w:val="left"/>
      </w:pPr>
      <w:r>
        <w:rPr>
          <w:rFonts w:ascii="Arial" w:cs="Arial" w:eastAsia="Arial" w:hAnsi="Arial"/>
          <w:b w:val="false"/>
          <w:bCs w:val="false"/>
          <w:i w:val="false"/>
          <w:iCs w:val="false"/>
          <w:color w:val="333333"/>
          <w:sz w:val="24"/>
          <w:szCs w:val="24"/>
        </w:rPr>
        <w:t xml:space="preserve">Fixars Laboratories does not have a direct competitor doing exactly what it proposes. However, several entities operate in adjacent spaces. The competitive advantage lies in the combination of elements, not any single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Competitor / Analogue</w:t>
            </w:r>
          </w:p>
        </w:tc>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 They Do</w:t>
            </w:r>
          </w:p>
        </w:tc>
        <w:tc>
          <w:tcPr>
            <w:tcW w:type="dxa" w:w="39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How Fixars Labs Differs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InstaDeep (Tunisia/UK)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Enterprise AI for biotech, logistics, energy. Acquired by BioNTech (£562M).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targets applied research-to-industry pipeline, not just enterprise AI. Also serves as internal AI engine for a broader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Lelapa AI (South Africa)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African language AI models (VulaVula).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builds sector-specific fine-tuned models AND a research platform, not just language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Masakhane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Open-source African NLP research community.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Masakhane is a research collective; Fixars Labs is a commercial entity with a monetisation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Zindi (South Africa)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Data science competition platform.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Zindi connects data scientists to problems via competitions; Fixars Labs builds and deploys solutions end-to-end.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ResearchGate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Academic social network and paper repository.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ResearchGate is passive (store and share). Fixars Labs is active (AI-powered extraction, industry matching, commercialisation).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DeepMind / OpenAI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Frontier AI research labs.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is an applied AI lab focused on emerging market problems, not frontier research. Different tier, different mission.</w:t>
            </w:r>
          </w:p>
        </w:tc>
      </w:tr>
    </w:tbl>
    <w:p>
      <w:pPr>
        <w:spacing w:after="200"/>
      </w:pPr>
    </w:p>
    <w:p>
      <w:pPr>
        <w:spacing w:after="160"/>
        <w:jc w:val="left"/>
      </w:pPr>
      <w:r>
        <w:rPr>
          <w:rFonts w:ascii="Arial" w:cs="Arial" w:eastAsia="Arial" w:hAnsi="Arial"/>
          <w:b/>
          <w:bCs/>
          <w:color w:val="333333"/>
          <w:sz w:val="24"/>
          <w:szCs w:val="24"/>
        </w:rPr>
        <w:t xml:space="preserve">Fixars Labs’ moat: </w:t>
      </w:r>
      <w:r>
        <w:rPr>
          <w:rFonts w:ascii="Arial" w:cs="Arial" w:eastAsia="Arial" w:hAnsi="Arial"/>
          <w:color w:val="333333"/>
          <w:sz w:val="24"/>
          <w:szCs w:val="24"/>
        </w:rPr>
        <w:t xml:space="preserve">No other entity combines (a) an AI-powered applied research platform, (b) a commercial AI solutions lab, (c) an internal AI engine for a broader superapp ecosystem, and (d) a cross-border UK-Nigeria structure optimised for both funding access and operational cost efficiency. This combination is the competitive advantage.</w:t>
      </w:r>
    </w:p>
    <w:p>
      <w:r>
        <w:br w:type="page"/>
      </w:r>
    </w:p>
    <w:p>
      <w:pPr>
        <w:pStyle w:val="Heading1"/>
        <w:spacing w:after="200" w:before="360"/>
      </w:pPr>
      <w:r>
        <w:t xml:space="preserve">7. Products &amp; Services Portfolio</w:t>
      </w:r>
    </w:p>
    <w:p>
      <w:pPr>
        <w:spacing w:after="160"/>
        <w:jc w:val="left"/>
      </w:pPr>
      <w:r>
        <w:rPr>
          <w:rFonts w:ascii="Arial" w:cs="Arial" w:eastAsia="Arial" w:hAnsi="Arial"/>
          <w:b w:val="false"/>
          <w:bCs w:val="false"/>
          <w:i w:val="false"/>
          <w:iCs w:val="false"/>
          <w:color w:val="333333"/>
          <w:sz w:val="24"/>
          <w:szCs w:val="24"/>
        </w:rPr>
        <w:t xml:space="preserve">Fixars Laboratories operates five product/service lines, ordered by recommended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Product / Service</w:t>
            </w:r>
          </w:p>
        </w:tc>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Target Customer</w:t>
            </w:r>
          </w:p>
        </w:tc>
        <w:tc>
          <w:tcPr>
            <w:tcW w:type="dxa" w:w="2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Revenue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AI Engine for Fixars Ecosystem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Recommendation engines, matching algorithms, prediction models, collaboration AI for ConceptNexus, SkillsCanvas, CollaBoard, and VestDen.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Internal (Fixars sub-entities)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Management fees / cost-plus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 Custom AI Solutions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Bespoke AI solutions for external clients: chatbots, document processing, data analysis tools, industry-specific models for finance, healthcare, education, agriculture.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Nigerian enterprises, UK SMEs, government agencies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Project fees (£10K–£100K+)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Fine-Tuned Models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Fine-tune open-source LLMs for specific use cases: Nigerian legal, medical, financial, and African language models. Sell via API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Developers, enterprises, fintechs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SaaS / API usage fees (pay-per-call)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 Research Intelligence 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AI-powered platform that ingests academic research (theses, papers), extracts insights, and connects them to industry needs. Includes the Research Intelligence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Universities, government (education ministry), enterprises, researchers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subscriptions, data licensing, institutional contracts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 AI Training &amp; Research Publishing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Corporate AI training, university workshops, developer bootcamps. Publish applied research through a modern, AI-native journal (the original FixLAB Journal of Innovation &amp; Inquisition).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Corporates, universities, developers, researchers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Course fees, corporate contracts, publication paywalls, grants</w:t>
            </w:r>
          </w:p>
        </w:tc>
      </w:tr>
    </w:tbl>
    <w:p>
      <w:r>
        <w:br w:type="page"/>
      </w:r>
    </w:p>
    <w:p>
      <w:pPr>
        <w:pStyle w:val="Heading1"/>
        <w:spacing w:after="200" w:before="360"/>
      </w:pPr>
      <w:r>
        <w:t xml:space="preserve">8. Revenue Model &amp; Sequencing Strategy</w:t>
      </w:r>
    </w:p>
    <w:p>
      <w:pPr>
        <w:spacing w:after="160"/>
        <w:jc w:val="left"/>
      </w:pPr>
      <w:r>
        <w:rPr>
          <w:rFonts w:ascii="Arial" w:cs="Arial" w:eastAsia="Arial" w:hAnsi="Arial"/>
          <w:b w:val="false"/>
          <w:bCs w:val="false"/>
          <w:i w:val="false"/>
          <w:iCs w:val="false"/>
          <w:color w:val="333333"/>
          <w:sz w:val="24"/>
          <w:szCs w:val="24"/>
        </w:rPr>
        <w:t xml:space="preserve">Based on the current stage (pre-registration, self-funded, R&amp;D phase), the recommended sequencing strategy follows a “earth before sky” approach — generate revenue from services that require minimal capital before investing in capital-intensive products.</w:t>
      </w:r>
    </w:p>
    <w:p>
      <w:pPr>
        <w:pStyle w:val="Heading2"/>
        <w:spacing w:after="200" w:before="240"/>
      </w:pPr>
      <w:r>
        <w:t xml:space="preserve">8.1 Recommended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1560"/>
        <w:gridCol w:w="2800"/>
      </w:tblGrid>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Timeline</w:t>
            </w:r>
          </w:p>
        </w:tc>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Focus</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Target Revenue</w:t>
            </w:r>
          </w:p>
        </w:tc>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Why This Order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Phase 0: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Q2–Q3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Company registration (UK + Nigeria). Domain live. First hire (Nigerian ML engineer). Internal AI prototypes for Fixars ecosystem.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(investment phase)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Legal and operational foundation must come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Phase 1: Services First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Q3–Q4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Custom AI solutions for 2–3 paying clients. AI consulting. Corporate training workshops.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£20K–£50K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Services generate cash with minimal infrastructure. Proves market demand. Builds portfolio.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Phase 2: Internal +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Q1–Q2 2027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Deploy AI layer for ConceptNexus and SkillsCanvas. Launch first fine-tuned model (Nigerian legal or financial). API beta.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£50K–£120K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Internal deployment validates tech. API creates recurring 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Phase 3: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2027–Q1 2028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Launch Research Intelligence Platform (MVP). Integrate with education ministry thesis repository. Research Intelligence Agent beta.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£120K–£300K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requires proven AI capabilities and institutional relationships built in Phases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Phase 4: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2028–2029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Full platform launch. Multiple fine-tuned models. Enterprise contracts. Grant funding. Seed/pre-Series A raise.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£500K–£1.2M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Scale with proven revenue, validated product, and investor-ready metrics.</w:t>
            </w:r>
          </w:p>
        </w:tc>
      </w:tr>
    </w:tbl>
    <w:p>
      <w:pPr>
        <w:spacing w:after="200"/>
      </w:pPr>
    </w:p>
    <w:p>
      <w:pPr>
        <w:pStyle w:val="Heading2"/>
        <w:spacing w:after="200" w:before="240"/>
      </w:pPr>
      <w:r>
        <w:t xml:space="preserve">8.2 Revenue Mix (Year 3 Target)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5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Revenue Stream</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1</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2</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3</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of Year 3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Custom AI Solutions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Internal AI (Management Fees)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Fine-Tuned Models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Research Intelligence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 Training &amp; Workshops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Grants &amp; R&amp;D Tax Credits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£55K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£230K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£600K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w:t>
            </w:r>
          </w:p>
        </w:tc>
      </w:tr>
    </w:tbl>
    <w:p>
      <w:r>
        <w:br w:type="page"/>
      </w:r>
    </w:p>
    <w:p>
      <w:pPr>
        <w:pStyle w:val="Heading1"/>
        <w:spacing w:after="200" w:before="360"/>
      </w:pPr>
      <w:r>
        <w:t xml:space="preserve">9. Go-to-Market Strategy</w:t>
      </w:r>
    </w:p>
    <w:p>
      <w:pPr>
        <w:pStyle w:val="Heading2"/>
        <w:spacing w:after="200" w:before="240"/>
      </w:pPr>
      <w:r>
        <w:t xml:space="preserve">9.1 Market Entry: UK</w:t>
      </w:r>
    </w:p>
    <w:p>
      <w:pPr>
        <w:pStyle w:val="ListParagraph"/>
        <w:numPr>
          <w:ilvl w:val="0"/>
          <w:numId w:val="2"/>
        </w:numPr>
        <w:spacing w:after="80"/>
      </w:pPr>
      <w:r>
        <w:rPr>
          <w:rFonts w:ascii="Arial" w:cs="Arial" w:eastAsia="Arial" w:hAnsi="Arial"/>
          <w:b/>
          <w:bCs/>
          <w:color w:val="333333"/>
          <w:sz w:val="24"/>
          <w:szCs w:val="24"/>
        </w:rPr>
        <w:t xml:space="preserve">Positioning: </w:t>
      </w:r>
      <w:r>
        <w:rPr>
          <w:rFonts w:ascii="Arial" w:cs="Arial" w:eastAsia="Arial" w:hAnsi="Arial"/>
          <w:color w:val="333333"/>
          <w:sz w:val="24"/>
          <w:szCs w:val="24"/>
        </w:rPr>
        <w:t xml:space="preserve">UK-registered AI lab specialising in applied research and emerging market AI solutions. “The bridge between African innovation and global markets.”</w:t>
      </w:r>
    </w:p>
    <w:p>
      <w:pPr>
        <w:pStyle w:val="ListParagraph"/>
        <w:numPr>
          <w:ilvl w:val="0"/>
          <w:numId w:val="2"/>
        </w:numPr>
        <w:spacing w:after="80"/>
      </w:pPr>
      <w:r>
        <w:rPr>
          <w:rFonts w:ascii="Arial" w:cs="Arial" w:eastAsia="Arial" w:hAnsi="Arial"/>
          <w:b/>
          <w:bCs/>
          <w:color w:val="333333"/>
          <w:sz w:val="24"/>
          <w:szCs w:val="24"/>
        </w:rPr>
        <w:t xml:space="preserve">Initial channels: </w:t>
      </w:r>
      <w:r>
        <w:rPr>
          <w:rFonts w:ascii="Arial" w:cs="Arial" w:eastAsia="Arial" w:hAnsi="Arial"/>
          <w:color w:val="333333"/>
          <w:sz w:val="24"/>
          <w:szCs w:val="24"/>
        </w:rPr>
        <w:t xml:space="preserve">Innovate UK grant applications, SEIS/EIS investor outreach via SeedLegals, AI meetups and conferences (London AI, CogX), university partnerships (Imperial, UCL, Edinburgh).</w:t>
      </w:r>
    </w:p>
    <w:p>
      <w:pPr>
        <w:pStyle w:val="ListParagraph"/>
        <w:numPr>
          <w:ilvl w:val="0"/>
          <w:numId w:val="2"/>
        </w:numPr>
        <w:spacing w:after="80"/>
      </w:pPr>
      <w:r>
        <w:rPr>
          <w:rFonts w:ascii="Arial" w:cs="Arial" w:eastAsia="Arial" w:hAnsi="Arial"/>
          <w:b/>
          <w:bCs/>
          <w:color w:val="333333"/>
          <w:sz w:val="24"/>
          <w:szCs w:val="24"/>
        </w:rPr>
        <w:t xml:space="preserve">First clients: </w:t>
      </w:r>
      <w:r>
        <w:rPr>
          <w:rFonts w:ascii="Arial" w:cs="Arial" w:eastAsia="Arial" w:hAnsi="Arial"/>
          <w:color w:val="333333"/>
          <w:sz w:val="24"/>
          <w:szCs w:val="24"/>
        </w:rPr>
        <w:t xml:space="preserve">UK-based SMEs and NGOs working in African markets who need AI solutions with local context understanding.</w:t>
      </w:r>
    </w:p>
    <w:p>
      <w:pPr>
        <w:pStyle w:val="Heading2"/>
        <w:spacing w:after="200" w:before="240"/>
      </w:pPr>
      <w:r>
        <w:t xml:space="preserve">9.2 Market Entry: Nigeria</w:t>
      </w:r>
    </w:p>
    <w:p>
      <w:pPr>
        <w:pStyle w:val="ListParagraph"/>
        <w:numPr>
          <w:ilvl w:val="0"/>
          <w:numId w:val="2"/>
        </w:numPr>
        <w:spacing w:after="80"/>
      </w:pPr>
      <w:r>
        <w:rPr>
          <w:rFonts w:ascii="Arial" w:cs="Arial" w:eastAsia="Arial" w:hAnsi="Arial"/>
          <w:b/>
          <w:bCs/>
          <w:color w:val="333333"/>
          <w:sz w:val="24"/>
          <w:szCs w:val="24"/>
        </w:rPr>
        <w:t xml:space="preserve">Positioning: </w:t>
      </w:r>
      <w:r>
        <w:rPr>
          <w:rFonts w:ascii="Arial" w:cs="Arial" w:eastAsia="Arial" w:hAnsi="Arial"/>
          <w:color w:val="333333"/>
          <w:sz w:val="24"/>
          <w:szCs w:val="24"/>
        </w:rPr>
        <w:t xml:space="preserve">Nigeria’s applied AI research lab. “Bridging the gap between the town and the gown.”</w:t>
      </w:r>
    </w:p>
    <w:p>
      <w:pPr>
        <w:pStyle w:val="ListParagraph"/>
        <w:numPr>
          <w:ilvl w:val="0"/>
          <w:numId w:val="2"/>
        </w:numPr>
        <w:spacing w:after="80"/>
      </w:pPr>
      <w:r>
        <w:rPr>
          <w:rFonts w:ascii="Arial" w:cs="Arial" w:eastAsia="Arial" w:hAnsi="Arial"/>
          <w:b/>
          <w:bCs/>
          <w:color w:val="333333"/>
          <w:sz w:val="24"/>
          <w:szCs w:val="24"/>
        </w:rPr>
        <w:t xml:space="preserve">Initial channels: </w:t>
      </w:r>
      <w:r>
        <w:rPr>
          <w:rFonts w:ascii="Arial" w:cs="Arial" w:eastAsia="Arial" w:hAnsi="Arial"/>
          <w:color w:val="333333"/>
          <w:sz w:val="24"/>
          <w:szCs w:val="24"/>
        </w:rPr>
        <w:t xml:space="preserve">NITDA AI Research Grants, education ministry partnership (thesis repository), Nigerian university collaborations, Deep Learning Indaba and Masakhane community engagement.</w:t>
      </w:r>
    </w:p>
    <w:p>
      <w:pPr>
        <w:pStyle w:val="ListParagraph"/>
        <w:numPr>
          <w:ilvl w:val="0"/>
          <w:numId w:val="2"/>
        </w:numPr>
        <w:spacing w:after="80"/>
      </w:pPr>
      <w:r>
        <w:rPr>
          <w:rFonts w:ascii="Arial" w:cs="Arial" w:eastAsia="Arial" w:hAnsi="Arial"/>
          <w:b/>
          <w:bCs/>
          <w:color w:val="333333"/>
          <w:sz w:val="24"/>
          <w:szCs w:val="24"/>
        </w:rPr>
        <w:t xml:space="preserve">First clients: </w:t>
      </w:r>
      <w:r>
        <w:rPr>
          <w:rFonts w:ascii="Arial" w:cs="Arial" w:eastAsia="Arial" w:hAnsi="Arial"/>
          <w:color w:val="333333"/>
          <w:sz w:val="24"/>
          <w:szCs w:val="24"/>
        </w:rPr>
        <w:t xml:space="preserve">Nigerian banks, fintechs, and government agencies seeking AI-powered document processing, data analysis, and research intelligence.</w:t>
      </w:r>
    </w:p>
    <w:p>
      <w:pPr>
        <w:pStyle w:val="Heading2"/>
        <w:spacing w:after="200" w:before="240"/>
      </w:pPr>
      <w:r>
        <w:t xml:space="preserve">9.3 Thought Leadership</w:t>
      </w:r>
    </w:p>
    <w:p>
      <w:pPr>
        <w:pStyle w:val="ListParagraph"/>
        <w:numPr>
          <w:ilvl w:val="0"/>
          <w:numId w:val="2"/>
        </w:numPr>
        <w:spacing w:after="80"/>
      </w:pPr>
      <w:r>
        <w:rPr>
          <w:rFonts w:ascii="Arial" w:cs="Arial" w:eastAsia="Arial" w:hAnsi="Arial"/>
          <w:b/>
          <w:bCs/>
          <w:color w:val="333333"/>
          <w:sz w:val="24"/>
          <w:szCs w:val="24"/>
        </w:rPr>
        <w:t xml:space="preserve">Relaunch the FixLAB Journal of Innovation &amp; Inquisition </w:t>
      </w:r>
      <w:r>
        <w:rPr>
          <w:rFonts w:ascii="Arial" w:cs="Arial" w:eastAsia="Arial" w:hAnsi="Arial"/>
          <w:color w:val="333333"/>
          <w:sz w:val="24"/>
          <w:szCs w:val="24"/>
        </w:rPr>
        <w:t xml:space="preserve">as an AI-native digital publication focused on applied research and development migration.</w:t>
      </w:r>
    </w:p>
    <w:p>
      <w:pPr>
        <w:pStyle w:val="ListParagraph"/>
        <w:numPr>
          <w:ilvl w:val="0"/>
          <w:numId w:val="2"/>
        </w:numPr>
        <w:spacing w:after="80"/>
      </w:pPr>
      <w:r>
        <w:rPr>
          <w:rFonts w:ascii="Arial" w:cs="Arial" w:eastAsia="Arial" w:hAnsi="Arial"/>
          <w:b/>
          <w:bCs/>
          <w:color w:val="333333"/>
          <w:sz w:val="24"/>
          <w:szCs w:val="24"/>
        </w:rPr>
        <w:t xml:space="preserve">Publish open-source tools and research </w:t>
      </w:r>
      <w:r>
        <w:rPr>
          <w:rFonts w:ascii="Arial" w:cs="Arial" w:eastAsia="Arial" w:hAnsi="Arial"/>
          <w:color w:val="333333"/>
          <w:sz w:val="24"/>
          <w:szCs w:val="24"/>
        </w:rPr>
        <w:t xml:space="preserve">to build reputation within the African and global AI communities.</w:t>
      </w:r>
    </w:p>
    <w:p>
      <w:pPr>
        <w:pStyle w:val="ListParagraph"/>
        <w:numPr>
          <w:ilvl w:val="0"/>
          <w:numId w:val="2"/>
        </w:numPr>
        <w:spacing w:after="80"/>
      </w:pPr>
      <w:r>
        <w:rPr>
          <w:rFonts w:ascii="Arial" w:cs="Arial" w:eastAsia="Arial" w:hAnsi="Arial"/>
          <w:b/>
          <w:bCs/>
          <w:color w:val="333333"/>
          <w:sz w:val="24"/>
          <w:szCs w:val="24"/>
        </w:rPr>
        <w:t xml:space="preserve">LinkedIn and Twitter/X thought leadership </w:t>
      </w:r>
      <w:r>
        <w:rPr>
          <w:rFonts w:ascii="Arial" w:cs="Arial" w:eastAsia="Arial" w:hAnsi="Arial"/>
          <w:color w:val="333333"/>
          <w:sz w:val="24"/>
          <w:szCs w:val="24"/>
        </w:rPr>
        <w:t xml:space="preserve">from Ade as founder, establishing Fixars Labs as the voice of applied AI research in Africa.</w:t>
      </w:r>
    </w:p>
    <w:p>
      <w:r>
        <w:br w:type="page"/>
      </w:r>
    </w:p>
    <w:p>
      <w:pPr>
        <w:pStyle w:val="Heading1"/>
        <w:spacing w:after="200" w:before="360"/>
      </w:pPr>
      <w:r>
        <w:t xml:space="preserve">10. Financial Projections (3-Year)</w:t>
      </w:r>
    </w:p>
    <w:p>
      <w:pPr>
        <w:spacing w:after="160"/>
        <w:jc w:val="left"/>
      </w:pPr>
      <w:r>
        <w:rPr>
          <w:rFonts w:ascii="Arial" w:cs="Arial" w:eastAsia="Arial" w:hAnsi="Arial"/>
          <w:b w:val="false"/>
          <w:bCs w:val="false"/>
          <w:i w:val="false"/>
          <w:iCs w:val="false"/>
          <w:color w:val="333333"/>
          <w:sz w:val="24"/>
          <w:szCs w:val="24"/>
        </w:rPr>
        <w:t xml:space="preserve">These projections assume self-funding through Phase 0–1, with a seed raise of £150K–£300K in late 2026 or early 2027. All figures in GBP.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Line Item</w:t>
            </w:r>
          </w:p>
        </w:tc>
        <w:tc>
          <w:tcPr>
            <w:tcW w:type="dxa" w:w="2053"/>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1 (2026–27)</w:t>
            </w:r>
          </w:p>
        </w:tc>
        <w:tc>
          <w:tcPr>
            <w:tcW w:type="dxa" w:w="2053"/>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2 (2027–28)</w:t>
            </w:r>
          </w:p>
        </w:tc>
        <w:tc>
          <w:tcPr>
            <w:tcW w:type="dxa" w:w="205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Year 3 (2028–29)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Revenue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£55,000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£230,000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£600,000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Cost of Revenue (compute, APIs, data)</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(£45,000)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Gross Profit</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£43,000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£185,000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£510,000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Team Costs (salaries + equity value)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(£35,000)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(£160,000)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(£320,000)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Infrastructure (virtual office, tools, hosting)</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Legal &amp; Professional</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Marketing &amp; BD</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Total Operating Expenses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(£51,000)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(£195,000)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(£382,000)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Operating Profit / (Loss)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£128,000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R&amp;D Tax Credit (est.)</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+£40,000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Net Position (after tax credits)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(£3,000)</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£30,000</w:t>
            </w:r>
          </w:p>
        </w:tc>
        <w:tc>
          <w:tcPr>
            <w:tcW w:type="dxa" w:w="20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£218,000</w:t>
            </w:r>
          </w:p>
        </w:tc>
      </w:tr>
    </w:tbl>
    <w:p>
      <w:pPr>
        <w:spacing w:after="200"/>
      </w:pPr>
    </w:p>
    <w:p>
      <w:pPr>
        <w:spacing w:after="160"/>
        <w:jc w:val="left"/>
      </w:pPr>
      <w:r>
        <w:rPr>
          <w:rFonts w:ascii="Arial" w:cs="Arial" w:eastAsia="Arial" w:hAnsi="Arial"/>
          <w:b/>
          <w:bCs/>
          <w:color w:val="333333"/>
          <w:sz w:val="24"/>
          <w:szCs w:val="24"/>
        </w:rPr>
        <w:t xml:space="preserve">Key assumption: </w:t>
      </w:r>
      <w:r>
        <w:rPr>
          <w:rFonts w:ascii="Arial" w:cs="Arial" w:eastAsia="Arial" w:hAnsi="Arial"/>
          <w:color w:val="333333"/>
          <w:sz w:val="24"/>
          <w:szCs w:val="24"/>
        </w:rPr>
        <w:t xml:space="preserve">Year 1 team costs are low because the first hire is a Nigerian-based ML engineer at Nigerian rates (₦500K–1M/month). UK-based senior hires (Head of AI) are deferred to post-seed in Year 2. R&amp;D tax credits are claimed as cash credits in Years 1–2 while the company is loss-making, then as tax offsets in Year 3.</w:t>
      </w:r>
    </w:p>
    <w:p>
      <w:r>
        <w:br w:type="page"/>
      </w:r>
    </w:p>
    <w:p>
      <w:pPr>
        <w:pStyle w:val="Heading1"/>
        <w:spacing w:after="200" w:before="360"/>
      </w:pPr>
      <w:r>
        <w:t xml:space="preserve">11. Funding Strategy &amp; Investment Roadmap</w:t>
      </w:r>
    </w:p>
    <w:p>
      <w:pPr>
        <w:pStyle w:val="Heading2"/>
        <w:spacing w:after="200" w:before="240"/>
      </w:pPr>
      <w:r>
        <w:t xml:space="preserve">11.1 Funding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000"/>
        <w:gridCol w:w="3360"/>
      </w:tblGrid>
      <w:tr>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Timing</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Amount</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Source</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Use of Funds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Pre-Seed (Self-Fund)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Q2–Q4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Ade’s personal funds + UK earnings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Company registration, virtual office, domain, first Nigerian ML engineer (equity-heavy), initial compute costs.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Grants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2026–Q2 2027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£20K–£100K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Innovate UK, NITDA AI Research Grants, Sovereign AI Unit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R&amp;D costs, compute, research data acquisition. Non-dilutive.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Seed (SEIS)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Q4 2026–Q1 2027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£100K–£250K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 angel investors via SEIS (50% tax relief)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Hire UK-based Head of AI, scale compute, launch API products, build Research Intelligence Platform MVP.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Post-Seed / Pre-Series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£500K–£1M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EIS-qualifying investors, AI-focused VCs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Scale team, enterprise sales, platform expansion, African language model training.</w:t>
            </w:r>
          </w:p>
        </w:tc>
      </w:tr>
    </w:tbl>
    <w:p>
      <w:pPr>
        <w:spacing w:after="200"/>
      </w:pPr>
    </w:p>
    <w:p>
      <w:pPr>
        <w:pStyle w:val="Heading2"/>
        <w:spacing w:after="200" w:before="240"/>
      </w:pPr>
      <w:r>
        <w:t xml:space="preserve">11.2 Why SEIS/EIS Is a Superpower</w:t>
      </w:r>
    </w:p>
    <w:p>
      <w:pPr>
        <w:spacing w:after="160"/>
        <w:jc w:val="left"/>
      </w:pPr>
      <w:r>
        <w:rPr>
          <w:rFonts w:ascii="Arial" w:cs="Arial" w:eastAsia="Arial" w:hAnsi="Arial"/>
          <w:b w:val="false"/>
          <w:bCs w:val="false"/>
          <w:i w:val="false"/>
          <w:iCs w:val="false"/>
          <w:color w:val="333333"/>
          <w:sz w:val="24"/>
          <w:szCs w:val="24"/>
        </w:rPr>
        <w:t xml:space="preserve">As a UK-registered, knowledge-intensive company, Fixars Laboratories qualifies for both SEIS and EIS schemes. This means UK investors receive 50% (SEIS) or 30% (EIS) income tax relief for investing. From April 2026, the EIS annual limit doubles to £10 million (£20 million for knowledge-intensive companies). For a £100K SEIS investment, the investor’s effective risk is only £50K. This makes Fixars Labs significantly more attractive to UK angels than a non-UK entity would be.</w:t>
      </w:r>
    </w:p>
    <w:p>
      <w:r>
        <w:br w:type="page"/>
      </w:r>
    </w:p>
    <w:p>
      <w:pPr>
        <w:pStyle w:val="Heading1"/>
        <w:spacing w:after="200" w:before="360"/>
      </w:pPr>
      <w:r>
        <w:t xml:space="preserve">12. Team &amp; Talent Strategy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1360"/>
      </w:tblGrid>
      <w:tr>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Equity</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Hire Timing</w:t>
            </w:r>
          </w:p>
        </w:tc>
        <w:tc>
          <w:tcPr>
            <w:tcW w:type="dxa" w:w="1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Ade — Founder / CEO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 (+ 48.45% via Group)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 place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Lead ML Engineer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CRITICAL (first hire)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Nigeria (remote)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Head of AI / Chief Scientist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Post-seed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Q1 2027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Product / Solutions Lead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Post-seed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 2027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 or Nigeria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Full-Stack Developer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From option pool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Nigeria (remote)</w:t>
            </w:r>
          </w:p>
        </w:tc>
      </w:tr>
    </w:tbl>
    <w:p>
      <w:pPr>
        <w:spacing w:after="200"/>
      </w:pPr>
    </w:p>
    <w:p>
      <w:pPr>
        <w:pStyle w:val="Heading2"/>
        <w:spacing w:after="200" w:before="240"/>
      </w:pPr>
      <w:r>
        <w:t xml:space="preserve">12.1 Talent Sourcing Strategy</w:t>
      </w:r>
    </w:p>
    <w:p>
      <w:pPr>
        <w:pStyle w:val="ListParagraph"/>
        <w:numPr>
          <w:ilvl w:val="0"/>
          <w:numId w:val="2"/>
        </w:numPr>
        <w:spacing w:after="80"/>
      </w:pPr>
      <w:r>
        <w:rPr>
          <w:rFonts w:ascii="Arial" w:cs="Arial" w:eastAsia="Arial" w:hAnsi="Arial"/>
          <w:b/>
          <w:bCs/>
          <w:color w:val="333333"/>
          <w:sz w:val="24"/>
          <w:szCs w:val="24"/>
        </w:rPr>
        <w:t xml:space="preserve">Nigerian AI community first: </w:t>
      </w:r>
      <w:r>
        <w:rPr>
          <w:rFonts w:ascii="Arial" w:cs="Arial" w:eastAsia="Arial" w:hAnsi="Arial"/>
          <w:color w:val="333333"/>
          <w:sz w:val="24"/>
          <w:szCs w:val="24"/>
        </w:rPr>
        <w:t xml:space="preserve">Masakhane, Deep Learning Indaba, InstaDeep alumni, Kaggle competitors. Offer significant equity + Nigerian-rate salary to attract exceptional talent pre-funding.</w:t>
      </w:r>
    </w:p>
    <w:p>
      <w:pPr>
        <w:pStyle w:val="ListParagraph"/>
        <w:numPr>
          <w:ilvl w:val="0"/>
          <w:numId w:val="2"/>
        </w:numPr>
        <w:spacing w:after="80"/>
      </w:pPr>
      <w:r>
        <w:rPr>
          <w:rFonts w:ascii="Arial" w:cs="Arial" w:eastAsia="Arial" w:hAnsi="Arial"/>
          <w:b/>
          <w:bCs/>
          <w:color w:val="333333"/>
          <w:sz w:val="24"/>
          <w:szCs w:val="24"/>
        </w:rPr>
        <w:t xml:space="preserve">UK universities post-seed: </w:t>
      </w:r>
      <w:r>
        <w:rPr>
          <w:rFonts w:ascii="Arial" w:cs="Arial" w:eastAsia="Arial" w:hAnsi="Arial"/>
          <w:color w:val="333333"/>
          <w:sz w:val="24"/>
          <w:szCs w:val="24"/>
        </w:rPr>
        <w:t xml:space="preserve">Imperial, UCL, Oxford, Cambridge, Edinburgh AI PhD candidates seeking startup opportunities over big tech.</w:t>
      </w:r>
    </w:p>
    <w:p>
      <w:pPr>
        <w:pStyle w:val="ListParagraph"/>
        <w:numPr>
          <w:ilvl w:val="0"/>
          <w:numId w:val="2"/>
        </w:numPr>
        <w:spacing w:after="80"/>
      </w:pPr>
      <w:r>
        <w:rPr>
          <w:rFonts w:ascii="Arial" w:cs="Arial" w:eastAsia="Arial" w:hAnsi="Arial"/>
          <w:b/>
          <w:bCs/>
          <w:color w:val="333333"/>
          <w:sz w:val="24"/>
          <w:szCs w:val="24"/>
        </w:rPr>
        <w:t xml:space="preserve">Community engagement: </w:t>
      </w:r>
      <w:r>
        <w:rPr>
          <w:rFonts w:ascii="Arial" w:cs="Arial" w:eastAsia="Arial" w:hAnsi="Arial"/>
          <w:color w:val="333333"/>
          <w:sz w:val="24"/>
          <w:szCs w:val="24"/>
        </w:rPr>
        <w:t xml:space="preserve">Hugging Face contributors, AI Twitter/X, LinkedIn outreach with compelling equity narrative.</w:t>
      </w:r>
    </w:p>
    <w:p>
      <w:r>
        <w:br w:type="page"/>
      </w:r>
    </w:p>
    <w:p>
      <w:pPr>
        <w:pStyle w:val="Heading1"/>
        <w:spacing w:after="200" w:before="360"/>
      </w:pPr>
      <w:r>
        <w:t xml:space="preserve">13.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Risk</w:t>
            </w:r>
          </w:p>
        </w:tc>
        <w:tc>
          <w:tcPr>
            <w:tcW w:type="dxa" w:w="1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Severity</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Likelihood</w:t>
            </w:r>
          </w:p>
        </w:tc>
        <w:tc>
          <w:tcPr>
            <w:tcW w:type="dxa" w:w="5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Failure to attract Head of AI talent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Start with Nigerian ML engineer. Defer UK hire to post-seed. Offer 10% equity with meaningful vesting.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Nigerian regulatory uncertainty (AI Bill)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Early engagement with NITDA. Position as compliant-by-design. Participate in regulatory sandbox.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UK funding not materialised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SEIS/EIS schemes de-risk investor capital by 30–50%. R&amp;D tax credits provide cashback. Multiple non-dilutive grant pathways.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Education ministry thesis repository access denied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Build relationships through NITDA. Start with publicly available institutional repositories (UNN, UI, UNIZIK). Demonstrate value on public data first.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Compute costs exceed projections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Use open-source models (Llama, Mistral) to minimise training costs. Apply for UK Sovereign AI compute allocation. Optimise with quantisation and efficient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Competition from larger AI labs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Fixars Labs’ niche (applied research + emerging markets + ecosystem integration) is not attractive to DeepMind or OpenAI. The combination is the moat.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Cross-border tax/transfer pricing issues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Engage cross-border tax advisor early. Structure inter-company payments at arm’s length. Leverage UK-Nigeria Double Taxation Agreement.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Forex volatility (NGN/GBP)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Minimise Nigeria-to-UK capital flows. Fund UK operations from UK revenue/grants. Nigerian team paid in NGN from Nigerian revenue streams.</w:t>
            </w:r>
          </w:p>
        </w:tc>
      </w:tr>
    </w:tbl>
    <w:p>
      <w:r>
        <w:br w:type="page"/>
      </w:r>
    </w:p>
    <w:p>
      <w:pPr>
        <w:pStyle w:val="Heading1"/>
        <w:spacing w:after="200" w:before="360"/>
      </w:pPr>
      <w:r>
        <w:t xml:space="preserve">14. Key Milestones &amp;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Quarter</w:t>
            </w:r>
          </w:p>
        </w:tc>
        <w:tc>
          <w:tcPr>
            <w:tcW w:type="dxa" w:w="4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Milestone</w:t>
            </w:r>
          </w:p>
        </w:tc>
        <w:tc>
          <w:tcPr>
            <w:tcW w:type="dxa" w:w="3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Success Metric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 2026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Register Fixars Group at CAC (name change). Register Fixars Laboratories at Companies House. Secure virtual office.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Both entities legally registered. UK bank account opened.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First hire: Nigerian ML engineer. Begin internal AI development for Fixars ecosystem. Apply for NITDA AI Research Grant.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ML engineer onboarded. First AI prototype for ConceptNexus. Grant application submitted.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Q4 2026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Land 2–3 paying custom AI clients. Launch fixars.ai website. Begin SEIS investor outreach.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£20K+ revenue. Website live. Investor deck circulated.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Q1 2027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Close SEIS seed round (£100K–£250K). Hire Head of AI / Chief Scientist.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£100K+ raised. Head of AI signed (offer 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Q2 2027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Deploy AI layer for ConceptNexus and SkillsCanvas. Launch first fine-tuned model (beta). Hire Product Lead.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Internal AI live. API beta with 10+ test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Research Intelligence Platform MVP. Begin education ministry engagement. First corporate training workshop.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MVP with 1,000+ indexed theses. Ministry meeting held.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Q1 2028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public launch. Enterprise contracts. Apply for Innovate UK grant.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Platform live. 3+ enterprise clients. Grant application submitted.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Q3 2028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Multiple fine-tuned models live. 50+ API paying customers. Pre-Series A preparation.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£300K+ ARR. 50+ API customers. Data room prepared.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Q1 2029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Pre-Series A raise (£500K–£1M). Scale team to 8–10. Expand to other African markets.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Raise closed. Team scaled. Pan-African pilot launched.</w:t>
            </w:r>
          </w:p>
        </w:tc>
      </w:tr>
    </w:tbl>
    <w:p>
      <w:r>
        <w:br w:type="page"/>
      </w:r>
    </w:p>
    <w:p>
      <w:pPr>
        <w:pStyle w:val="Heading1"/>
        <w:spacing w:after="200" w:before="360"/>
      </w:pPr>
      <w:r>
        <w:t xml:space="preserve">15. Appendix: Registration Action Plan</w:t>
      </w:r>
    </w:p>
    <w:p>
      <w:pPr>
        <w:spacing w:after="160"/>
        <w:jc w:val="left"/>
      </w:pPr>
      <w:r>
        <w:rPr>
          <w:rFonts w:ascii="Arial" w:cs="Arial" w:eastAsia="Arial" w:hAnsi="Arial"/>
          <w:b w:val="false"/>
          <w:bCs w:val="false"/>
          <w:i w:val="false"/>
          <w:iCs w:val="false"/>
          <w:color w:val="333333"/>
          <w:sz w:val="24"/>
          <w:szCs w:val="24"/>
        </w:rPr>
        <w:t xml:space="preserve">This section summarises the step-by-step registration process for Fixars Laboratories Ltd, as detailed in the Fixars Laboratories Structure document.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1600"/>
        <w:gridCol w:w="1200"/>
      </w:tblGrid>
      <w:tr>
        <w:tc>
          <w:tcPr>
            <w:tcW w:type="dxa" w:w="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Step</w:t>
            </w:r>
          </w:p>
        </w:tc>
        <w:tc>
          <w:tcPr>
            <w:tcW w:type="dxa" w:w="4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Action</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Est. Cost</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Timeline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Register Fixars Group at CAC (Nigeria) / apply for name change from Fixars Multibusiness Concepts Ltd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₦150–400K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2–4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Obtain Fixars Group CAC Certificate with new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Secure UK registered office address (virtual office)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£15–50/month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Register Fixars Laboratories Ltd at Companies House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day (online)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File PSC details for Fixars Group (Nigeria) as 51% shareholder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(included)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Same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Register for Corporation Tax with HMRC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Within 3 months of activity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Open UK business bank account (Tide / Starling / Wise)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Confirm fixars.ai domain secured and configured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£50–100/year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Draft shareholder agreement (customised Articles of Association)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£1,500–3,000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2–4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Set up GitHub repository (fixars-labs) and project management tools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day</w:t>
            </w:r>
          </w:p>
        </w:tc>
      </w:tr>
    </w:tbl>
    <w:p>
      <w:pPr>
        <w:spacing w:after="200"/>
      </w:pPr>
    </w:p>
    <w:p>
      <w:pPr>
        <w:spacing w:after="160"/>
        <w:jc w:val="left"/>
      </w:pPr>
      <w:r>
        <w:rPr>
          <w:rFonts w:ascii="Arial" w:cs="Arial" w:eastAsia="Arial" w:hAnsi="Arial"/>
          <w:b/>
          <w:bCs/>
          <w:color w:val="333333"/>
          <w:sz w:val="24"/>
          <w:szCs w:val="24"/>
        </w:rPr>
        <w:t xml:space="preserve">Critical path: </w:t>
      </w:r>
      <w:r>
        <w:rPr>
          <w:rFonts w:ascii="Arial" w:cs="Arial" w:eastAsia="Arial" w:hAnsi="Arial"/>
          <w:color w:val="333333"/>
          <w:sz w:val="24"/>
          <w:szCs w:val="24"/>
        </w:rPr>
        <w:t xml:space="preserve">Register Fixars Group at CAC first, as Companies House requires those details for the PSC register. If speed is essential, register Fixars Laboratories initially with Ade as 100% shareholder, then transfer 51% to Fixars Group once CAC registration completes (via SH01 stock transfer form, £0 cost).</w:t>
      </w:r>
    </w:p>
    <w:p>
      <w:pPr>
        <w:spacing w:after="400"/>
      </w:pPr>
    </w:p>
    <w:p>
      <w:pPr>
        <w:jc w:val="center"/>
      </w:pPr>
      <w:r>
        <w:rPr>
          <w:rFonts w:ascii="Arial" w:cs="Arial" w:eastAsia="Arial" w:hAnsi="Arial"/>
          <w:i/>
          <w:iCs/>
          <w:color w:val="CCCCCC"/>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8"/>
        <w:szCs w:val="18"/>
      </w:rPr>
      <w:t xml:space="preserve">STRICTLY CONFIDENTIAL  |  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b/>
        <w:bCs/>
        <w:color w:val="CCCCCC"/>
        <w:sz w:val="18"/>
        <w:szCs w:val="18"/>
      </w:rPr>
      <w:t xml:space="preserve">FIXARS LABORATORIES</w:t>
    </w:r>
    <w:r>
      <w:rPr>
        <w:rFonts w:ascii="Arial" w:cs="Arial" w:eastAsia="Arial" w:hAnsi="Arial"/>
        <w:color w:val="CCCCCC"/>
        <w:sz w:val="18"/>
        <w:szCs w:val="18"/>
      </w:rPr>
      <w:t xml:space="preserve">	Business Plan &amp; Strategy 2026–2029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2026-03-11T07:13:39.546Z</dcterms:created>
  <dcterms:modified xsi:type="dcterms:W3CDTF">2026-03-11T07:13:39.547Z</dcterms:modified>
</cp:coreProperties>
</file>

<file path=docProps/custom.xml><?xml version="1.0" encoding="utf-8"?>
<Properties xmlns="http://schemas.openxmlformats.org/officeDocument/2006/custom-properties" xmlns:vt="http://schemas.openxmlformats.org/officeDocument/2006/docPropsVTypes"/>
</file>