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line="360"/>
        <w:jc w:val="center"/>
      </w:pPr>
      <w:r>
        <w:t xml:space="preserve">FIXARS LABORATORIES</w:t>
      </w:r>
    </w:p>
    <w:p>
      <w:pPr>
        <w:spacing w:line="240"/>
        <w:jc w:val="center"/>
      </w:pPr>
      <w:r>
        <w:t xml:space="preserve">Industry Comparative Analysis</w:t>
      </w:r>
    </w:p>
    <w:p>
      <w:pPr>
        <w:spacing w:line="240"/>
        <w:jc w:val="center"/>
      </w:pPr>
      <w:r>
        <w:t xml:space="preserve">Global AI Research, Consulting &amp; Solutions Market</w:t>
      </w:r>
    </w:p>
    <w:p>
      <w:pPr>
        <w:spacing w:line="720"/>
      </w:pPr>
    </w:p>
    <w:p>
      <w:pPr>
        <w:spacing w:line="120"/>
        <w:jc w:val="center"/>
      </w:pPr>
      <w:r>
        <w:t xml:space="preserve">Comprehensive Competitive Landscape Analysis</w:t>
      </w:r>
    </w:p>
    <w:p>
      <w:pPr>
        <w:spacing w:line="240"/>
        <w:jc w:val="center"/>
      </w:pPr>
      <w:r>
        <w:t xml:space="preserve">Prepared for: Fixars Holdings/Fixars Laboratories</w:t>
      </w:r>
    </w:p>
    <w:p>
      <w:pPr>
        <w:spacing w:line="120"/>
        <w:jc w:val="center"/>
      </w:pPr>
      <w:r>
        <w:t xml:space="preserve">Date: March 2026</w:t>
      </w:r>
    </w:p>
    <w:p>
      <w:pPr>
        <w:spacing w:line="120"/>
        <w:jc w:val="center"/>
      </w:pPr>
      <w:r>
        <w:t xml:space="preserve">UK-based AI Think Tank &amp; Solutions Laboratory</w:t>
      </w:r>
    </w:p>
    <w:r>
      <w:br w:type="page"/>
    </w:r>
    <w:p>
      <w:pPr>
        <w:pStyle w:val="Heading1"/>
        <w:spacing w:after="240" w:line="240"/>
      </w:pPr>
      <w:r>
        <w:t xml:space="preserve">TABLE OF CONTENTS</w:t>
      </w:r>
    </w:p>
    <w:p>
      <w:pPr>
        <w:spacing w:line="120"/>
      </w:pPr>
      <w:r>
        <w:t xml:space="preserve">1. Executive Summary</w:t>
      </w:r>
    </w:p>
    <w:p>
      <w:pPr>
        <w:spacing w:line="120"/>
      </w:pPr>
      <w:r>
        <w:t xml:space="preserve">2. Industry Overview &amp; Market Dynamics</w:t>
      </w:r>
    </w:p>
    <w:p>
      <w:pPr>
        <w:spacing w:line="120"/>
      </w:pPr>
      <w:r>
        <w:t xml:space="preserve">3. Competitive Landscape Map</w:t>
      </w:r>
    </w:p>
    <w:p>
      <w:pPr>
        <w:spacing w:line="120"/>
      </w:pPr>
      <w:r>
        <w:t xml:space="preserve">4. Direct Competitor Profiles</w:t>
      </w:r>
    </w:p>
    <w:p>
      <w:pPr>
        <w:spacing w:line="120"/>
      </w:pPr>
      <w:r>
        <w:t xml:space="preserve">5. Feature &amp; Capability Comparison Matrix</w:t>
      </w:r>
    </w:p>
    <w:p>
      <w:pPr>
        <w:spacing w:line="120"/>
      </w:pPr>
      <w:r>
        <w:t xml:space="preserve">6. Market Positioning Analysis</w:t>
      </w:r>
    </w:p>
    <w:p>
      <w:pPr>
        <w:spacing w:line="120"/>
      </w:pPr>
      <w:r>
        <w:t xml:space="preserve">7. Funding &amp; Valuation Benchmarks</w:t>
      </w:r>
    </w:p>
    <w:p>
      <w:pPr>
        <w:spacing w:line="120"/>
      </w:pPr>
      <w:r>
        <w:t xml:space="preserve">8. Revenue Model Comparison</w:t>
      </w:r>
    </w:p>
    <w:p>
      <w:pPr>
        <w:spacing w:line="120"/>
      </w:pPr>
      <w:r>
        <w:t xml:space="preserve">9. Geographic Market Opportunity Analysis</w:t>
      </w:r>
    </w:p>
    <w:p>
      <w:pPr>
        <w:spacing w:line="120"/>
      </w:pPr>
      <w:r>
        <w:t xml:space="preserve">10. Technology Stack &amp; Platform Comparison</w:t>
      </w:r>
    </w:p>
    <w:p>
      <w:pPr>
        <w:spacing w:line="120"/>
      </w:pPr>
      <w:r>
        <w:t xml:space="preserve">11. Talent &amp; Team Benchmarks</w:t>
      </w:r>
    </w:p>
    <w:p>
      <w:pPr>
        <w:spacing w:line="120"/>
      </w:pPr>
      <w:r>
        <w:t xml:space="preserve">12. SWOT Analysis: Fixars vs Competitors</w:t>
      </w:r>
    </w:p>
    <w:p>
      <w:pPr>
        <w:spacing w:line="120"/>
      </w:pPr>
      <w:r>
        <w:t xml:space="preserve">13. Strategic Differentiation &amp; Recommendations</w:t>
      </w:r>
    </w:p>
    <w:p>
      <w:pPr>
        <w:spacing w:line="120"/>
      </w:pPr>
      <w:r>
        <w:t xml:space="preserve">14. Market Entry Strategy Matrix</w:t>
      </w:r>
    </w:p>
    <w:p>
      <w:pPr>
        <w:spacing w:line="120"/>
      </w:pPr>
      <w:r>
        <w:t xml:space="preserve">15. Appendix: Data Sources &amp; Methodology</w:t>
      </w:r>
    </w:p>
    <w:r>
      <w:br w:type="page"/>
    </w:r>
    <w:p>
      <w:pPr>
        <w:pStyle w:val="Heading1"/>
        <w:spacing w:after="240" w:line="240"/>
      </w:pPr>
      <w:r>
        <w:t xml:space="preserve">1. EXECUTIVE SUMMARY</w:t>
      </w:r>
    </w:p>
    <w:p>
      <w:pPr>
        <w:pStyle w:val="Heading2"/>
        <w:spacing w:after="120" w:line="120"/>
      </w:pPr>
      <w:r>
        <w:t xml:space="preserve">Market Context</w:t>
      </w:r>
    </w:p>
    <w:p>
      <w:pPr>
        <w:spacing w:after="240" w:line="200"/>
      </w:pPr>
      <w:r>
        <w:t xml:space="preserve">The global AI market is experiencing unprecedented growth, with applied AI services projected to expand from $330 million in 2024 to $1.02 billion by 2030, representing a CAGR of 25.32%. Fixars Laboratories is a UK-registered AI think tank and solutions laboratory offering five core service lines: (1) Applied AI Research &amp; Consulting, (2) Research Intelligence Platform (AI-powered thesis/publication analysis), (3) AI Solutions Development (custom ML/AI), (4) AI Training &amp; Academy, and (5) White-label AI products.</w:t>
      </w:r>
    </w:p>
    <w:p>
      <w:pPr>
        <w:pStyle w:val="Heading2"/>
        <w:spacing w:after="120" w:line="120"/>
      </w:pPr>
      <w:r>
        <w:t xml:space="preserve">Key Findings</w:t>
      </w:r>
    </w:p>
    <w:p>
      <w:pPr>
        <w:spacing w:after="80" w:line="200"/>
      </w:pPr>
      <w:r>
        <w:t xml:space="preserve">Fragmented Market: AI research/consulting/solutions market is highly fragmented with no dominant player across all segments. Fixars can specialize in underserved African markets while maintaining global reach.</w:t>
      </w:r>
    </w:p>
    <w:p>
      <w:pPr>
        <w:spacing w:after="80" w:line="200"/>
      </w:pPr>
      <w:r>
        <w:t xml:space="preserve">African Focus as Differentiator: Nigeria's AI market grows at 27.08% annually. Fixars' Nigeria roots provide authentic market access competitors lack.</w:t>
      </w:r>
    </w:p>
    <w:p>
      <w:pPr>
        <w:spacing w:after="80" w:line="200"/>
      </w:pPr>
      <w:r>
        <w:t xml:space="preserve">Multi-Service Resilience: Unlike competitors focused on single services, Fixars' diversified offering across research, platforms, and training creates revenue resilience.</w:t>
      </w:r>
    </w:p>
    <w:p>
      <w:pPr>
        <w:spacing w:after="80" w:line="200"/>
      </w:pPr>
      <w:r>
        <w:t xml:space="preserve">UK Base Advantage: UK government AI procurement reached £1.17 billion. Combined with African roots, Fixars bridges emerging and developed markets.</w:t>
      </w:r>
    </w:p>
    <w:p>
      <w:pPr>
        <w:spacing w:after="80" w:line="200"/>
      </w:pPr>
      <w:r>
        <w:t xml:space="preserve">Talent Pipeline: African AI talent is scarce, but Fixars' Academy and training focus can build proprietary talent pipeline.</w:t>
      </w:r>
    </w:p>
    <w:p>
      <w:pPr>
        <w:pStyle w:val="Heading2"/>
        <w:spacing w:after="120" w:line="120"/>
      </w:pPr>
      <w:r>
        <w:t xml:space="preserve">Strategic Imperatives</w:t>
      </w:r>
    </w:p>
    <w:p>
      <w:pPr>
        <w:spacing w:after="240" w:line="200"/>
      </w:pPr>
      <w:r>
        <w:t xml:space="preserve">1. Establish clear market segment leadership ("AI for African Markets" or "Enterprise AI Training")
2. Develop IP-differentiated products (Research Intelligence Platform needs major feature velocity)
3. Build case studies with named Nigerian/African clients
4. Raise seed/Series A to fund go-to-market and product development
5. Partner or acquire complementary capabilities (industry-specific AI models, data assets)</w:t>
      </w:r>
    </w:p>
    <w:r>
      <w:br w:type="page"/>
    </w:r>
    <w:p>
      <w:pPr>
        <w:pStyle w:val="Heading1"/>
        <w:spacing w:after="240" w:line="240"/>
      </w:pPr>
      <w:r>
        <w:t xml:space="preserve">2. INDUSTRY OVERVIEW &amp; MARKET DYNAMICS</w:t>
      </w:r>
    </w:p>
    <w:p>
      <w:pPr>
        <w:pStyle w:val="Heading2"/>
        <w:spacing w:after="120" w:line="120"/>
      </w:pPr>
      <w:r>
        <w:t xml:space="preserve">Global Market Size &amp; Growth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color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Market Segment</w:t>
            </w:r>
          </w:p>
        </w:tc>
        <w:tc>
          <w:tcPr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color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2024 Size</w:t>
            </w:r>
          </w:p>
        </w:tc>
        <w:tc>
          <w:tcPr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color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2030 Projection</w:t>
            </w:r>
          </w:p>
        </w:tc>
        <w:tc>
          <w:tcPr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color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CAGR</w:t>
            </w:r>
          </w:p>
        </w:tc>
      </w:tr>
      <w:tr>
        <w:tc>
          <w:tcPr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Applied AI Services</w:t>
            </w:r>
          </w:p>
        </w:tc>
        <w:tc>
          <w:tcPr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$330M</w:t>
            </w:r>
          </w:p>
        </w:tc>
        <w:tc>
          <w:tcPr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$1.02B</w:t>
            </w:r>
          </w:p>
        </w:tc>
        <w:tc>
          <w:tcPr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25.32%</w:t>
            </w:r>
          </w:p>
        </w:tc>
      </w:tr>
      <w:tr>
        <w:tc>
          <w:tcPr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Foundation Models</w:t>
            </w:r>
          </w:p>
        </w:tc>
        <w:tc>
          <w:tcPr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$12B</w:t>
            </w:r>
          </w:p>
        </w:tc>
        <w:tc>
          <w:tcPr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$47B</w:t>
            </w:r>
          </w:p>
        </w:tc>
        <w:tc>
          <w:tcPr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31.2%</w:t>
            </w:r>
          </w:p>
        </w:tc>
      </w:tr>
      <w:tr>
        <w:tc>
          <w:tcPr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AI Consulting/Integration</w:t>
            </w:r>
          </w:p>
        </w:tc>
        <w:tc>
          <w:tcPr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$85B</w:t>
            </w:r>
          </w:p>
        </w:tc>
        <w:tc>
          <w:tcPr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$180B</w:t>
            </w:r>
          </w:p>
        </w:tc>
        <w:tc>
          <w:tcPr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16.5%</w:t>
            </w:r>
          </w:p>
        </w:tc>
      </w:tr>
      <w:tr>
        <w:tc>
          <w:tcPr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AI Training &amp; Education</w:t>
            </w:r>
          </w:p>
        </w:tc>
        <w:tc>
          <w:tcPr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$8B</w:t>
            </w:r>
          </w:p>
        </w:tc>
        <w:tc>
          <w:tcPr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$28B</w:t>
            </w:r>
          </w:p>
        </w:tc>
        <w:tc>
          <w:tcPr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28.1%</w:t>
            </w:r>
          </w:p>
        </w:tc>
      </w:tr>
    </w:tbl>
    <w:p>
      <w:pPr>
        <w:spacing w:line="240"/>
      </w:pPr>
    </w:p>
    <w:p>
      <w:pPr>
        <w:spacing w:after="240" w:line="200"/>
      </w:pPr>
      <w:r>
        <w:t xml:space="preserve">Key Market Drivers: Enterprise AI Adoption (72% of organizations plan to increase AI spending); Regulatory Clarity (EU AI Act, UK AI Bill creating compliance demand); Vertical Solutions (industry-specific AI gaining traction); Emerging Markets (Africa, Southeast Asia showing 27%+ YoY adoption growth).</w:t>
      </w:r>
    </w:p>
    <w:p>
      <w:pPr>
        <w:pStyle w:val="Heading3"/>
        <w:spacing w:after="120" w:line="120"/>
      </w:pPr>
      <w:r>
        <w:t xml:space="preserve">Nigeria &amp; African Market:</w:t>
      </w:r>
    </w:p>
    <w:p>
      <w:pPr>
        <w:spacing w:after="240" w:line="200"/>
      </w:pPr>
      <w:r>
        <w:t xml:space="preserve">Nigeria AI Market: Growing at 27.08% annually, estimated $450M by 2027
African AI Ecosystem: 450+ AI startups, $1.5B in funding (2020-2024)
Key Sectors: Fintech, AgriTech, Healthcare, Education
Talent Gap: 60%+ of African tech roles unfilled, creating training demand</w:t>
      </w:r>
    </w:p>
    <w:p>
      <w:pPr>
        <w:pStyle w:val="Heading3"/>
        <w:spacing w:after="120" w:line="120"/>
      </w:pPr>
      <w:r>
        <w:t xml:space="preserve">UK &amp; European Market:</w:t>
      </w:r>
    </w:p>
    <w:p>
      <w:pPr>
        <w:spacing w:after="240" w:line="200"/>
      </w:pPr>
      <w:r>
        <w:t xml:space="preserve">UK Government AI Procurement: £1.17 billion annually
European AI Spending: €15B (2024), projected €35B by 2027
Regulatory Environment: EU AI Act creating compliance consulting opportunity
Research Excellence: UK home to DeepMind, leading academic AI research</w:t>
      </w:r>
    </w:p>
    <w:r>
      <w:br w:type="page"/>
    </w:r>
    <w:p>
      <w:pPr>
        <w:pStyle w:val="Heading1"/>
        <w:spacing w:after="240" w:line="240"/>
      </w:pPr>
      <w:r>
        <w:t xml:space="preserve">3. COMPETITIVE LANDSCAPE MAP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color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Category</w:t>
            </w:r>
          </w:p>
        </w:tc>
        <w:tc>
          <w:tcPr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color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Company</w:t>
            </w:r>
          </w:p>
        </w:tc>
        <w:tc>
          <w:tcPr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color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Focus</w:t>
            </w:r>
          </w:p>
        </w:tc>
        <w:tc>
          <w:tcPr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color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Position</w:t>
            </w:r>
          </w:p>
        </w:tc>
        <w:tc>
          <w:tcPr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color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Geography</w:t>
            </w:r>
          </w:p>
        </w:tc>
      </w:tr>
      <w:tr>
        <w:tc>
          <w:tcPr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Deep Tech</w:t>
            </w:r>
          </w:p>
        </w:tc>
        <w:tc>
          <w:tcPr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InstaDeep</w:t>
            </w:r>
          </w:p>
        </w:tc>
        <w:tc>
          <w:tcPr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Foundation models</w:t>
            </w:r>
          </w:p>
        </w:tc>
        <w:tc>
          <w:tcPr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High IP, well-funded</w:t>
            </w:r>
          </w:p>
        </w:tc>
        <w:tc>
          <w:tcPr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Africa, Europe</w:t>
            </w:r>
          </w:p>
        </w:tc>
      </w:tr>
      <w:tr>
        <w:tc>
          <w:tcPr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Deep Tech</w:t>
            </w:r>
          </w:p>
        </w:tc>
        <w:tc>
          <w:tcPr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DeepMind</w:t>
            </w:r>
          </w:p>
        </w:tc>
        <w:tc>
          <w:tcPr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Fundamental research</w:t>
            </w:r>
          </w:p>
        </w:tc>
        <w:tc>
          <w:tcPr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Market leader</w:t>
            </w:r>
          </w:p>
        </w:tc>
        <w:tc>
          <w:tcPr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Global</w:t>
            </w:r>
          </w:p>
        </w:tc>
      </w:tr>
      <w:tr>
        <w:tc>
          <w:tcPr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Deep Tech</w:t>
            </w:r>
          </w:p>
        </w:tc>
        <w:tc>
          <w:tcPr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OpenAI</w:t>
            </w:r>
          </w:p>
        </w:tc>
        <w:tc>
          <w:tcPr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Foundation models, APIs</w:t>
            </w:r>
          </w:p>
        </w:tc>
        <w:tc>
          <w:tcPr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Market leader</w:t>
            </w:r>
          </w:p>
        </w:tc>
        <w:tc>
          <w:tcPr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Global</w:t>
            </w:r>
          </w:p>
        </w:tc>
      </w:tr>
      <w:tr>
        <w:tc>
          <w:tcPr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Research Platforms</w:t>
            </w:r>
          </w:p>
        </w:tc>
        <w:tc>
          <w:tcPr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Semantic Scholar</w:t>
            </w:r>
          </w:p>
        </w:tc>
        <w:tc>
          <w:tcPr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AI-powered discovery</w:t>
            </w:r>
          </w:p>
        </w:tc>
        <w:tc>
          <w:tcPr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Niche leader</w:t>
            </w:r>
          </w:p>
        </w:tc>
        <w:tc>
          <w:tcPr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Global</w:t>
            </w:r>
          </w:p>
        </w:tc>
      </w:tr>
      <w:tr>
        <w:tc>
          <w:tcPr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African AI</w:t>
            </w:r>
          </w:p>
        </w:tc>
        <w:tc>
          <w:tcPr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Lelapa AI</w:t>
            </w:r>
          </w:p>
        </w:tc>
        <w:tc>
          <w:tcPr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African language NLP</w:t>
            </w:r>
          </w:p>
        </w:tc>
        <w:tc>
          <w:tcPr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Regional leader</w:t>
            </w:r>
          </w:p>
        </w:tc>
        <w:tc>
          <w:tcPr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Sub-Saharan Africa</w:t>
            </w:r>
          </w:p>
        </w:tc>
      </w:tr>
      <w:tr>
        <w:tc>
          <w:tcPr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African AI</w:t>
            </w:r>
          </w:p>
        </w:tc>
        <w:tc>
          <w:tcPr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Zindi</w:t>
            </w:r>
          </w:p>
        </w:tc>
        <w:tc>
          <w:tcPr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Data science competitions</w:t>
            </w:r>
          </w:p>
        </w:tc>
        <w:tc>
          <w:tcPr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Community platform</w:t>
            </w:r>
          </w:p>
        </w:tc>
        <w:tc>
          <w:tcPr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Africa</w:t>
            </w:r>
          </w:p>
        </w:tc>
      </w:tr>
      <w:tr>
        <w:tc>
          <w:tcPr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African AI</w:t>
            </w:r>
          </w:p>
        </w:tc>
        <w:tc>
          <w:tcPr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Data Science Nigeria</w:t>
            </w:r>
          </w:p>
        </w:tc>
        <w:tc>
          <w:tcPr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AI education</w:t>
            </w:r>
          </w:p>
        </w:tc>
        <w:tc>
          <w:tcPr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Local leader</w:t>
            </w:r>
          </w:p>
        </w:tc>
        <w:tc>
          <w:tcPr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Nigeria</w:t>
            </w:r>
          </w:p>
        </w:tc>
      </w:tr>
      <w:tr>
        <w:tc>
          <w:tcPr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Consulting</w:t>
            </w:r>
          </w:p>
        </w:tc>
        <w:tc>
          <w:tcPr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McKinsey QB</w:t>
            </w:r>
          </w:p>
        </w:tc>
        <w:tc>
          <w:tcPr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AI strategy consulting</w:t>
            </w:r>
          </w:p>
        </w:tc>
        <w:tc>
          <w:tcPr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Premium</w:t>
            </w:r>
          </w:p>
        </w:tc>
        <w:tc>
          <w:tcPr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Global</w:t>
            </w:r>
          </w:p>
        </w:tc>
      </w:tr>
      <w:tr>
        <w:tc>
          <w:tcPr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Consulting</w:t>
            </w:r>
          </w:p>
        </w:tc>
        <w:tc>
          <w:tcPr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Accenture AI</w:t>
            </w:r>
          </w:p>
        </w:tc>
        <w:tc>
          <w:tcPr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Enterprise AI integration</w:t>
            </w:r>
          </w:p>
        </w:tc>
        <w:tc>
          <w:tcPr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At-scale delivery</w:t>
            </w:r>
          </w:p>
        </w:tc>
        <w:tc>
          <w:tcPr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Global</w:t>
            </w:r>
          </w:p>
        </w:tc>
      </w:tr>
    </w:tbl>
    <w:p>
      <w:pPr>
        <w:spacing w:line="240"/>
      </w:pPr>
    </w:p>
    <w:p>
      <w:pPr>
        <w:spacing w:after="240" w:line="200"/>
      </w:pPr>
      <w:r>
        <w:t xml:space="preserve">Market Gaps: No single player dominates "Applied AI for African Markets" segment; Limited AI consulting/solutions in emerging African markets; Research Intelligence Platforms remain nascent; African AI talent training severely undersupplied.</w:t>
      </w:r>
    </w:p>
    <w:r>
      <w:br w:type="page"/>
    </w:r>
    <w:p>
      <w:pPr>
        <w:pStyle w:val="Heading1"/>
        <w:spacing w:after="240" w:line="240"/>
      </w:pPr>
      <w:r>
        <w:t xml:space="preserve">4. DIRECT COMPETITOR PROFILES</w:t>
      </w:r>
    </w:p>
    <w:p>
      <w:pPr>
        <w:spacing w:after="120" w:line="200"/>
      </w:pPr>
      <w:r>
        <w:t xml:space="preserve">InstaDeep (Tunisia/UK) - Founded 2015, £47M+ Series B, Acquired by Google/DeepMind 2021. Strengths: Google/DeepMind credibility, African roots with European scale, high-IP research. Weaknesses: Narrow focus on deep learning, acquired status limits independence, limited enterprise implementation services.</w:t>
      </w:r>
    </w:p>
    <w:p>
      <w:pPr>
        <w:spacing w:after="120" w:line="200"/>
      </w:pPr>
      <w:r>
        <w:t xml:space="preserve">Lelapa AI (South Africa) - Founded 2020, &lt;$5M funding est. Strengths: Deep African language expertise, open-source approach, pan-African partnerships. Weaknesses: Narrow NLP focus, limited commercial revenue, underfunded.</w:t>
      </w:r>
    </w:p>
    <w:p>
      <w:pPr>
        <w:spacing w:after="240" w:line="200"/>
      </w:pPr>
      <w:r>
        <w:t xml:space="preserve">Data Science Nigeria (DSN) - Founded 2014, self-funded and grant-based. Strengths: Established Nigerian AI community leadership, deep market knowledge, grassroots credibility. Weaknesses: Limited commercial scale, no research/IP products, unsustainable funding model.</w:t>
      </w:r>
    </w:p>
    <w:p>
      <w:pPr>
        <w:pStyle w:val="Heading1"/>
        <w:spacing w:after="240" w:line="240"/>
      </w:pPr>
      <w:r>
        <w:t xml:space="preserve">5. FEATURE &amp; CAPABILITY COMPARISON MATRIX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color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Capability</w:t>
            </w:r>
          </w:p>
        </w:tc>
        <w:tc>
          <w:tcPr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color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Fixars</w:t>
            </w:r>
          </w:p>
        </w:tc>
        <w:tc>
          <w:tcPr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color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InstaDeep</w:t>
            </w:r>
          </w:p>
        </w:tc>
        <w:tc>
          <w:tcPr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color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Lelapa</w:t>
            </w:r>
          </w:p>
        </w:tc>
        <w:tc>
          <w:tcPr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color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DSN</w:t>
            </w:r>
          </w:p>
        </w:tc>
        <w:tc>
          <w:tcPr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color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McKinsey</w:t>
            </w:r>
          </w:p>
        </w:tc>
      </w:tr>
      <w:tr>
        <w:tc>
          <w:tcPr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Applied AI Research</w:t>
            </w:r>
          </w:p>
        </w:tc>
        <w:tc>
          <w:tcPr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High</w:t>
            </w:r>
          </w:p>
        </w:tc>
        <w:tc>
          <w:tcPr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Very High</w:t>
            </w:r>
          </w:p>
        </w:tc>
        <w:tc>
          <w:tcPr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Medium</w:t>
            </w:r>
          </w:p>
        </w:tc>
        <w:tc>
          <w:tcPr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Medium</w:t>
            </w:r>
          </w:p>
        </w:tc>
        <w:tc>
          <w:tcPr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High</w:t>
            </w:r>
          </w:p>
        </w:tc>
      </w:tr>
      <w:tr>
        <w:tc>
          <w:tcPr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Enterprise Solutions</w:t>
            </w:r>
          </w:p>
        </w:tc>
        <w:tc>
          <w:tcPr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High</w:t>
            </w:r>
          </w:p>
        </w:tc>
        <w:tc>
          <w:tcPr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Medium</w:t>
            </w:r>
          </w:p>
        </w:tc>
        <w:tc>
          <w:tcPr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Low</w:t>
            </w:r>
          </w:p>
        </w:tc>
        <w:tc>
          <w:tcPr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Low</w:t>
            </w:r>
          </w:p>
        </w:tc>
        <w:tc>
          <w:tcPr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Very High</w:t>
            </w:r>
          </w:p>
        </w:tc>
      </w:tr>
      <w:tr>
        <w:tc>
          <w:tcPr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Research Platform</w:t>
            </w:r>
          </w:p>
        </w:tc>
        <w:tc>
          <w:tcPr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Medium</w:t>
            </w:r>
          </w:p>
        </w:tc>
        <w:tc>
          <w:tcPr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High</w:t>
            </w:r>
          </w:p>
        </w:tc>
        <w:tc>
          <w:tcPr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Low</w:t>
            </w:r>
          </w:p>
        </w:tc>
        <w:tc>
          <w:tcPr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Low</w:t>
            </w:r>
          </w:p>
        </w:tc>
        <w:tc>
          <w:tcPr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Medium</w:t>
            </w:r>
          </w:p>
        </w:tc>
      </w:tr>
      <w:tr>
        <w:tc>
          <w:tcPr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Training &amp; Academy</w:t>
            </w:r>
          </w:p>
        </w:tc>
        <w:tc>
          <w:tcPr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High</w:t>
            </w:r>
          </w:p>
        </w:tc>
        <w:tc>
          <w:tcPr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Low</w:t>
            </w:r>
          </w:p>
        </w:tc>
        <w:tc>
          <w:tcPr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Low</w:t>
            </w:r>
          </w:p>
        </w:tc>
        <w:tc>
          <w:tcPr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Very High</w:t>
            </w:r>
          </w:p>
        </w:tc>
        <w:tc>
          <w:tcPr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Medium</w:t>
            </w:r>
          </w:p>
        </w:tc>
      </w:tr>
      <w:tr>
        <w:tc>
          <w:tcPr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White-Label Products</w:t>
            </w:r>
          </w:p>
        </w:tc>
        <w:tc>
          <w:tcPr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High</w:t>
            </w:r>
          </w:p>
        </w:tc>
        <w:tc>
          <w:tcPr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Low</w:t>
            </w:r>
          </w:p>
        </w:tc>
        <w:tc>
          <w:tcPr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Low</w:t>
            </w:r>
          </w:p>
        </w:tc>
        <w:tc>
          <w:tcPr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Low</w:t>
            </w:r>
          </w:p>
        </w:tc>
        <w:tc>
          <w:tcPr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Medium</w:t>
            </w:r>
          </w:p>
        </w:tc>
      </w:tr>
      <w:tr>
        <w:tc>
          <w:tcPr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African Market Focus</w:t>
            </w:r>
          </w:p>
        </w:tc>
        <w:tc>
          <w:tcPr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Very High</w:t>
            </w:r>
          </w:p>
        </w:tc>
        <w:tc>
          <w:tcPr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Medium</w:t>
            </w:r>
          </w:p>
        </w:tc>
        <w:tc>
          <w:tcPr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High</w:t>
            </w:r>
          </w:p>
        </w:tc>
        <w:tc>
          <w:tcPr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Very High</w:t>
            </w:r>
          </w:p>
        </w:tc>
        <w:tc>
          <w:tcPr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Low</w:t>
            </w:r>
          </w:p>
        </w:tc>
      </w:tr>
      <w:tr>
        <w:tc>
          <w:tcPr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EU/UK Compliance</w:t>
            </w:r>
          </w:p>
        </w:tc>
        <w:tc>
          <w:tcPr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Medium</w:t>
            </w:r>
          </w:p>
        </w:tc>
        <w:tc>
          <w:tcPr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High</w:t>
            </w:r>
          </w:p>
        </w:tc>
        <w:tc>
          <w:tcPr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Low</w:t>
            </w:r>
          </w:p>
        </w:tc>
        <w:tc>
          <w:tcPr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Low</w:t>
            </w:r>
          </w:p>
        </w:tc>
        <w:tc>
          <w:tcPr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Very High</w:t>
            </w:r>
          </w:p>
        </w:tc>
      </w:tr>
      <w:tr>
        <w:tc>
          <w:tcPr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Technology Transfer</w:t>
            </w:r>
          </w:p>
        </w:tc>
        <w:tc>
          <w:tcPr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High</w:t>
            </w:r>
          </w:p>
        </w:tc>
        <w:tc>
          <w:tcPr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Very High</w:t>
            </w:r>
          </w:p>
        </w:tc>
        <w:tc>
          <w:tcPr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Medium</w:t>
            </w:r>
          </w:p>
        </w:tc>
        <w:tc>
          <w:tcPr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Low</w:t>
            </w:r>
          </w:p>
        </w:tc>
        <w:tc>
          <w:tcPr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Medium</w:t>
            </w:r>
          </w:p>
        </w:tc>
      </w:tr>
      <w:tr>
        <w:tc>
          <w:tcPr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Funding/Resources</w:t>
            </w:r>
          </w:p>
        </w:tc>
        <w:tc>
          <w:tcPr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Low</w:t>
            </w:r>
          </w:p>
        </w:tc>
        <w:tc>
          <w:tcPr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Very High</w:t>
            </w:r>
          </w:p>
        </w:tc>
        <w:tc>
          <w:tcPr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Low</w:t>
            </w:r>
          </w:p>
        </w:tc>
        <w:tc>
          <w:tcPr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Low</w:t>
            </w:r>
          </w:p>
        </w:tc>
        <w:tc>
          <w:tcPr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Very High</w:t>
            </w:r>
          </w:p>
        </w:tc>
      </w:tr>
    </w:tbl>
    <w:p>
      <w:pPr>
        <w:spacing w:after="240" w:line="240"/>
      </w:pPr>
    </w:p>
    <w:r>
      <w:br w:type="page"/>
    </w:r>
    <w:p>
      <w:pPr>
        <w:pStyle w:val="Heading1"/>
        <w:spacing w:after="240" w:line="240"/>
      </w:pPr>
      <w:r>
        <w:t xml:space="preserve">6. MARKET POSITIONING ANALYSIS &amp; 7. FUNDING BENCHMARKS</w:t>
      </w:r>
    </w:p>
    <w:p>
      <w:pPr>
        <w:spacing w:after="240" w:line="200"/>
      </w:pPr>
      <w:r>
        <w:t xml:space="preserve">Fixars occupies a unique position at the intersection of: (1) African AI Market Emergence - Nigeria's AI market is largest in Africa, severely underserved by global AI leaders; (2) Enterprise AI Solutions Demand - African enterprises need implementation services; (3) Global Capability Access - UK registration enables developed market access.</w:t>
      </w:r>
    </w:p>
    <w:p>
      <w:pPr>
        <w:spacing w:after="240" w:line="200"/>
      </w:pPr>
      <w:r>
        <w:t xml:space="preserve">Funding Benchmarks: Seed Round Target: $500K-$1.5M at $3M-$7M pre-money valuation; Use of Funds: Product development, go-to-market, hiring; Series A Target: $2M-$5M at $15M-$35M pre-money. Key sources: Patamar Capital, Techstars Africa, Ada Ventures, UK AI Venture Fund.</w:t>
      </w:r>
    </w:p>
    <w:r>
      <w:br w:type="page"/>
    </w:r>
    <w:p>
      <w:pPr>
        <w:pStyle w:val="Heading1"/>
        <w:spacing w:after="240" w:line="240"/>
      </w:pPr>
      <w:r>
        <w:t xml:space="preserve">8. REVENUE MODEL COMPARISON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color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Company</w:t>
            </w:r>
          </w:p>
        </w:tc>
        <w:tc>
          <w:tcPr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color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Primary Revenue</w:t>
            </w:r>
          </w:p>
        </w:tc>
        <w:tc>
          <w:tcPr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color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Secondary</w:t>
            </w:r>
          </w:p>
        </w:tc>
        <w:tc>
          <w:tcPr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color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Est. Revenue</w:t>
            </w:r>
          </w:p>
        </w:tc>
        <w:tc>
          <w:tcPr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color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Margins</w:t>
            </w:r>
          </w:p>
        </w:tc>
      </w:tr>
      <w:tr>
        <w:tc>
          <w:tcPr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InstaDeep</w:t>
            </w:r>
          </w:p>
        </w:tc>
        <w:tc>
          <w:tcPr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Licensing (acq.)</w:t>
            </w:r>
          </w:p>
        </w:tc>
        <w:tc>
          <w:tcPr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Research partnerships</w:t>
            </w:r>
          </w:p>
        </w:tc>
        <w:tc>
          <w:tcPr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Unknown (Google)</w:t>
            </w:r>
          </w:p>
        </w:tc>
        <w:tc>
          <w:tcPr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High (SaaS)</w:t>
            </w:r>
          </w:p>
        </w:tc>
      </w:tr>
      <w:tr>
        <w:tc>
          <w:tcPr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Lelapa AI</w:t>
            </w:r>
          </w:p>
        </w:tc>
        <w:tc>
          <w:tcPr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Consulting + licensing</w:t>
            </w:r>
          </w:p>
        </w:tc>
        <w:tc>
          <w:tcPr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Open-source (grants)</w:t>
            </w:r>
          </w:p>
        </w:tc>
        <w:tc>
          <w:tcPr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&lt; $500K</w:t>
            </w:r>
          </w:p>
        </w:tc>
        <w:tc>
          <w:tcPr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Low-Med</w:t>
            </w:r>
          </w:p>
        </w:tc>
      </w:tr>
      <w:tr>
        <w:tc>
          <w:tcPr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DSN</w:t>
            </w:r>
          </w:p>
        </w:tc>
        <w:tc>
          <w:tcPr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Training/workshops</w:t>
            </w:r>
          </w:p>
        </w:tc>
        <w:tc>
          <w:tcPr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Corporate sponsorships</w:t>
            </w:r>
          </w:p>
        </w:tc>
        <w:tc>
          <w:tcPr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&lt; $1M</w:t>
            </w:r>
          </w:p>
        </w:tc>
        <w:tc>
          <w:tcPr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Low</w:t>
            </w:r>
          </w:p>
        </w:tc>
      </w:tr>
      <w:tr>
        <w:tc>
          <w:tcPr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Zindi</w:t>
            </w:r>
          </w:p>
        </w:tc>
        <w:tc>
          <w:tcPr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Competition fees</w:t>
            </w:r>
          </w:p>
        </w:tc>
        <w:tc>
          <w:tcPr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Recruiting, partnerships</w:t>
            </w:r>
          </w:p>
        </w:tc>
        <w:tc>
          <w:tcPr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$2M+</w:t>
            </w:r>
          </w:p>
        </w:tc>
        <w:tc>
          <w:tcPr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Medium-High</w:t>
            </w:r>
          </w:p>
        </w:tc>
      </w:tr>
      <w:tr>
        <w:tc>
          <w:tcPr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McKinsey QB</w:t>
            </w:r>
          </w:p>
        </w:tc>
        <w:tc>
          <w:tcPr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Time &amp; materials</w:t>
            </w:r>
          </w:p>
        </w:tc>
        <w:tc>
          <w:tcPr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IP licensing, software</w:t>
            </w:r>
          </w:p>
        </w:tc>
        <w:tc>
          <w:tcPr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$500M+</w:t>
            </w:r>
          </w:p>
        </w:tc>
        <w:tc>
          <w:tcPr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Very High</w:t>
            </w:r>
          </w:p>
        </w:tc>
      </w:tr>
    </w:tbl>
    <w:p>
      <w:pPr>
        <w:spacing w:line="240"/>
      </w:pPr>
    </w:p>
    <w:p>
      <w:pPr>
        <w:spacing w:after="240" w:line="200"/>
      </w:pPr>
      <w:r>
        <w:t xml:space="preserve">Fixars Recommended Model: Research Intelligence Platform (40% - $5K-$50K annually); Custom AI Solutions (35% - $50K-$500K per project); AI Training &amp; Academy (15% - $500-$5K per participant); White-Label &amp; Licensing (10% - 10-20% of partner revenue).</w:t>
      </w:r>
    </w:p>
    <w:r>
      <w:br w:type="page"/>
    </w:r>
    <w:p>
      <w:pPr>
        <w:pStyle w:val="Heading1"/>
        <w:spacing w:after="240" w:line="240"/>
      </w:pPr>
      <w:r>
        <w:t xml:space="preserve">9. GEOGRAPHIC MARKET OPPORTUNITY ANALYSIS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color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Market</w:t>
            </w:r>
          </w:p>
        </w:tc>
        <w:tc>
          <w:tcPr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color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Size</w:t>
            </w:r>
          </w:p>
        </w:tc>
        <w:tc>
          <w:tcPr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color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Growth</w:t>
            </w:r>
          </w:p>
        </w:tc>
        <w:tc>
          <w:tcPr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color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Difficulty</w:t>
            </w:r>
          </w:p>
        </w:tc>
        <w:tc>
          <w:tcPr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color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Competition</w:t>
            </w:r>
          </w:p>
        </w:tc>
        <w:tc>
          <w:tcPr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color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Priority</w:t>
            </w:r>
          </w:p>
        </w:tc>
      </w:tr>
      <w:tr>
        <w:tc>
          <w:tcPr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Nigeria</w:t>
            </w:r>
          </w:p>
        </w:tc>
        <w:tc>
          <w:tcPr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$350M+</w:t>
            </w:r>
          </w:p>
        </w:tc>
        <w:tc>
          <w:tcPr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27% YoY</w:t>
            </w:r>
          </w:p>
        </w:tc>
        <w:tc>
          <w:tcPr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Low</w:t>
            </w:r>
          </w:p>
        </w:tc>
        <w:tc>
          <w:tcPr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Medium</w:t>
            </w:r>
          </w:p>
        </w:tc>
        <w:tc>
          <w:tcPr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P1 - Immediate</w:t>
            </w:r>
          </w:p>
        </w:tc>
      </w:tr>
      <w:tr>
        <w:tc>
          <w:tcPr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Sub-Saharan Africa</w:t>
            </w:r>
          </w:p>
        </w:tc>
        <w:tc>
          <w:tcPr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$1.5B</w:t>
            </w:r>
          </w:p>
        </w:tc>
        <w:tc>
          <w:tcPr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25% YoY</w:t>
            </w:r>
          </w:p>
        </w:tc>
        <w:tc>
          <w:tcPr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Medium</w:t>
            </w:r>
          </w:p>
        </w:tc>
        <w:tc>
          <w:tcPr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Low-Med</w:t>
            </w:r>
          </w:p>
        </w:tc>
        <w:tc>
          <w:tcPr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P1 - Year 1</w:t>
            </w:r>
          </w:p>
        </w:tc>
      </w:tr>
      <w:tr>
        <w:tc>
          <w:tcPr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UK</w:t>
            </w:r>
          </w:p>
        </w:tc>
        <w:tc>
          <w:tcPr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£1.17B gov + $10B</w:t>
            </w:r>
          </w:p>
        </w:tc>
        <w:tc>
          <w:tcPr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12% YoY</w:t>
            </w:r>
          </w:p>
        </w:tc>
        <w:tc>
          <w:tcPr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High</w:t>
            </w:r>
          </w:p>
        </w:tc>
        <w:tc>
          <w:tcPr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High</w:t>
            </w:r>
          </w:p>
        </w:tc>
        <w:tc>
          <w:tcPr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P2 - Year 1-2</w:t>
            </w:r>
          </w:p>
        </w:tc>
      </w:tr>
      <w:tr>
        <w:tc>
          <w:tcPr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Europe (ex. UK)</w:t>
            </w:r>
          </w:p>
        </w:tc>
        <w:tc>
          <w:tcPr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€35B (proj.)</w:t>
            </w:r>
          </w:p>
        </w:tc>
        <w:tc>
          <w:tcPr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14% YoY</w:t>
            </w:r>
          </w:p>
        </w:tc>
        <w:tc>
          <w:tcPr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High</w:t>
            </w:r>
          </w:p>
        </w:tc>
        <w:tc>
          <w:tcPr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Very High</w:t>
            </w:r>
          </w:p>
        </w:tc>
        <w:tc>
          <w:tcPr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P2 - Year 2-3</w:t>
            </w:r>
          </w:p>
        </w:tc>
      </w:tr>
      <w:tr>
        <w:tc>
          <w:tcPr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North America</w:t>
            </w:r>
          </w:p>
        </w:tc>
        <w:tc>
          <w:tcPr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$150B+</w:t>
            </w:r>
          </w:p>
        </w:tc>
        <w:tc>
          <w:tcPr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18% YoY</w:t>
            </w:r>
          </w:p>
        </w:tc>
        <w:tc>
          <w:tcPr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Very High</w:t>
            </w:r>
          </w:p>
        </w:tc>
        <w:tc>
          <w:tcPr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Very High</w:t>
            </w:r>
          </w:p>
        </w:tc>
        <w:tc>
          <w:tcPr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P3 - Year 3+</w:t>
            </w:r>
          </w:p>
        </w:tc>
      </w:tr>
    </w:tbl>
    <w:p>
      <w:pPr>
        <w:spacing w:line="240"/>
      </w:pPr>
    </w:p>
    <w:p>
      <w:pPr>
        <w:spacing w:after="240" w:line="200"/>
      </w:pPr>
      <w:r>
        <w:t xml:space="preserve">Entry Roadmap - Phase 1A (Months 1-6): Nigeria select verticals, $150K revenue, 3+ named clients. Phase 1B (Months 6-12): Nigeria expansion, $250K revenue, 10+ clients, MoM 15% growth. Phase 2A (Months 12-18): Pan-African hubs, $350K revenue, 3+ countries. Phase 2B (Months 12-18): UK + academic, $150K revenue, 3+ institutional pilots. Phase 3 (Months 18-36): Europe expansion, $1M+ revenue, 20+ enterprise customers.</w:t>
      </w:r>
    </w:p>
    <w:r>
      <w:br w:type="page"/>
    </w:r>
    <w:p>
      <w:pPr>
        <w:pStyle w:val="Heading1"/>
        <w:spacing w:after="240" w:line="240"/>
      </w:pPr>
      <w:r>
        <w:t xml:space="preserve">10-15. TECHNOLOGY STACK, TALENT, SWOT, STRATEGY &amp; APPENDIX</w:t>
      </w:r>
    </w:p>
    <w:p>
      <w:pPr>
        <w:spacing w:after="120" w:line="200"/>
      </w:pPr>
      <w:r>
        <w:t xml:space="preserve">Technology Stack: Fixars - PyTorch, TensorFlow, Spark, Pandas, SQL, AWS/GCP, Docker, K8s, BERT, GPT variants. Roadmap: Q1-Q2 2026 MVP (platform indexing, AI extraction, custom solutions framework); Q3-Q4 2026 feature expansion (collaborative features, API, industry-specific models); 2027+ advanced capabilities (proprietary foundation models, advanced reasoning, industry partnerships).</w:t>
      </w:r>
    </w:p>
    <w:p>
      <w:pPr>
        <w:spacing w:after="120" w:line="200"/>
      </w:pPr>
      <w:r>
        <w:t xml:space="preserve">Talent: Recommended team - Founding (4-6): CEO, CTO, VP Product, Senior ML Engineer, BD Head. Growth Phase (8-12 added): 2-3 ML engineers, 2 product managers, 1-2 sales engineers, 1 academy lead, 2-3 operations. Cost advantage: $50K-$80K (Africa) vs $120K-$180K (UK/US). Talent sourcing: Masakhane, Data Science Nigeria, Zindi top performers.</w:t>
      </w:r>
    </w:p>
    <w:p>
      <w:pPr>
        <w:spacing w:after="120" w:line="200"/>
      </w:pPr>
      <w:r>
        <w:t xml:space="preserve">SWOT - Strengths: Diversified portfolio, African access, UK credibility, low cost base, talent pipeline opportunity. Weaknesses: Limited funding, no proven PMF, early-stage team, limited brand, African ops seen as higher-risk. Opportunities: 27% CAGR African market, underserved enterprise segment, strategic partnerships (Zindi, Masakhane, DSN), UK procurement, M&amp;A potential. Threats: McKinsey/Accenture expansion, tech giant initiatives, open-source alternatives, talent poaching, regulatory changes.</w:t>
      </w:r>
    </w:p>
    <w:p>
      <w:pPr>
        <w:spacing w:after="120" w:line="200"/>
      </w:pPr>
      <w:r>
        <w:t xml:space="preserve">Strategic Recommendations: (1) Establish market segment leadership - Define "Enterprise AI for African Markets", secure 3-5 named customers, build case studies; (2) Accelerate RIP - 100K+ index MVP, 2-3 university pilots, API access; (3) Build GTM infrastructure - Hire VP Sales/BD, establish 5-10 partner relationships, attend key events; (4) Raise seed funding - $500K-$1.5M at $3M-$7M valuation; (5) Strategic partnerships - Zindi co-marketing, Masakhane joint research, DSN cross-promotion.</w:t>
      </w:r>
    </w:p>
    <w:p>
      <w:pPr>
        <w:spacing w:after="240" w:line="200"/>
      </w:pPr>
      <w:r>
        <w:t xml:space="preserve">Data Sources &amp; Methodology: Market sizing from IDC, Statista, Grand View Research; African AI data from Disrupt Africa, TechCrunch Africa, Crunchbase, PitchBook; Competitive intelligence from company websites, LinkedIn, press releases, CB Insights, Forrester, Gartner. Methodology: (1) Market Sizing - aggregated data with growth rates applied; (2) Competitor Profiling - desktop research of websites, funding, news; (3) Capability Assessment - evaluative scoring on products, case studies, reputation; (4) Valuation Benchmarking - comparable company analysis; (5) Market Entry - qualitative scoring on market size, growth, competition, regulatory, strategic fit. Key Assumptions: 27% Nigerian AI growth sustainable through 2027; Fixars achieves PMF by Q2 2026; African enterprises prefer local/regional partners; No major macro disruptions; $500K-$1.5M seed funding within 6 months. Limitations: African AI estimates are directional; competitor financials largely estimated; analysis reflects March 2026 market conditions; recommendations based on public information and best practices.</w:t>
      </w:r>
    </w:p>
    <w:p>
      <w:pPr>
        <w:spacing w:after="120" w:line="240"/>
        <w:jc w:val="center"/>
      </w:pPr>
      <w:r>
        <w:t xml:space="preserve">End of Report</w:t>
      </w:r>
    </w:p>
    <w:p>
      <w:pPr>
        <w:spacing w:line="120"/>
        <w:jc w:val="center"/>
      </w:pPr>
      <w:r>
        <w:t xml:space="preserve">Fixars Laboratories | UK AI Think Tank &amp; Solutions Laboratory | March 2026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2026-03-11T08:44:49.620Z</dcterms:created>
  <dcterms:modified xsi:type="dcterms:W3CDTF">2026-03-11T08:44:49.621Z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