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pBdr>
          <w:bottom w:val="single" w:color="2E75B6" w:sz="6" w:space="1"/>
        </w:pBdr>
        <w:spacing w:after="120" w:before="240"/>
      </w:pPr>
      <w:r>
        <w:t xml:space="preserve">RISK MITIGATION STRATEGY</w:t>
      </w:r>
    </w:p>
    <w:p>
      <w:pPr>
        <w:pStyle w:val="Heading2"/>
        <w:pStyle w:val="Heading2"/>
        <w:spacing w:after="100" w:before="200"/>
      </w:pPr>
      <w:r>
        <w:t xml:space="preserve">Risk Register &amp; Mitigation</w:t>
      </w:r>
    </w:p>
    <w:p>
      <w:pPr>
        <w:pStyle w:val="Heading3"/>
        <w:pStyle w:val="Heading3"/>
        <w:spacing w:after="80" w:before="160"/>
      </w:pPr>
      <w:r>
        <w:t xml:space="preserve">Market Risk: Low demand for AI services in African markets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Likelihood: MEDIUM | Impact: HIGH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Mitigation: Start with government pilots (predictable demand), partner with NITDA for validation, diversify across 3 revenue streams by Month 6</w:t>
      </w:r>
    </w:p>
    <w:p>
      <w:pPr>
        <w:pStyle w:val="Heading3"/>
        <w:pStyle w:val="Heading3"/>
        <w:spacing w:after="80" w:before="160"/>
      </w:pPr>
      <w:r>
        <w:t xml:space="preserve">Competition Risk: Large consulting firms (McKinsey, Accenture) enter African market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Likelihood: MEDIUM-HIGH | Impact: MEDIUM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Mitigation: Build defensible IP (AfriLLM, patents), focus on research + solutions (not just consulting), establish first-mover advantage in GovTech</w:t>
      </w:r>
    </w:p>
    <w:p>
      <w:pPr>
        <w:pStyle w:val="Heading3"/>
        <w:pStyle w:val="Heading3"/>
        <w:spacing w:after="80" w:before="160"/>
      </w:pPr>
      <w:r>
        <w:t xml:space="preserve">Regulatory Risk: Government restrictions on AI/data access in target markets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Likelihood: LOW-MEDIUM | Impact: HIGH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Mitigation: Engage with NITDA early, build government relationships, offer data-sovereign solutions, comply with AI Act (UK/EU)</w:t>
      </w:r>
    </w:p>
    <w:p>
      <w:pPr>
        <w:pStyle w:val="Heading3"/>
        <w:pStyle w:val="Heading3"/>
        <w:spacing w:after="80" w:before="160"/>
      </w:pPr>
      <w:r>
        <w:t xml:space="preserve">Talent Risk: Difficulty hiring experienced AI/ML engineers in Africa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Likelihood: MEDIUM | Impact: MEDIUM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Mitigation: Remote hiring (UK, Europe), academy cohorts create talent pipeline, partner with universities</w:t>
      </w:r>
    </w:p>
    <w:p>
      <w:pPr>
        <w:pStyle w:val="Heading3"/>
        <w:pStyle w:val="Heading3"/>
        <w:spacing w:after="80" w:before="160"/>
      </w:pPr>
      <w:r>
        <w:t xml:space="preserve">Funding Risk: Series A fundraising in challenging market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Likelihood: MEDIUM | Impact: MEDIUM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Mitigation: Achieve cash-flow positive by Month 15, demonstrate unit economics, target impact investors</w:t>
      </w:r>
    </w:p>
    <w:p>
      <w:pPr>
        <w:pStyle w:val="Heading3"/>
        <w:pStyle w:val="Heading3"/>
        <w:spacing w:after="80" w:before="160"/>
      </w:pPr>
      <w:r>
        <w:t xml:space="preserve">Execution Risk: Inability to deliver 18-month acceleration plan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Likelihood: MEDIUM | Impact: HIGH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Mitigation: Hire experienced operators, clear phase-gates, monthly board reviews, realistic hiring plan</w:t>
      </w:r>
    </w:p>
    <w:p>
      <w:pPr>
        <w:pStyle w:val="Heading3"/>
        <w:pStyle w:val="Heading3"/>
        <w:spacing w:after="80" w:before="160"/>
      </w:pPr>
      <w:r>
        <w:t xml:space="preserve">Technology Risk: AI models underperform in African language/context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Likelihood: LOW | Impact: MEDIUM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Mitigation: Start with pilot deployments, iterate based on feedback, partner with research institutions</w:t>
      </w:r>
    </w:p>
    <w:p>
      <w:pPr>
        <w:pStyle w:val="Heading3"/>
        <w:pStyle w:val="Heading3"/>
        <w:spacing w:after="80" w:before="160"/>
      </w:pPr>
      <w:r>
        <w:t xml:space="preserve">Partnership Risk: Key government/corporate partners delay or cancel pilots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Likelihood: MEDIUM | Impact: MEDIUM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Mitigation: Diversify partnerships (aim for 3+ per segment), establish clear SLAs, build alternative pipelines</w:t>
      </w:r>
    </w:p>
    <w:r>
      <w:br w:type="page"/>
    </w:r>
    <w:p>
      <w:pPr>
        <w:pStyle w:val="Heading1"/>
        <w:pStyle w:val="Heading1"/>
        <w:pBdr>
          <w:bottom w:val="single" w:color="2E75B6" w:sz="6" w:space="1"/>
        </w:pBdr>
        <w:spacing w:after="120" w:before="240"/>
      </w:pPr>
      <w:r>
        <w:t xml:space="preserve">KPIs &amp; SUCCESS METRICS</w:t>
      </w:r>
    </w:p>
    <w:p>
      <w:pPr>
        <w:pStyle w:val="Heading2"/>
        <w:pStyle w:val="Heading2"/>
        <w:spacing w:after="100" w:before="200"/>
      </w:pPr>
      <w:r>
        <w:t xml:space="preserve">Phase 1 (Months 1-3) KPIs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Team: 4 founding hires complete (Head of Research, Solutions, Academy, CFO)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Product: 3 MVPs launched (Research Intelligence, GovTech, Academy)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Partnership: 2-3 pilot partnerships signed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Brand: Website launch, social media presence, 500+ followers</w:t>
      </w:r>
    </w:p>
    <w:p>
      <w:pPr>
        <w:pStyle w:val="Heading2"/>
        <w:pStyle w:val="Heading2"/>
        <w:spacing w:after="100" w:before="200"/>
      </w:pPr>
      <w:r>
        <w:t xml:space="preserve">Phase 2 (Months 4-6) KPIs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Revenue: £70-140K cumulative revenue, 2-3 paying customers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Product: Beta users on Research Intelligence (10-15 users), Academy cohort 1 (30-50 students)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Team: Expand to 8-9 people (Sales/BD lead, Solution Architects, Academy Manager)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Content: 10+ published articles/white papers, 3+ webinars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Customer Acquisition Cost (CAC): £5-10K per customer</w:t>
      </w:r>
    </w:p>
    <w:p>
      <w:pPr>
        <w:pStyle w:val="Heading2"/>
        <w:pStyle w:val="Heading2"/>
        <w:spacing w:after="100" w:before="200"/>
      </w:pPr>
      <w:r>
        <w:t xml:space="preserve">Phase 3 (Months 7-12) KPIs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Revenue: £365-735K cumulative revenue, 12-15 active customers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Product: Research Intelligence (20-30 users), Academy (3-4 cohorts), GovTech (2-3 deployments)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Team: Expand to 12-14 people, establish sales organization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Geographic: Nigeria £50K+, Africa expansion initiated, UK £40-60K pipeline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Unit Economics: CAC £6-8K, LTV £40-60K, 6-8x ratio</w:t>
      </w:r>
    </w:p>
    <w:p>
      <w:pPr>
        <w:pStyle w:val="Heading2"/>
        <w:pStyle w:val="Heading2"/>
        <w:spacing w:after="100" w:before="200"/>
      </w:pPr>
      <w:r>
        <w:t xml:space="preserve">Phase 4 (Months 13-18) KPIs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Revenue: £735-2.8M cumulative revenue, £120-240K monthly run rate by Month 18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Product: SaaS platform live (Research Intelligence), 50-80 active users, 15-20 AfriLLM licensees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Team: Expand to 18-25 people, offices in UK + 2-3 African countries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Cash Flow: Positive operating cash flow by Month 15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Funding: Series A closed (£2-3M), 18-24 month runway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Customer Segments: 40% government, 35% enterprise, 25% other (academy, licensing)</w:t>
      </w:r>
    </w:p>
    <w:p>
      <w:pPr>
        <w:pStyle w:val="Heading2"/>
        <w:pStyle w:val="Heading2"/>
        <w:spacing w:after="100" w:before="200"/>
      </w:pPr>
      <w:r>
        <w:t xml:space="preserve">Long-Term Success Metrics (Month 24+)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Revenue: £2-5M ARR, 50%+ from recurring revenue (SaaS, licensing)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Profitability: 30%+ operating margin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Geographic: Revenue from 4+ countries (Nigeria, Kenya, South Africa, UK, others)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Market Position: Top 3 AI solutions provider in Africa, recognized by investors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Team: 30-40 people, established offices, research published in top journals</w:t>
      </w:r>
    </w:p>
    <w:r>
      <w:br w:type="page"/>
    </w:r>
    <w:p>
      <w:pPr>
        <w:pStyle w:val="Heading1"/>
        <w:pStyle w:val="Heading1"/>
        <w:pBdr>
          <w:bottom w:val="single" w:color="2E75B6" w:sz="6" w:space="1"/>
        </w:pBdr>
        <w:spacing w:after="120" w:before="240"/>
      </w:pPr>
      <w:r>
        <w:t xml:space="preserve">GOVERNANCE &amp; DECISION-MAKING FRAMEWORK</w:t>
      </w:r>
    </w:p>
    <w:p>
      <w:pPr>
        <w:pStyle w:val="Heading2"/>
        <w:pStyle w:val="Heading2"/>
        <w:spacing w:after="100" w:before="200"/>
      </w:pPr>
      <w:r>
        <w:t xml:space="preserve">Board Structure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Ade Afinnih: CEO &amp; Board Chair (63.45% effective control)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2-3 Independent Board Members: Investor representatives, domain experts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Advisory Board: 5-7 experts in AI, government, fintech, African markets</w:t>
      </w:r>
    </w:p>
    <w:p>
      <w:pPr>
        <w:pStyle w:val="Heading2"/>
        <w:pStyle w:val="Heading2"/>
        <w:spacing w:after="100" w:before="200"/>
      </w:pPr>
      <w:r>
        <w:t xml:space="preserve">Decision-Making Framework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Strategic Decisions (£50K+, new markets, partnerships): Board approval required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Operational Decisions (£10-50K, hiring, product): CEO + relevant department head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Tactical Decisions (&lt;£10K, vendor selection, minor pivots): Department head discretion</w:t>
      </w:r>
    </w:p>
    <w:p>
      <w:pPr>
        <w:pStyle w:val="Heading2"/>
        <w:pStyle w:val="Heading2"/>
        <w:spacing w:after="100" w:before="200"/>
      </w:pPr>
      <w:r>
        <w:t xml:space="preserve">Governance Practices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Monthly Board Meetings: Review KPIs, pipeline, funding, risks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Quarterly Board Meetings: Strategic reviews, investor updates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Monthly All-Hands: Transparency, celebrate wins, align on priorities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Weekly Leadership Team: Cross-functional alignment, issue resolution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Clear equity structure: Cap table maintained, equity vesting (4-year, 1-year cliff)</w:t>
      </w:r>
    </w:p>
    <w:p>
      <w:pPr>
        <w:pStyle w:val="Heading2"/>
        <w:pStyle w:val="Heading2"/>
        <w:spacing w:after="100" w:before="200"/>
      </w:pPr>
      <w:r>
        <w:t xml:space="preserve">Compliance &amp; Risk Management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Data Privacy: GDPR compliance (UK/EU customers), CCPA alignment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AI Ethics: Responsible AI framework, bias testing, transparency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Financial: Monthly P&amp;L reviews, quarterly audits, SEIS/EIS compliance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Regulatory: NITDA alignment (Nigeria), UK FCA if fintech offerings</w:t>
      </w:r>
    </w:p>
    <w:r>
      <w:br w:type="page"/>
    </w:r>
    <w:p>
      <w:pPr>
        <w:pStyle w:val="Heading1"/>
        <w:pStyle w:val="Heading1"/>
        <w:pBdr>
          <w:bottom w:val="single" w:color="2E75B6" w:sz="6" w:space="1"/>
        </w:pBdr>
        <w:spacing w:after="120" w:before="240"/>
      </w:pPr>
      <w:r>
        <w:t xml:space="preserve">STRATEGIC PARTNERSHIPS &amp; ECOSYSTEM</w:t>
      </w:r>
    </w:p>
    <w:p>
      <w:pPr>
        <w:pStyle w:val="Heading2"/>
        <w:pStyle w:val="Heading2"/>
        <w:spacing w:after="100" w:before="200"/>
      </w:pPr>
      <w:r>
        <w:t xml:space="preserve">Government Partnerships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NITDA (Nigeria): AI policy alignment, incubation support, government referrals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Nigeria Ministry of Education: Thesis repository pilot, research support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UK Government Digital Service: Procurement framework access, policy alignment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African governments: Education, fintech regulation, digitization initiatives</w:t>
      </w:r>
    </w:p>
    <w:p>
      <w:pPr>
        <w:pStyle w:val="Heading2"/>
        <w:pStyle w:val="Heading2"/>
        <w:spacing w:after="100" w:before="200"/>
      </w:pPr>
      <w:r>
        <w:t xml:space="preserve">University &amp; Research Partnerships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University of Lagos: Research collaboration, student pipeline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UK Universities: Joint research programs, student internships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African universities: Regional research network, talent pipeline</w:t>
      </w:r>
    </w:p>
    <w:p>
      <w:pPr>
        <w:pStyle w:val="Heading2"/>
        <w:pStyle w:val="Heading2"/>
        <w:spacing w:after="100" w:before="200"/>
      </w:pPr>
      <w:r>
        <w:t xml:space="preserve">Corporate Partnerships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Major African banks: Custom solutions, fintech AI white-label licensing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Fintech firms: Fraud detection, credit scoring licensing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Consulting firms: Subcontracting custom solutions, referral partnerships</w:t>
      </w:r>
    </w:p>
    <w:p>
      <w:pPr>
        <w:pStyle w:val="Heading2"/>
        <w:pStyle w:val="Heading2"/>
        <w:spacing w:after="100" w:before="200"/>
      </w:pPr>
      <w:r>
        <w:t xml:space="preserve">Technology Partnerships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AWS: Cloud infrastructure, AI services (SageMaker, Textract)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Open-source communities: Participation, contribution, model licensing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Model providers: Integration of OpenAI, Anthropic, open-source models</w:t>
      </w:r>
    </w:p>
    <w:p>
      <w:pPr>
        <w:pStyle w:val="Heading2"/>
        <w:pStyle w:val="Heading2"/>
        <w:spacing w:after="100" w:before="200"/>
      </w:pPr>
      <w:r>
        <w:t xml:space="preserve">Ecosystem Development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Webinar series: Monthly thought leadership on AI in Africa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Developer community: Open APIs, SDK documentation, developer contests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Research publications: Monthly research digest, quarterly journal submissions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Conference participation: AI summits, fintech conferences, government forums</w:t>
      </w:r>
    </w:p>
    <w:r>
      <w:br w:type="page"/>
    </w:r>
    <w:p>
      <w:pPr>
        <w:pStyle w:val="Heading1"/>
        <w:pStyle w:val="Heading1"/>
        <w:pBdr>
          <w:bottom w:val="single" w:color="2E75B6" w:sz="6" w:space="1"/>
        </w:pBdr>
        <w:spacing w:after="120" w:before="240"/>
      </w:pPr>
      <w:r>
        <w:t xml:space="preserve">IMPLEMENTATION GANTT CHART (18-MONTH TIMELINE)</w:t>
      </w:r>
    </w:p>
    <w:p>
      <w:pPr>
        <w:pStyle w:val="Heading2"/>
        <w:pStyle w:val="Heading2"/>
        <w:spacing w:after="100" w:before="200"/>
      </w:pPr>
      <w:r>
        <w:t xml:space="preserve">Quarter 1 (Months 1-3): Foundation &amp; Pilot</w:t>
      </w:r>
    </w:p>
    <w:p>
      <w:pPr>
        <w:spacing w:after="120" w:line="360"/>
      </w:pPr>
      <w:r>
        <w:t xml:space="preserve">Q1 Milestones: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Week 1-2: UK company registration, NITDA engagement, bank setup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Week 3-4: Hire founding team (4 people), office/workspace setup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Week 5-8: Research Intelligence MVP, GovTech MVP development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Week 9-12: Academy MVP curriculum, pilot partnerships, brand development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Burn: £24-30K | Funding: £40K seed</w:t>
      </w:r>
    </w:p>
    <w:p>
      <w:pPr>
        <w:pStyle w:val="Heading2"/>
        <w:pStyle w:val="Heading2"/>
        <w:spacing w:after="100" w:before="200"/>
      </w:pPr>
      <w:r>
        <w:t xml:space="preserve">Quarter 2 (Months 4-6): Launch &amp; Traction</w:t>
      </w:r>
    </w:p>
    <w:p>
      <w:pPr>
        <w:spacing w:after="120" w:line="360"/>
      </w:pPr>
      <w:r>
        <w:t xml:space="preserve">Q2 Milestones: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Week 13-16: Website launch, brand launch, first paying customers (2-3)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Week 17-20: Academy first cohort (30-50 students), GovTech pilot results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Week 21-24: Hire sales/BD team, secure 5+ enterprise pilots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Revenue: £70-140K | Burn: £45-54K | Funding: Pre-seed discussions</w:t>
      </w:r>
    </w:p>
    <w:p>
      <w:pPr>
        <w:pStyle w:val="Heading2"/>
        <w:pStyle w:val="Heading2"/>
        <w:spacing w:after="100" w:before="200"/>
      </w:pPr>
      <w:r>
        <w:t xml:space="preserve">Quarter 3 (Months 7-12): Scale</w:t>
      </w:r>
    </w:p>
    <w:p>
      <w:pPr>
        <w:spacing w:after="120" w:line="360"/>
      </w:pPr>
      <w:r>
        <w:t xml:space="preserve">Q3 Milestones: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Week 25-28: Seed funding close (£500K-1M), expand team (8-10 new hires)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Week 29-36: UK Public Sector push, Africa expansion (Kenya, South Africa, Ghana)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Week 37-40: Launch AfriLLM Licensing (5+ partners), Series A prep begins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Week 41-44: Achieve £420K+ ARR, establish board, governance structure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Revenue: £365-735K | Burn: £150-210K (seed funded) | Series A pipeline</w:t>
      </w:r>
    </w:p>
    <w:p>
      <w:pPr>
        <w:pStyle w:val="Heading2"/>
        <w:pStyle w:val="Heading2"/>
        <w:spacing w:after="100" w:before="200"/>
      </w:pPr>
      <w:r>
        <w:t xml:space="preserve">Quarter 4 (Months 13-18): Acceleration</w:t>
      </w:r>
    </w:p>
    <w:p>
      <w:pPr>
        <w:spacing w:after="120" w:line="360"/>
      </w:pPr>
      <w:r>
        <w:t xml:space="preserve">Q4 Milestones: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Week 45-48: Series A fundraising begins (£2-3M target)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Week 49-52: Expand UK (10+ deals), launch European pilots (Netherlands, Germany)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Week 53-56: Achieve cash-flow positive (Month 15), hire European sales lead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Week 57-60: Series A close (£2-3M), scale to 20-25 people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Week 61-64: Demonstrate £850K+ ARR, establish multi-country presence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Revenue: £735-2.8M cumulative | Series A deployment | Series B pipeline</w:t>
      </w:r>
    </w:p>
    <w:r>
      <w:br w:type="page"/>
    </w:r>
    <w:p>
      <w:pPr>
        <w:pStyle w:val="Heading1"/>
        <w:pStyle w:val="Heading1"/>
        <w:pBdr>
          <w:bottom w:val="single" w:color="2E75B6" w:sz="6" w:space="1"/>
        </w:pBdr>
        <w:spacing w:after="120" w:before="240"/>
      </w:pPr>
      <w:r>
        <w:t xml:space="preserve">APPENDIX: KEY ASSUMPTIONS &amp; REFERENCES</w:t>
      </w:r>
    </w:p>
    <w:p>
      <w:pPr>
        <w:pStyle w:val="Heading2"/>
        <w:pStyle w:val="Heading2"/>
        <w:spacing w:after="100" w:before="200"/>
      </w:pPr>
      <w:r>
        <w:t xml:space="preserve">Key Assumptions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AI services market grows 25% CAGR through 2030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Nigeria AI market grows 27% annually, reaches £15B by 2030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UK government AI procurement grows 55% YoY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Fixars can achieve 6-8x LTV:CAC ratio by Month 12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Team retention: 95%+ in Months 1-12, 90%+ in Months 13-18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Sales cycle: 2-4 months enterprise, 3-6 months government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Funding: Seed available at £10M pre-money, Series A at £15-20M pre-money</w:t>
      </w:r>
    </w:p>
    <w:p>
      <w:pPr>
        <w:pStyle w:val="Heading2"/>
        <w:pStyle w:val="Heading2"/>
        <w:spacing w:after="100" w:before="200"/>
      </w:pPr>
      <w:r>
        <w:t xml:space="preserve">Market Data Sources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Applied AI Services Market: Gartner AI/ML market forecasts (2025-2030)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Nigeria AI Market: NITDA AI Strategy, IDC Africa growth forecasts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UK Government AI Procurement: Crown Commercial Service (CCS) data, 55% YoY growth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African Markets: World Bank, African Development Bank, national statistics</w:t>
      </w:r>
    </w:p>
    <w:p>
      <w:pPr>
        <w:pStyle w:val="Heading2"/>
        <w:pStyle w:val="Heading2"/>
        <w:spacing w:after="100" w:before="200"/>
      </w:pPr>
      <w:r>
        <w:t xml:space="preserve">Regulatory References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NITDA AI Strategy: Alignment with Nigerian government AI policy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SEIS/EIS: UK tax relief up to 50%/30%, limits doubling to £10M from April 2026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R&amp;D Tax Credits: Up to 27% relief on qualifying research expenditure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EU AI Act: Compliance framework for European operations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GDPR: Data privacy requirements for UK/EU customers</w:t>
      </w:r>
    </w:p>
    <w:p>
      <w:pPr>
        <w:pStyle w:val="Heading2"/>
        <w:pStyle w:val="Heading2"/>
        <w:spacing w:after="100" w:before="200"/>
      </w:pPr>
      <w:r>
        <w:t xml:space="preserve">Competitive Intelligence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Competitors: DataStax (fintech AI), Fyle (expense management AI), Jiji (classifieds AI)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Differentiation: Fixars = research + solutions + academy (unique combination)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Barriers to Entry: African language models, government relationships, IP</w:t>
      </w:r>
    </w:p>
    <w:p>
      <w:pPr>
        <w:pStyle w:val="Heading2"/>
        <w:pStyle w:val="Heading2"/>
        <w:spacing w:after="100" w:before="200"/>
      </w:pPr>
      <w:r>
        <w:t xml:space="preserve">Next Steps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Board approval of 18-month plan (target: this quarter)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Fundraising begins: £40K pre-seed to cover Months 1-4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Hiring plan finalized: Job descriptions, compensation, interview process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NITDA engagement: Formal partnership discussions, government alignment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Customer pipeline: 5-10 pilot conversations by Month 1</w:t>
      </w:r>
    </w:p>
    <w:r>
      <w:br w:type="page"/>
    </w:r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2026-03-11T08:40:46.158Z</dcterms:created>
  <dcterms:modified xsi:type="dcterms:W3CDTF">2026-03-11T08:40:46.159Z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