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360"/>
      </w:pPr>
    </w:p>
    <w:p>
      <w:pPr>
        <w:spacing w:after="120"/>
        <w:jc w:val="center"/>
      </w:pPr>
      <w:r>
        <w:t xml:space="preserve">FIXARS LABORATORIES</w:t>
      </w:r>
    </w:p>
    <w:p>
      <w:pPr>
        <w:spacing w:after="480"/>
        <w:jc w:val="center"/>
      </w:pPr>
      <w:r>
        <w:t xml:space="preserve">Strategy &amp; Implementation Plan</w:t>
      </w:r>
    </w:p>
    <w:p>
      <w:pPr>
        <w:spacing w:after="120"/>
        <w:jc w:val="center"/>
      </w:pPr>
      <w:r>
        <w:t xml:space="preserve">UK-based AI Think Tank &amp; Solutions Laboratory</w:t>
      </w:r>
    </w:p>
    <w:p>
      <w:pPr>
        <w:spacing w:after="480"/>
        <w:jc w:val="center"/>
      </w:pPr>
      <w:r>
        <w:t xml:space="preserve">18-Month Roadmap to Operational Maturity &amp; Series A Readiness</w:t>
      </w:r>
    </w:p>
    <w:p>
      <w:pPr>
        <w:spacing w:after="360"/>
        <w:jc w:val="center"/>
      </w:pPr>
      <w:r>
        <w:t xml:space="preserve">March 2026</w:t>
      </w:r>
    </w:p>
    <w:p>
      <w:pPr>
        <w:jc w:val="center"/>
      </w:pPr>
      <w:r>
        <w:t xml:space="preserve">Confidential - For Board and Investor Review Only</w:t>
      </w:r>
    </w:p>
    <w:r>
      <w:br w:type="page"/>
    </w:r>
    <w:p>
      <w:pPr>
        <w:pStyle w:val="Heading1"/>
        <w:pBdr>
          <w:bottom w:val="single" w:color="2E75B6" w:sz="6" w:space="1"/>
        </w:pBdr>
        <w:spacing w:after="120" w:before="240"/>
      </w:pPr>
      <w:r>
        <w:t xml:space="preserve">TABLE OF CONTENTS</w:t>
      </w:r>
    </w:p>
    <w:p>
      <w:pPr>
        <w:pStyle w:val="ListParagraph"/>
        <w:numPr>
          <w:ilvl w:val="0"/>
          <w:numId w:val="1"/>
        </w:numPr>
        <w:spacing w:after="60" w:line="280"/>
      </w:pPr>
      <w:r>
        <w:t xml:space="preserve">1. Executive Summary &amp; Strategic Vision</w:t>
      </w:r>
    </w:p>
    <w:p>
      <w:pPr>
        <w:pStyle w:val="ListParagraph"/>
        <w:numPr>
          <w:ilvl w:val="0"/>
          <w:numId w:val="1"/>
        </w:numPr>
        <w:spacing w:after="60" w:line="280"/>
      </w:pPr>
      <w:r>
        <w:t xml:space="preserve">2. Mission, Vision &amp; Core Values</w:t>
      </w:r>
    </w:p>
    <w:p>
      <w:pPr>
        <w:pStyle w:val="ListParagraph"/>
        <w:numPr>
          <w:ilvl w:val="0"/>
          <w:numId w:val="1"/>
        </w:numPr>
        <w:spacing w:after="60" w:line="280"/>
      </w:pPr>
      <w:r>
        <w:t xml:space="preserve">3. Strategic Framework: 3 Pillars</w:t>
      </w:r>
    </w:p>
    <w:p>
      <w:pPr>
        <w:pStyle w:val="ListParagraph"/>
        <w:numPr>
          <w:ilvl w:val="0"/>
          <w:numId w:val="1"/>
        </w:numPr>
        <w:spacing w:after="60" w:line="280"/>
      </w:pPr>
      <w:r>
        <w:t xml:space="preserve">4. Phase 1: Foundation (Months 1-3)</w:t>
      </w:r>
    </w:p>
    <w:p>
      <w:pPr>
        <w:pStyle w:val="ListParagraph"/>
        <w:numPr>
          <w:ilvl w:val="0"/>
          <w:numId w:val="1"/>
        </w:numPr>
        <w:spacing w:after="60" w:line="280"/>
      </w:pPr>
      <w:r>
        <w:t xml:space="preserve">5. Phase 2: Launch &amp; Traction (Months 4-6)</w:t>
      </w:r>
    </w:p>
    <w:p>
      <w:pPr>
        <w:pStyle w:val="ListParagraph"/>
        <w:numPr>
          <w:ilvl w:val="0"/>
          <w:numId w:val="1"/>
        </w:numPr>
        <w:spacing w:after="60" w:line="280"/>
      </w:pPr>
      <w:r>
        <w:t xml:space="preserve">6. Phase 3: Scale (Months 7-12)</w:t>
      </w:r>
    </w:p>
    <w:p>
      <w:pPr>
        <w:pStyle w:val="ListParagraph"/>
        <w:numPr>
          <w:ilvl w:val="0"/>
          <w:numId w:val="1"/>
        </w:numPr>
        <w:spacing w:after="60" w:line="280"/>
      </w:pPr>
      <w:r>
        <w:t xml:space="preserve">7. Phase 4: Acceleration (Months 13-18)</w:t>
      </w:r>
    </w:p>
    <w:p>
      <w:pPr>
        <w:pStyle w:val="ListParagraph"/>
        <w:numPr>
          <w:ilvl w:val="0"/>
          <w:numId w:val="1"/>
        </w:numPr>
        <w:spacing w:after="60" w:line="280"/>
      </w:pPr>
      <w:r>
        <w:t xml:space="preserve">8. Market Entry Strategy</w:t>
      </w:r>
    </w:p>
    <w:p>
      <w:pPr>
        <w:pStyle w:val="ListParagraph"/>
        <w:numPr>
          <w:ilvl w:val="0"/>
          <w:numId w:val="1"/>
        </w:numPr>
        <w:spacing w:after="60" w:line="280"/>
      </w:pPr>
      <w:r>
        <w:t xml:space="preserve">9. Revenue Strategy &amp; Sequencing</w:t>
      </w:r>
    </w:p>
    <w:p>
      <w:pPr>
        <w:pStyle w:val="ListParagraph"/>
        <w:numPr>
          <w:ilvl w:val="0"/>
          <w:numId w:val="1"/>
        </w:numPr>
        <w:spacing w:after="60" w:line="280"/>
      </w:pPr>
      <w:r>
        <w:t xml:space="preserve">10. Go-to-Market Plan</w:t>
      </w:r>
    </w:p>
    <w:p>
      <w:pPr>
        <w:pStyle w:val="ListParagraph"/>
        <w:numPr>
          <w:ilvl w:val="0"/>
          <w:numId w:val="1"/>
        </w:numPr>
        <w:spacing w:after="60" w:line="280"/>
      </w:pPr>
      <w:r>
        <w:t xml:space="preserve">11. Technology Roadmap</w:t>
      </w:r>
    </w:p>
    <w:p>
      <w:pPr>
        <w:pStyle w:val="ListParagraph"/>
        <w:numPr>
          <w:ilvl w:val="0"/>
          <w:numId w:val="1"/>
        </w:numPr>
        <w:spacing w:after="60" w:line="280"/>
      </w:pPr>
      <w:r>
        <w:t xml:space="preserve">12. Team Building &amp; Organizational Design</w:t>
      </w:r>
    </w:p>
    <w:p>
      <w:pPr>
        <w:pStyle w:val="ListParagraph"/>
        <w:numPr>
          <w:ilvl w:val="0"/>
          <w:numId w:val="1"/>
        </w:numPr>
        <w:spacing w:after="60" w:line="280"/>
      </w:pPr>
      <w:r>
        <w:t xml:space="preserve">13. Financial Plan &amp; Projections</w:t>
      </w:r>
    </w:p>
    <w:p>
      <w:pPr>
        <w:pStyle w:val="ListParagraph"/>
        <w:numPr>
          <w:ilvl w:val="0"/>
          <w:numId w:val="1"/>
        </w:numPr>
        <w:spacing w:after="60" w:line="280"/>
      </w:pPr>
      <w:r>
        <w:t xml:space="preserve">14. Risk Mitigation Strategy</w:t>
      </w:r>
    </w:p>
    <w:p>
      <w:pPr>
        <w:pStyle w:val="ListParagraph"/>
        <w:numPr>
          <w:ilvl w:val="0"/>
          <w:numId w:val="1"/>
        </w:numPr>
        <w:spacing w:after="60" w:line="280"/>
      </w:pPr>
      <w:r>
        <w:t xml:space="preserve">15. KPIs &amp; Success Metrics</w:t>
      </w:r>
    </w:p>
    <w:p>
      <w:pPr>
        <w:pStyle w:val="ListParagraph"/>
        <w:numPr>
          <w:ilvl w:val="0"/>
          <w:numId w:val="1"/>
        </w:numPr>
        <w:spacing w:after="60" w:line="280"/>
      </w:pPr>
      <w:r>
        <w:t xml:space="preserve">16. Governance &amp; Decision-Making</w:t>
      </w:r>
    </w:p>
    <w:p>
      <w:pPr>
        <w:pStyle w:val="ListParagraph"/>
        <w:numPr>
          <w:ilvl w:val="0"/>
          <w:numId w:val="1"/>
        </w:numPr>
        <w:spacing w:after="60" w:line="280"/>
      </w:pPr>
      <w:r>
        <w:t xml:space="preserve">17. Strategic Partnerships</w:t>
      </w:r>
    </w:p>
    <w:p>
      <w:pPr>
        <w:pStyle w:val="ListParagraph"/>
        <w:numPr>
          <w:ilvl w:val="0"/>
          <w:numId w:val="1"/>
        </w:numPr>
        <w:spacing w:after="60" w:line="280"/>
      </w:pPr>
      <w:r>
        <w:t xml:space="preserve">18. Implementation Timeline</w:t>
      </w:r>
    </w:p>
    <w:p>
      <w:pPr>
        <w:pStyle w:val="ListParagraph"/>
        <w:numPr>
          <w:ilvl w:val="0"/>
          <w:numId w:val="1"/>
        </w:numPr>
        <w:spacing w:after="60" w:line="280"/>
      </w:pPr>
      <w:r>
        <w:t xml:space="preserve">19. Appendix</w:t>
      </w:r>
    </w:p>
    <w:r>
      <w:br w:type="page"/>
    </w:r>
    <w:p>
      <w:pPr>
        <w:pStyle w:val="Heading1"/>
        <w:pBdr>
          <w:bottom w:val="single" w:color="2E75B6" w:sz="6" w:space="1"/>
        </w:pBdr>
        <w:spacing w:after="120" w:before="240"/>
      </w:pPr>
      <w:r>
        <w:t xml:space="preserve">1. EXECUTIVE SUMMARY &amp; STRATEGIC VISION</w:t>
      </w:r>
    </w:p>
    <w:p>
      <w:pPr>
        <w:spacing w:after="120" w:line="360"/>
      </w:pPr>
      <w:r>
        <w:t xml:space="preserve">Fixars Laboratories is a UK-registered AI think tank and solutions laboratory poised to become Africa's leading AI research and innovation hub, expanding rapidly into UK and European markets. Over 18 months, we will accelerate from R&amp;D stage to operational maturity with clear revenue generation, geographic expansion, and funding milestones.</w:t>
      </w:r>
    </w:p>
    <w:p>
      <w:pPr>
        <w:pStyle w:val="Heading2"/>
        <w:spacing w:after="100" w:before="200"/>
      </w:pPr>
      <w:r>
        <w:t xml:space="preserve">Strategic Vision</w:t>
      </w:r>
    </w:p>
    <w:p>
      <w:pPr>
        <w:spacing w:after="120" w:line="360"/>
      </w:pPr>
      <w:r>
        <w:t xml:space="preserve">To be the trusted partner for AI-driven innovation across Africa, the UK, and Europe—delivering cutting-edge research, enterprise solutions, and talent development that transform industries and unlock economic value.</w:t>
      </w:r>
    </w:p>
    <w:p>
      <w:pPr>
        <w:pStyle w:val="Heading2"/>
        <w:spacing w:after="100" w:before="200"/>
      </w:pPr>
      <w:r>
        <w:t xml:space="preserve">Financial Highlights</w:t>
      </w:r>
    </w:p>
    <w:p>
      <w:pPr>
        <w:pStyle w:val="ListParagraph"/>
        <w:numPr>
          <w:ilvl w:val="0"/>
          <w:numId w:val="1"/>
        </w:numPr>
        <w:spacing w:after="60" w:line="280"/>
      </w:pPr>
      <w:r>
        <w:t xml:space="preserve">Current: R&amp;D stage, self-funded</w:t>
      </w:r>
    </w:p>
    <w:p>
      <w:pPr>
        <w:pStyle w:val="ListParagraph"/>
        <w:numPr>
          <w:ilvl w:val="0"/>
          <w:numId w:val="1"/>
        </w:numPr>
        <w:spacing w:after="60" w:line="280"/>
      </w:pPr>
      <w:r>
        <w:t xml:space="preserve">Month 6: £70-140K cumulative revenue</w:t>
      </w:r>
    </w:p>
    <w:p>
      <w:pPr>
        <w:pStyle w:val="ListParagraph"/>
        <w:numPr>
          <w:ilvl w:val="0"/>
          <w:numId w:val="1"/>
        </w:numPr>
        <w:spacing w:after="60" w:line="280"/>
      </w:pPr>
      <w:r>
        <w:t xml:space="preserve">Month 12: £365-735K cumulative revenue</w:t>
      </w:r>
    </w:p>
    <w:p>
      <w:pPr>
        <w:pStyle w:val="ListParagraph"/>
        <w:numPr>
          <w:ilvl w:val="0"/>
          <w:numId w:val="1"/>
        </w:numPr>
        <w:spacing w:after="60" w:line="280"/>
      </w:pPr>
      <w:r>
        <w:t xml:space="preserve">Month 15: Cash-flow positive</w:t>
      </w:r>
    </w:p>
    <w:p>
      <w:pPr>
        <w:pStyle w:val="ListParagraph"/>
        <w:numPr>
          <w:ilvl w:val="0"/>
          <w:numId w:val="1"/>
        </w:numPr>
        <w:spacing w:after="60" w:line="280"/>
      </w:pPr>
      <w:r>
        <w:t xml:space="preserve">Month 18: £850K+ ARR, Series A ready</w:t>
      </w:r>
    </w:p>
    <w:p>
      <w:pPr>
        <w:pStyle w:val="Heading2"/>
        <w:spacing w:after="100" w:before="200"/>
      </w:pPr>
      <w:r>
        <w:t xml:space="preserve">Competitive Advantages</w:t>
      </w:r>
    </w:p>
    <w:p>
      <w:pPr>
        <w:pStyle w:val="ListParagraph"/>
        <w:numPr>
          <w:ilvl w:val="0"/>
          <w:numId w:val="1"/>
        </w:numPr>
        <w:spacing w:after="60" w:line="280"/>
      </w:pPr>
      <w:r>
        <w:t xml:space="preserve">Dual-jurisdiction (UK + Nigeria) enables regulatory arbitrage</w:t>
      </w:r>
    </w:p>
    <w:p>
      <w:pPr>
        <w:pStyle w:val="ListParagraph"/>
        <w:numPr>
          <w:ilvl w:val="0"/>
          <w:numId w:val="1"/>
        </w:numPr>
        <w:spacing w:after="60" w:line="280"/>
      </w:pPr>
      <w:r>
        <w:t xml:space="preserve">African language models and commodity intelligence IP</w:t>
      </w:r>
    </w:p>
    <w:p>
      <w:pPr>
        <w:pStyle w:val="ListParagraph"/>
        <w:numPr>
          <w:ilvl w:val="0"/>
          <w:numId w:val="1"/>
        </w:numPr>
        <w:spacing w:after="60" w:line="280"/>
      </w:pPr>
      <w:r>
        <w:t xml:space="preserve">Research-to-patent pipeline for recurring licensing revenue</w:t>
      </w:r>
    </w:p>
    <w:p>
      <w:pPr>
        <w:pStyle w:val="ListParagraph"/>
        <w:numPr>
          <w:ilvl w:val="0"/>
          <w:numId w:val="1"/>
        </w:numPr>
        <w:spacing w:after="60" w:line="280"/>
      </w:pPr>
      <w:r>
        <w:t xml:space="preserve">Ade's 63.45% effective control ensures rapid decision-making</w:t>
      </w:r>
    </w:p>
    <w:p>
      <w:pPr>
        <w:pStyle w:val="ListParagraph"/>
        <w:numPr>
          <w:ilvl w:val="0"/>
          <w:numId w:val="1"/>
        </w:numPr>
        <w:spacing w:after="60" w:line="280"/>
      </w:pPr>
      <w:r>
        <w:t xml:space="preserve">Three-pillar model (research + solutions + academy) creates diversified revenue</w:t>
      </w:r>
    </w:p>
    <w:r>
      <w:br w:type="page"/>
    </w:r>
    <w:p>
      <w:pPr>
        <w:pStyle w:val="Heading1"/>
        <w:pBdr>
          <w:bottom w:val="single" w:color="2E75B6" w:sz="6" w:space="1"/>
        </w:pBdr>
        <w:spacing w:after="120" w:before="240"/>
      </w:pPr>
      <w:r>
        <w:t xml:space="preserve">2. MISSION, VISION &amp; CORE VALUES</w:t>
      </w:r>
    </w:p>
    <w:p>
      <w:pPr>
        <w:pStyle w:val="Heading2"/>
        <w:spacing w:after="100" w:before="200"/>
      </w:pPr>
      <w:r>
        <w:t xml:space="preserve">Mission</w:t>
      </w:r>
    </w:p>
    <w:p>
      <w:pPr>
        <w:spacing w:after="120" w:line="360"/>
      </w:pPr>
      <w:r>
        <w:t xml:space="preserve">Deliver world-class AI research, enterprise solutions, and talent development that solve Africa's most pressing challenges while creating sustainable economic value.</w:t>
      </w:r>
    </w:p>
    <w:p>
      <w:pPr>
        <w:pStyle w:val="Heading2"/>
        <w:spacing w:after="100" w:before="200"/>
      </w:pPr>
      <w:r>
        <w:t xml:space="preserve">Core Values</w:t>
      </w:r>
    </w:p>
    <w:p>
      <w:pPr>
        <w:pStyle w:val="ListParagraph"/>
        <w:numPr>
          <w:ilvl w:val="0"/>
          <w:numId w:val="1"/>
        </w:numPr>
        <w:spacing w:after="60" w:line="280"/>
      </w:pPr>
      <w:r>
        <w:t xml:space="preserve">Excellence: Uncompromising research rigor and solution quality</w:t>
      </w:r>
    </w:p>
    <w:p>
      <w:pPr>
        <w:pStyle w:val="ListParagraph"/>
        <w:numPr>
          <w:ilvl w:val="0"/>
          <w:numId w:val="1"/>
        </w:numPr>
        <w:spacing w:after="60" w:line="280"/>
      </w:pPr>
      <w:r>
        <w:t xml:space="preserve">Impact: Real-world economic and social outcomes</w:t>
      </w:r>
    </w:p>
    <w:p>
      <w:pPr>
        <w:pStyle w:val="ListParagraph"/>
        <w:numPr>
          <w:ilvl w:val="0"/>
          <w:numId w:val="1"/>
        </w:numPr>
        <w:spacing w:after="60" w:line="280"/>
      </w:pPr>
      <w:r>
        <w:t xml:space="preserve">Accessibility: Making AI tools and knowledge widely available</w:t>
      </w:r>
    </w:p>
    <w:p>
      <w:pPr>
        <w:pStyle w:val="ListParagraph"/>
        <w:numPr>
          <w:ilvl w:val="0"/>
          <w:numId w:val="1"/>
        </w:numPr>
        <w:spacing w:after="60" w:line="280"/>
      </w:pPr>
      <w:r>
        <w:t xml:space="preserve">Integrity: Transparent, ethical AI practices</w:t>
      </w:r>
    </w:p>
    <w:p>
      <w:pPr>
        <w:pStyle w:val="ListParagraph"/>
        <w:numPr>
          <w:ilvl w:val="0"/>
          <w:numId w:val="1"/>
        </w:numPr>
        <w:spacing w:after="60" w:line="280"/>
      </w:pPr>
      <w:r>
        <w:t xml:space="preserve">Collaboration: Building ecosystems and partnerships</w:t>
      </w:r>
    </w:p>
    <w:p>
      <w:pPr>
        <w:pStyle w:val="ListParagraph"/>
        <w:numPr>
          <w:ilvl w:val="0"/>
          <w:numId w:val="1"/>
        </w:numPr>
        <w:spacing w:after="60" w:line="280"/>
      </w:pPr>
      <w:r>
        <w:t xml:space="preserve">Agility: Rapid iteration and market responsiveness</w:t>
      </w:r>
    </w:p>
    <w:r>
      <w:br w:type="page"/>
    </w:r>
    <w:p>
      <w:pPr>
        <w:pStyle w:val="Heading1"/>
        <w:pBdr>
          <w:bottom w:val="single" w:color="2E75B6" w:sz="6" w:space="1"/>
        </w:pBdr>
        <w:spacing w:after="120" w:before="240"/>
      </w:pPr>
      <w:r>
        <w:t xml:space="preserve">3. STRATEGIC FRAMEWORK: 3 PILLARS</w:t>
      </w:r>
    </w:p>
    <w:p>
      <w:pPr>
        <w:pStyle w:val="Heading2"/>
        <w:spacing w:after="100" w:before="200"/>
      </w:pPr>
      <w:r>
        <w:t xml:space="preserve">Pillar 1: Applied AI Research &amp; Intelligence</w:t>
      </w:r>
    </w:p>
    <w:p>
      <w:pPr>
        <w:spacing w:after="120" w:line="360"/>
      </w:pPr>
      <w:r>
        <w:t xml:space="preserve">Position Fixars as the authoritative voice on AI applications across commodity markets, public sector digitization, fintech innovation, and enterprise transformation.</w:t>
      </w:r>
    </w:p>
    <w:p>
      <w:pPr>
        <w:pStyle w:val="ListParagraph"/>
        <w:numPr>
          <w:ilvl w:val="0"/>
          <w:numId w:val="1"/>
        </w:numPr>
        <w:spacing w:after="60" w:line="280"/>
      </w:pPr>
      <w:r>
        <w:t xml:space="preserve">Research Intelligence Platform: Thesis/publication analysis, trend detection, patent strategy</w:t>
      </w:r>
    </w:p>
    <w:p>
      <w:pPr>
        <w:pStyle w:val="ListParagraph"/>
        <w:numPr>
          <w:ilvl w:val="0"/>
          <w:numId w:val="1"/>
        </w:numPr>
        <w:spacing w:after="60" w:line="280"/>
      </w:pPr>
      <w:r>
        <w:t xml:space="preserve">Commodity Intelligence: Real-time commodity price prediction, supply chain optimization</w:t>
      </w:r>
    </w:p>
    <w:p>
      <w:pPr>
        <w:pStyle w:val="ListParagraph"/>
        <w:numPr>
          <w:ilvl w:val="0"/>
          <w:numId w:val="1"/>
        </w:numPr>
        <w:spacing w:after="60" w:line="280"/>
      </w:pPr>
      <w:r>
        <w:t xml:space="preserve">Sector-Specific Intelligence: GovTech, fintech, healthcare, manufacturing</w:t>
      </w:r>
    </w:p>
    <w:p>
      <w:pPr>
        <w:pStyle w:val="Heading2"/>
        <w:spacing w:after="100" w:before="200"/>
      </w:pPr>
      <w:r>
        <w:t xml:space="preserve">Pillar 2: Enterprise AI Solutions</w:t>
      </w:r>
    </w:p>
    <w:p>
      <w:pPr>
        <w:spacing w:after="120" w:line="360"/>
      </w:pPr>
      <w:r>
        <w:t xml:space="preserve">Build recurring revenue through custom ML/AI development, white-label platforms, and IP licensing.</w:t>
      </w:r>
    </w:p>
    <w:p>
      <w:pPr>
        <w:pStyle w:val="ListParagraph"/>
        <w:numPr>
          <w:ilvl w:val="0"/>
          <w:numId w:val="1"/>
        </w:numPr>
        <w:spacing w:after="60" w:line="280"/>
      </w:pPr>
      <w:r>
        <w:t xml:space="preserve">Custom Solutions: Bespoke ML/AI for enterprises (£50-200K)</w:t>
      </w:r>
    </w:p>
    <w:p>
      <w:pPr>
        <w:pStyle w:val="ListParagraph"/>
        <w:numPr>
          <w:ilvl w:val="0"/>
          <w:numId w:val="1"/>
        </w:numPr>
        <w:spacing w:after="60" w:line="280"/>
      </w:pPr>
      <w:r>
        <w:t xml:space="preserve">White-Label Products: Fraud detection, credit scoring, document analysis</w:t>
      </w:r>
    </w:p>
    <w:p>
      <w:pPr>
        <w:pStyle w:val="ListParagraph"/>
        <w:numPr>
          <w:ilvl w:val="0"/>
          <w:numId w:val="1"/>
        </w:numPr>
        <w:spacing w:after="60" w:line="280"/>
      </w:pPr>
      <w:r>
        <w:t xml:space="preserve">IP Licensing: AfriLLM licensing, research-to-patent monetization</w:t>
      </w:r>
    </w:p>
    <w:p>
      <w:pPr>
        <w:pStyle w:val="Heading2"/>
        <w:spacing w:after="100" w:before="200"/>
      </w:pPr>
      <w:r>
        <w:t xml:space="preserve">Pillar 3: AI Talent &amp; Academy</w:t>
      </w:r>
    </w:p>
    <w:p>
      <w:pPr>
        <w:spacing w:after="120" w:line="360"/>
      </w:pPr>
      <w:r>
        <w:t xml:space="preserve">Build talent pipeline while creating high-margin recurring revenue through accredited training.</w:t>
      </w:r>
    </w:p>
    <w:p>
      <w:pPr>
        <w:pStyle w:val="ListParagraph"/>
        <w:numPr>
          <w:ilvl w:val="0"/>
          <w:numId w:val="1"/>
        </w:numPr>
        <w:spacing w:after="60" w:line="280"/>
      </w:pPr>
      <w:r>
        <w:t xml:space="preserve">Certification Programs: AI fundamentals, ML engineering, data science</w:t>
      </w:r>
    </w:p>
    <w:p>
      <w:pPr>
        <w:pStyle w:val="ListParagraph"/>
        <w:numPr>
          <w:ilvl w:val="0"/>
          <w:numId w:val="1"/>
        </w:numPr>
        <w:spacing w:after="60" w:line="280"/>
      </w:pPr>
      <w:r>
        <w:t xml:space="preserve">Corporate Training: Upskilling programs for enterprise partners</w:t>
      </w:r>
    </w:p>
    <w:p>
      <w:pPr>
        <w:pStyle w:val="ListParagraph"/>
        <w:numPr>
          <w:ilvl w:val="0"/>
          <w:numId w:val="1"/>
        </w:numPr>
        <w:spacing w:after="60" w:line="280"/>
      </w:pPr>
      <w:r>
        <w:t xml:space="preserve">Talent Pipeline: Direct hire arrangements with corporate partners</w:t>
      </w:r>
    </w:p>
    <w:r>
      <w:br w:type="page"/>
    </w:r>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2026-03-11T08:41:39.557Z</dcterms:created>
  <dcterms:modified xsi:type="dcterms:W3CDTF">2026-03-11T08:41:39.557Z</dcterms:modified>
</cp:coreProperties>
</file>

<file path=docProps/custom.xml><?xml version="1.0" encoding="utf-8"?>
<Properties xmlns="http://schemas.openxmlformats.org/officeDocument/2006/custom-properties" xmlns:vt="http://schemas.openxmlformats.org/officeDocument/2006/docPropsVTypes"/>
</file>