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40"/>
        <w:jc w:val="center"/>
      </w:pPr>
      <w:r>
        <w:rPr>
          <w:rFonts w:ascii="Arial" w:cs="Arial" w:eastAsia="Arial" w:hAnsi="Arial"/>
          <w:b/>
          <w:bCs/>
          <w:color w:val="2E75B6"/>
          <w:sz w:val="24"/>
          <w:szCs w:val="24"/>
        </w:rPr>
        <w:t xml:space="preserve">FIXARS ECOSYSTEM</w:t>
      </w:r>
    </w:p>
    <w:p>
      <w:pPr>
        <w:spacing w:after="120"/>
        <w:jc w:val="center"/>
      </w:pPr>
      <w:r>
        <w:rPr>
          <w:rFonts w:ascii="Arial" w:cs="Arial" w:eastAsia="Arial" w:hAnsi="Arial"/>
          <w:b/>
          <w:bCs/>
          <w:color w:val="1F3864"/>
          <w:sz w:val="40"/>
          <w:szCs w:val="40"/>
        </w:rPr>
        <w:t xml:space="preserve">VestDen</w:t>
      </w:r>
    </w:p>
    <w:p>
      <w:pPr>
        <w:spacing w:after="240"/>
        <w:jc w:val="center"/>
      </w:pPr>
      <w:r>
        <w:rPr>
          <w:rFonts w:ascii="Arial" w:cs="Arial" w:eastAsia="Arial" w:hAnsi="Arial"/>
          <w:color w:val="404040"/>
          <w:sz w:val="26"/>
          <w:szCs w:val="26"/>
        </w:rPr>
        <w:t xml:space="preserve">Product Requirements Document</w:t>
      </w:r>
    </w:p>
    <w:p>
      <w:pPr>
        <w:spacing w:after="200"/>
      </w:pPr>
      <w:r>
        <w:t xml:space="preserve"/>
      </w:r>
    </w:p>
    <w:p>
      <w:pPr>
        <w:spacing w:after="80"/>
        <w:jc w:val="center"/>
      </w:pPr>
      <w:r>
        <w:rPr>
          <w:rFonts w:ascii="Arial" w:cs="Arial" w:eastAsia="Arial" w:hAnsi="Arial"/>
          <w:b/>
          <w:bCs/>
          <w:sz w:val="22"/>
          <w:szCs w:val="22"/>
        </w:rPr>
        <w:t xml:space="preserve">Version 2.0</w:t>
      </w:r>
    </w:p>
    <w:p>
      <w:pPr>
        <w:spacing w:after="80"/>
        <w:jc w:val="center"/>
      </w:pPr>
      <w:r>
        <w:rPr>
          <w:rFonts w:ascii="Arial" w:cs="Arial" w:eastAsia="Arial" w:hAnsi="Arial"/>
          <w:color w:val="666666"/>
          <w:sz w:val="22"/>
          <w:szCs w:val="22"/>
        </w:rPr>
        <w:t xml:space="preserve">March 2026</w:t>
      </w:r>
    </w:p>
    <w:p>
      <w:pPr>
        <w:spacing w:after="80"/>
        <w:jc w:val="center"/>
      </w:pPr>
      <w:r>
        <w:rPr>
          <w:rFonts w:ascii="Arial" w:cs="Arial" w:eastAsia="Arial" w:hAnsi="Arial"/>
          <w:color w:val="666666"/>
          <w:sz w:val="22"/>
          <w:szCs w:val="22"/>
        </w:rPr>
        <w:t xml:space="preserve">Part of the Fixars Ecosystem</w:t>
      </w:r>
    </w:p>
    <w:p>
      <w:r>
        <w:br w:type="page"/>
      </w:r>
    </w:p>
    <w:p>
      <w:pPr>
        <w:pStyle w:val="Heading1"/>
        <w:spacing w:after="160" w:before="320"/>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VestDen is the investment and crowdfunding engine of the Fixars ecosystem — Kickstarter meets AngelList meets Polymarket, built for African innovation. It enables founders to raise milestone-based funding with escrow accountability, investors to participate with confidence, and the wider community to stake on project outcomes using Polymarket-style conviction mechanics.</w:t>
      </w:r>
    </w:p>
    <w:p>
      <w:pPr>
        <w:spacing w:after="160"/>
      </w:pPr>
      <w:r>
        <w:rPr>
          <w:rFonts w:ascii="Arial" w:cs="Arial" w:eastAsia="Arial" w:hAnsi="Arial"/>
          <w:sz w:val="22"/>
          <w:szCs w:val="22"/>
        </w:rPr>
        <w:t xml:space="preserve">The name "VestDen" reflects the platform's dual nature: vesting-style milestone accountability and a den of conviction stakers. Unlike traditional crowdfunding platforms, VestDen never holds investor funds directly — all escrow management is handled by a trusted third-party escrow partner via API integration.</w:t>
      </w:r>
    </w:p>
    <w:p>
      <w:pPr>
        <w:pStyle w:val="Heading1"/>
        <w:spacing w:after="160" w:before="320"/>
      </w:pPr>
      <w:r>
        <w:rPr>
          <w:rFonts w:ascii="Arial" w:cs="Arial" w:eastAsia="Arial" w:hAnsi="Arial"/>
          <w:b/>
          <w:bCs/>
          <w:sz w:val="32"/>
          <w:szCs w:val="32"/>
        </w:rPr>
        <w:t xml:space="preserve">2. Problem Statement</w:t>
      </w:r>
    </w:p>
    <w:p>
      <w:pPr>
        <w:pStyle w:val="ListParagraph"/>
        <w:numPr>
          <w:ilvl w:val="0"/>
          <w:numId w:val="2"/>
        </w:numPr>
        <w:spacing w:after="80"/>
      </w:pPr>
      <w:r>
        <w:rPr>
          <w:rFonts w:ascii="Arial" w:cs="Arial" w:eastAsia="Arial" w:hAnsi="Arial"/>
          <w:sz w:val="22"/>
          <w:szCs w:val="22"/>
        </w:rPr>
        <w:t xml:space="preserve">African founders lack access to transparent, accountable funding mechanisms</w:t>
      </w:r>
    </w:p>
    <w:p>
      <w:pPr>
        <w:pStyle w:val="ListParagraph"/>
        <w:numPr>
          <w:ilvl w:val="0"/>
          <w:numId w:val="2"/>
        </w:numPr>
        <w:spacing w:after="80"/>
      </w:pPr>
      <w:r>
        <w:rPr>
          <w:rFonts w:ascii="Arial" w:cs="Arial" w:eastAsia="Arial" w:hAnsi="Arial"/>
          <w:sz w:val="22"/>
          <w:szCs w:val="22"/>
        </w:rPr>
        <w:t xml:space="preserve">Investors have no reliable way to ensure funds are used as promised — no milestone accountability</w:t>
      </w:r>
    </w:p>
    <w:p>
      <w:pPr>
        <w:pStyle w:val="ListParagraph"/>
        <w:numPr>
          <w:ilvl w:val="0"/>
          <w:numId w:val="2"/>
        </w:numPr>
        <w:spacing w:after="80"/>
      </w:pPr>
      <w:r>
        <w:rPr>
          <w:rFonts w:ascii="Arial" w:cs="Arial" w:eastAsia="Arial" w:hAnsi="Arial"/>
          <w:sz w:val="22"/>
          <w:szCs w:val="22"/>
        </w:rPr>
        <w:t xml:space="preserve">The diaspora cannot easily invest in African startups using familiar payment methods</w:t>
      </w:r>
    </w:p>
    <w:p>
      <w:pPr>
        <w:pStyle w:val="ListParagraph"/>
        <w:numPr>
          <w:ilvl w:val="0"/>
          <w:numId w:val="2"/>
        </w:numPr>
        <w:spacing w:after="80"/>
      </w:pPr>
      <w:r>
        <w:rPr>
          <w:rFonts w:ascii="Arial" w:cs="Arial" w:eastAsia="Arial" w:hAnsi="Arial"/>
          <w:sz w:val="22"/>
          <w:szCs w:val="22"/>
        </w:rPr>
        <w:t xml:space="preserve">There is no community conviction mechanism to signal which projects the ecosystem believes in</w:t>
      </w:r>
    </w:p>
    <w:p>
      <w:pPr>
        <w:pStyle w:val="ListParagraph"/>
        <w:numPr>
          <w:ilvl w:val="0"/>
          <w:numId w:val="2"/>
        </w:numPr>
        <w:spacing w:after="80"/>
      </w:pPr>
      <w:r>
        <w:rPr>
          <w:rFonts w:ascii="Arial" w:cs="Arial" w:eastAsia="Arial" w:hAnsi="Arial"/>
          <w:sz w:val="22"/>
          <w:szCs w:val="22"/>
        </w:rPr>
        <w:t xml:space="preserve">Escrow products are expensive and inaccessible for early-stage African startups</w:t>
      </w:r>
    </w:p>
    <w:p>
      <w:pPr>
        <w:pStyle w:val="Heading1"/>
        <w:spacing w:after="160" w:before="320"/>
      </w:pPr>
      <w:r>
        <w:rPr>
          <w:rFonts w:ascii="Arial" w:cs="Arial" w:eastAsia="Arial" w:hAnsi="Arial"/>
          <w:b/>
          <w:bCs/>
          <w:sz w:val="32"/>
          <w:szCs w:val="32"/>
        </w:rPr>
        <w:t xml:space="preserve">3. User Personas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80"/>
        <w:gridCol w:w="1880"/>
        <w:gridCol w:w="3800"/>
      </w:tblGrid>
      <w:tr>
        <w:tc>
          <w:tcPr>
            <w:tcW w:type="dxa" w:w="18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18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8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8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Primary Goal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Funmilade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Entrepreneur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 funding for her validated concept with clear milestone accountability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Investor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Chidi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Angel Investor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 in validated African startups with confidence that funds are protected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Diaspora</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Adama</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Diaspora Professional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 in African innovation from abroad using Stripe and local currency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Kemi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Participant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conviction on project milestones and earn from correct predictions</w:t>
            </w:r>
          </w:p>
        </w:tc>
      </w:tr>
    </w:tbl>
    <w:p>
      <w:pPr>
        <w:spacing w:after="200"/>
      </w:pPr>
      <w:r>
        <w:t xml:space="preserve"/>
      </w:r>
    </w:p>
    <w:p>
      <w:pPr>
        <w:pStyle w:val="Heading1"/>
        <w:spacing w:after="160" w:before="320"/>
      </w:pPr>
      <w:r>
        <w:rPr>
          <w:rFonts w:ascii="Arial" w:cs="Arial" w:eastAsia="Arial" w:hAnsi="Arial"/>
          <w:b/>
          <w:bCs/>
          <w:sz w:val="32"/>
          <w:szCs w:val="32"/>
        </w:rPr>
        <w:t xml:space="preserve">4. Core Model</w:t>
      </w:r>
    </w:p>
    <w:p>
      <w:pPr>
        <w:pStyle w:val="Heading2"/>
        <w:spacing w:after="120" w:before="240"/>
      </w:pPr>
      <w:r>
        <w:rPr>
          <w:rFonts w:ascii="Arial" w:cs="Arial" w:eastAsia="Arial" w:hAnsi="Arial"/>
          <w:b/>
          <w:bCs/>
          <w:sz w:val="28"/>
          <w:szCs w:val="28"/>
        </w:rPr>
        <w:t xml:space="preserve">4.1 Escrow Architecture</w:t>
      </w:r>
    </w:p>
    <w:p>
      <w:pPr>
        <w:spacing w:after="160"/>
      </w:pPr>
      <w:r>
        <w:rPr>
          <w:rFonts w:ascii="Arial" w:cs="Arial" w:eastAsia="Arial" w:hAnsi="Arial"/>
          <w:sz w:val="22"/>
          <w:szCs w:val="22"/>
        </w:rPr>
        <w:t xml:space="preserve">VestDen integrates with a third-party escrow partner via REST API. Investor funds flow through the escrow partner — VestDen never holds or touches investor money directly. The escrow partner holds funds until milestones are verified, then releases them to the founder's wallet.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Flow Stage</w:t>
            </w:r>
          </w:p>
        </w:tc>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Investor pays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Paystack (local) or Stripe (diaspora) → funds sent to escrow partner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Escrow 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Escrow partner holds funds, issues reference (escrow_partner_ref)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submission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submits deliverables via CollaBoard → VestDen triggers escrow partner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review + validator panel reviews deliverables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 release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Escrow partner releases milestone tranche to founder wallet on approval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 party can raise dispute → escrow partner freezes funds pending resolution</w:t>
            </w:r>
          </w:p>
        </w:tc>
      </w:tr>
    </w:tbl>
    <w:p>
      <w:pPr>
        <w:spacing w:after="200"/>
      </w:pPr>
      <w:r>
        <w:t xml:space="preserve"/>
      </w:r>
    </w:p>
    <w:p>
      <w:pPr>
        <w:pStyle w:val="Heading2"/>
        <w:spacing w:after="120" w:before="240"/>
      </w:pPr>
      <w:r>
        <w:rPr>
          <w:rFonts w:ascii="Arial" w:cs="Arial" w:eastAsia="Arial" w:hAnsi="Arial"/>
          <w:b/>
          <w:bCs/>
          <w:sz w:val="28"/>
          <w:szCs w:val="28"/>
        </w:rPr>
        <w:t xml:space="preserve">4.2 Conviction Staking</w:t>
      </w:r>
    </w:p>
    <w:p>
      <w:pPr>
        <w:spacing w:after="160"/>
      </w:pPr>
      <w:r>
        <w:rPr>
          <w:rFonts w:ascii="Arial" w:cs="Arial" w:eastAsia="Arial" w:hAnsi="Arial"/>
          <w:sz w:val="22"/>
          <w:szCs w:val="22"/>
        </w:rPr>
        <w:t xml:space="preserve">Each milestone has an associated Polymarket-style binary prediction market. Community members stake on YES (milestone will be completed on time) or NO (milestone will be missed). Markets resolve on the milestone due date. Winners receive proportional payouts from the losing pool, minus a 2% platform fee.</w:t>
      </w:r>
    </w:p>
    <w:p>
      <w:pPr>
        <w:spacing w:after="160"/>
      </w:pPr>
      <w:r>
        <w:rPr>
          <w:rFonts w:ascii="Arial" w:cs="Arial" w:eastAsia="Arial" w:hAnsi="Arial"/>
          <w:sz w:val="22"/>
          <w:szCs w:val="22"/>
        </w:rPr>
        <w:t xml:space="preserve">Staking is separate from investing — stakers do not receive equity, they receive prediction market winnings. This creates a community signal about project health and generates engagement beyond traditional investors.</w:t>
      </w:r>
    </w:p>
    <w:p>
      <w:r>
        <w:br w:type="page"/>
      </w:r>
    </w:p>
    <w:p>
      <w:pPr>
        <w:pStyle w:val="Heading1"/>
        <w:spacing w:after="160" w:before="320"/>
      </w:pPr>
      <w:r>
        <w:rPr>
          <w:rFonts w:ascii="Arial" w:cs="Arial" w:eastAsia="Arial" w:hAnsi="Arial"/>
          <w:b/>
          <w:bCs/>
          <w:sz w:val="32"/>
          <w:szCs w:val="32"/>
        </w:rPr>
        <w:t xml:space="preserve">5. User Stories</w:t>
      </w:r>
    </w:p>
    <w:p>
      <w:pPr>
        <w:pStyle w:val="Heading2"/>
        <w:spacing w:after="120" w:before="240"/>
      </w:pPr>
      <w:r>
        <w:rPr>
          <w:rFonts w:ascii="Arial" w:cs="Arial" w:eastAsia="Arial" w:hAnsi="Arial"/>
          <w:b/>
          <w:bCs/>
          <w:sz w:val="28"/>
          <w:szCs w:val="28"/>
        </w:rPr>
        <w:t xml:space="preserve">5.1 Campaign Management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founder, I want to create a campaign from my validated ConceptNexus concept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One-click pre-fill from concept. Add milestones, funding target, equity terms.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founder, I want to set milestone-based fund releases so investors trust the accountability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Milestones with % of total funding, due dates, deliverable requirements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founder, I want to submit milestone deliverables and trigger escrow release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CollaBoard milestone submission → escrow partner API called → funds released on approval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founder, I want to see real-time campaign progress and investor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funding percentage, investor count, time remaining. Investor names shown (non-private).</w:t>
            </w:r>
          </w:p>
        </w:tc>
      </w:tr>
    </w:tbl>
    <w:p>
      <w:pPr>
        <w:spacing w:after="200"/>
      </w:pPr>
      <w:r>
        <w:t xml:space="preserve"/>
      </w:r>
    </w:p>
    <w:p>
      <w:pPr>
        <w:pStyle w:val="Heading2"/>
        <w:spacing w:after="120" w:before="240"/>
      </w:pPr>
      <w:r>
        <w:rPr>
          <w:rFonts w:ascii="Arial" w:cs="Arial" w:eastAsia="Arial" w:hAnsi="Arial"/>
          <w:b/>
          <w:bCs/>
          <w:sz w:val="28"/>
          <w:szCs w:val="28"/>
        </w:rPr>
        <w:t xml:space="preserve">5.2 Investment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investor, I want to browse campaigns sorted by ConceptNexus validation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with sortable columns: score, funding progress, milestone count, 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investor, I want an AI due diligence report before investing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Gemini-generated report: market analysis, team assessment, risk factors, comparable deals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investor, I want to invest via card, bank transfer, or mobile money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Paystack supports all three. Minimum investment per campaign shown. Confirmation email 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diaspora investor, I want to invest in GBP/USD/EUR via Stripe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FX rate shown, Stripe checkout completes, investment recorded in NGN equivalent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investor, I want real-time notifications when milestones are submitted and 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 + in-app feed item. Investor dashboard updated.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investor, I want to receive a refund if a campaign does not reach its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Escrow partner returns funds if campaign closes below 100% threshold</w:t>
            </w:r>
          </w:p>
        </w:tc>
      </w:tr>
    </w:tbl>
    <w:p>
      <w:pPr>
        <w:spacing w:after="200"/>
      </w:pPr>
      <w:r>
        <w:t xml:space="preserve"/>
      </w:r>
    </w:p>
    <w:p>
      <w:pPr>
        <w:pStyle w:val="Heading2"/>
        <w:spacing w:after="120" w:before="240"/>
      </w:pPr>
      <w:r>
        <w:rPr>
          <w:rFonts w:ascii="Arial" w:cs="Arial" w:eastAsia="Arial" w:hAnsi="Arial"/>
          <w:b/>
          <w:bCs/>
          <w:sz w:val="28"/>
          <w:szCs w:val="28"/>
        </w:rPr>
        <w:t xml:space="preserve">5.3 Conviction Staking</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staker, I want to browse open staking markets and see live odds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Markets listed per campaign milestone. YES/NO pools, current odds, time to close shown.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staker, I want to place a stake on a milestone outcome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or NO selection, stake amount entered, confirmation shown. Funds deducted from wallet.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staker, I want to see my staking portfolio and P&amp;L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positions, resolved markets, total won/lost, leaderboard position shown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staker, I want my winnings credited automatically on market resolution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24 hours of milestone resolution. Proportional payout minus 2% platform fee.</w:t>
            </w:r>
          </w:p>
        </w:tc>
      </w:tr>
    </w:tbl>
    <w:p>
      <w:pPr>
        <w:spacing w:after="200"/>
      </w:pPr>
      <w:r>
        <w:t xml:space="preserve"/>
      </w:r>
    </w:p>
    <w:p>
      <w:pPr>
        <w:pStyle w:val="Heading1"/>
        <w:spacing w:after="160" w:before="320"/>
      </w:pPr>
      <w:r>
        <w:rPr>
          <w:rFonts w:ascii="Arial" w:cs="Arial" w:eastAsia="Arial" w:hAnsi="Arial"/>
          <w:b/>
          <w:bCs/>
          <w:sz w:val="32"/>
          <w:szCs w:val="32"/>
        </w:rPr>
        <w:t xml:space="preserve">6. KYC Tiers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3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Verification</w:t>
            </w:r>
          </w:p>
        </w:tc>
        <w:tc>
          <w:tcPr>
            <w:tcW w:type="dxa" w:w="23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Investment Limit</w:t>
            </w:r>
          </w:p>
        </w:tc>
        <w:tc>
          <w:tcPr>
            <w:tcW w:type="dxa" w:w="23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Staking Limit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 phone +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$100 / 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$50 / market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 government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$5,000 / 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$500 / market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 proof of funds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Diaspora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 international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$10,000 / 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$1,000 / market</w:t>
            </w:r>
          </w:p>
        </w:tc>
      </w:tr>
    </w:tbl>
    <w:p>
      <w:pPr>
        <w:spacing w:after="200"/>
      </w:pPr>
      <w:r>
        <w:t xml:space="preserve"/>
      </w:r>
    </w:p>
    <w:p>
      <w:pPr>
        <w:pStyle w:val="Heading1"/>
        <w:spacing w:after="160" w:before="320"/>
      </w:pPr>
      <w:r>
        <w:rPr>
          <w:rFonts w:ascii="Arial" w:cs="Arial" w:eastAsia="Arial" w:hAnsi="Arial"/>
          <w:b/>
          <w:bCs/>
          <w:sz w:val="32"/>
          <w:szCs w:val="32"/>
        </w:rPr>
        <w:t xml:space="preserve">7. Ecosystem Integration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63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ConceptNexus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concepts push to VestDen as campaigns. ConceptNexus score shown on campaign.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CollaBoard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Funded campaigns create CollaBoard projects with one click. Milestone escrow status synced via webhook.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SkillsCanvas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team section links to SkillsCanvas profiles for founder/team verification.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Reputation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fundraising and milestone delivery contribute to Fixars reputation score.</w:t>
            </w:r>
          </w:p>
        </w:tc>
      </w:tr>
    </w:tbl>
    <w:p>
      <w:pPr>
        <w:spacing w:after="200"/>
      </w:pPr>
      <w:r>
        <w:t xml:space="preserve"/>
      </w:r>
    </w:p>
    <w:p>
      <w:pPr>
        <w:pStyle w:val="Heading1"/>
        <w:spacing w:after="160" w:before="320"/>
      </w:pPr>
      <w:r>
        <w:rPr>
          <w:rFonts w:ascii="Arial" w:cs="Arial" w:eastAsia="Arial" w:hAnsi="Arial"/>
          <w:b/>
          <w:bCs/>
          <w:sz w:val="32"/>
          <w:szCs w:val="32"/>
        </w:rPr>
        <w:t xml:space="preserve">8. Version 2 Enhancements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V1</w:t>
            </w:r>
          </w:p>
        </w:tc>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escrow partner API integration. Milestone-based fund release.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Conviction staking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Polymarket-style binary markets per milestone. 2% platform fee.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Diaspora 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integration for GBP/USD/EUR with FX conversion.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due diligence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Gemini-generated deal report for investors.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ConceptNexus link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one-click push from ConceptNexus to campaign.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investment insurance product (Phase 3).</w:t>
            </w:r>
          </w:p>
        </w:tc>
      </w:tr>
    </w:tbl>
    <w:p>
      <w:pPr>
        <w:spacing w:after="200"/>
      </w:pPr>
      <w:r>
        <w:t xml:space="preserve"/>
      </w:r>
    </w:p>
    <w:p>
      <w:pPr>
        <w:pStyle w:val="Heading1"/>
        <w:spacing w:after="160" w:before="320"/>
      </w:pPr>
      <w:r>
        <w:rPr>
          <w:rFonts w:ascii="Arial" w:cs="Arial" w:eastAsia="Arial" w:hAnsi="Arial"/>
          <w:b/>
          <w:bCs/>
          <w:sz w:val="32"/>
          <w:szCs w:val="32"/>
        </w:rPr>
        <w:t xml:space="preserve">9. Success Metrics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V2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Campaigns launched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in first 6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Campaigns reaching 100% funding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time to full funding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Staking market participation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of active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Diaspora investor share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verification disputes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2026-03-07T11:50:32.648Z</dcterms:created>
  <dcterms:modified xsi:type="dcterms:W3CDTF">2026-03-07T11:50:32.648Z</dcterms:modified>
</cp:coreProperties>
</file>

<file path=docProps/custom.xml><?xml version="1.0" encoding="utf-8"?>
<Properties xmlns="http://schemas.openxmlformats.org/officeDocument/2006/custom-properties" xmlns:vt="http://schemas.openxmlformats.org/officeDocument/2006/docPropsVTypes"/>
</file>