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E3A5F"/>
          <w:sz w:val="72"/>
          <w:szCs w:val="72"/>
        </w:rPr>
        <w:t xml:space="preserve">DEPOSITGUARD</w:t>
      </w:r>
    </w:p>
    <w:p>
      <w:pPr>
        <w:spacing w:after="100"/>
        <w:jc w:val="center"/>
      </w:pPr>
      <w:r>
        <w:rPr>
          <w:color w:val="2E75B6"/>
          <w:sz w:val="32"/>
          <w:szCs w:val="32"/>
        </w:rPr>
        <w:t xml:space="preserve">Deposit Recovery Platform</w:t>
      </w:r>
    </w:p>
    <w:p>
      <w:pPr>
        <w:spacing w:after="400"/>
        <w:jc w:val="center"/>
      </w:pPr>
      <w:r>
        <w:rPr>
          <w:i/>
          <w:iCs/>
          <w:color w:val="666666"/>
          <w:sz w:val="26"/>
          <w:szCs w:val="26"/>
        </w:rPr>
        <w:t xml:space="preserve">We Fight For Your Deposit. You Keep 85%.</w:t>
      </w:r>
    </w:p>
    <w:p>
      <w:pPr>
        <w:spacing w:after="200"/>
        <w:jc w:val="center"/>
      </w:pPr>
      <w:r>
        <w:rPr>
          <w:b/>
          <w:bCs/>
          <w:sz w:val="28"/>
          <w:szCs w:val="28"/>
        </w:rPr>
        <w:t xml:space="preserve">COMPREHENSIVE BUSINESS PLAN</w:t>
      </w:r>
    </w:p>
    <w:p>
      <w:pPr>
        <w:spacing w:after="100"/>
        <w:jc w:val="center"/>
      </w:pPr>
      <w:r>
        <w:rPr>
          <w:sz w:val="22"/>
          <w:szCs w:val="22"/>
        </w:rPr>
        <w:t xml:space="preserve">Version 2.0 — Hybrid Asset-Light Model</w:t>
      </w:r>
    </w:p>
    <w:p>
      <w:pPr>
        <w:spacing w:after="400"/>
        <w:jc w:val="center"/>
      </w:pPr>
      <w:r>
        <w:rPr>
          <w:color w:val="666666"/>
          <w:sz w:val="22"/>
          <w:szCs w:val="22"/>
        </w:rPr>
        <w:t xml:space="preserve">Q2 2026 Launch | 3-Year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Launch</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 Revenue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 Revenue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 EBITDA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April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£680K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£5.9M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£3.8M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Working Capital Required</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Balance Sheet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£0 (Phase 1) → Partner-Funded (Phase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Zero — Asset-Light Model</w:t>
            </w:r>
          </w:p>
        </w:tc>
      </w:tr>
    </w:tbl>
    <w:p>
      <w:pPr>
        <w:spacing w:after="400"/>
      </w:pPr>
    </w:p>
    <w:p>
      <w:pPr>
        <w:jc w:val="center"/>
      </w:pPr>
      <w:r>
        <w:rPr>
          <w:color w:val="666666"/>
          <w:sz w:val="22"/>
          <w:szCs w:val="22"/>
        </w:rPr>
        <w:t xml:space="preserve">February 2026</w:t>
      </w:r>
    </w:p>
    <w:p>
      <w:r>
        <w:br w:type="page"/>
      </w:r>
    </w:p>
    <w:p>
      <w:pPr>
        <w:pStyle w:val="Heading1"/>
      </w:pPr>
      <w:r>
        <w:rPr>
          <w:b/>
          <w:bCs/>
          <w:color w:val="1E3A5F"/>
          <w:sz w:val="36"/>
          <w:szCs w:val="36"/>
        </w:rPr>
        <w:t xml:space="preserve">Contents</w:t>
      </w:r>
    </w:p>
    <w:p>
      <w:pPr>
        <w:spacing w:after="200"/>
      </w:pPr>
    </w:p>
    <w:p>
      <w:pPr>
        <w:spacing w:after="100"/>
      </w:pPr>
      <w:r>
        <w:rPr>
          <w:sz w:val="24"/>
          <w:szCs w:val="24"/>
        </w:rPr>
        <w:t xml:space="preserve">1. Executive Summary</w:t>
      </w:r>
    </w:p>
    <w:p>
      <w:pPr>
        <w:spacing w:after="100"/>
      </w:pPr>
      <w:r>
        <w:rPr>
          <w:sz w:val="24"/>
          <w:szCs w:val="24"/>
        </w:rPr>
        <w:t xml:space="preserve">2. Problem &amp; Opportunity</w:t>
      </w:r>
    </w:p>
    <w:p>
      <w:pPr>
        <w:spacing w:after="100"/>
      </w:pPr>
      <w:r>
        <w:rPr>
          <w:sz w:val="24"/>
          <w:szCs w:val="24"/>
        </w:rPr>
        <w:t xml:space="preserve">3. London Rental Market Analysis</w:t>
      </w:r>
    </w:p>
    <w:p>
      <w:pPr>
        <w:spacing w:after="100"/>
      </w:pPr>
      <w:r>
        <w:rPr>
          <w:sz w:val="24"/>
          <w:szCs w:val="24"/>
        </w:rPr>
        <w:t xml:space="preserve">4. The Hybrid Model: Three Phases</w:t>
      </w:r>
    </w:p>
    <w:p>
      <w:pPr>
        <w:spacing w:after="100"/>
      </w:pPr>
      <w:r>
        <w:rPr>
          <w:sz w:val="24"/>
          <w:szCs w:val="24"/>
        </w:rPr>
        <w:t xml:space="preserve">5. Solution Overview</w:t>
      </w:r>
    </w:p>
    <w:p>
      <w:pPr>
        <w:spacing w:after="100"/>
      </w:pPr>
      <w:r>
        <w:rPr>
          <w:sz w:val="24"/>
          <w:szCs w:val="24"/>
        </w:rPr>
        <w:t xml:space="preserve">6. Business Model &amp; Revenue Streams</w:t>
      </w:r>
    </w:p>
    <w:p>
      <w:pPr>
        <w:spacing w:after="100"/>
      </w:pPr>
      <w:r>
        <w:rPr>
          <w:sz w:val="24"/>
          <w:szCs w:val="24"/>
        </w:rPr>
        <w:t xml:space="preserve">7. Go-to-Market Strategy</w:t>
      </w:r>
    </w:p>
    <w:p>
      <w:pPr>
        <w:spacing w:after="100"/>
      </w:pPr>
      <w:r>
        <w:rPr>
          <w:sz w:val="24"/>
          <w:szCs w:val="24"/>
        </w:rPr>
        <w:t xml:space="preserve">8. Operations &amp; Infrastructure</w:t>
      </w:r>
    </w:p>
    <w:p>
      <w:pPr>
        <w:spacing w:after="100"/>
      </w:pPr>
      <w:r>
        <w:rPr>
          <w:sz w:val="24"/>
          <w:szCs w:val="24"/>
        </w:rPr>
        <w:t xml:space="preserve">9. Financial Projections</w:t>
      </w:r>
    </w:p>
    <w:p>
      <w:pPr>
        <w:spacing w:after="100"/>
      </w:pPr>
      <w:r>
        <w:rPr>
          <w:sz w:val="24"/>
          <w:szCs w:val="24"/>
        </w:rPr>
        <w:t xml:space="preserve">10. Geographic Expansion Strategy</w:t>
      </w:r>
    </w:p>
    <w:p>
      <w:pPr>
        <w:spacing w:after="100"/>
      </w:pPr>
      <w:r>
        <w:rPr>
          <w:sz w:val="24"/>
          <w:szCs w:val="24"/>
        </w:rPr>
        <w:t xml:space="preserve">11. Risk Analysis &amp; Mitigation</w:t>
      </w:r>
    </w:p>
    <w:p>
      <w:pPr>
        <w:spacing w:after="100"/>
      </w:pPr>
      <w:r>
        <w:rPr>
          <w:sz w:val="24"/>
          <w:szCs w:val="24"/>
        </w:rPr>
        <w:t xml:space="preserve">12. Team &amp; Governance</w:t>
      </w:r>
    </w:p>
    <w:p>
      <w:pPr>
        <w:spacing w:after="100"/>
      </w:pPr>
      <w:r>
        <w:rPr>
          <w:sz w:val="24"/>
          <w:szCs w:val="24"/>
        </w:rPr>
        <w:t xml:space="preserve">13. Investment Requirements</w:t>
      </w:r>
    </w:p>
    <w:p>
      <w:r>
        <w:br w:type="page"/>
      </w:r>
    </w:p>
    <w:p>
      <w:pPr>
        <w:pStyle w:val="Heading1"/>
      </w:pPr>
      <w:r>
        <w:rPr>
          <w:b/>
          <w:bCs/>
          <w:color w:val="1E3A5F"/>
          <w:sz w:val="36"/>
          <w:szCs w:val="36"/>
        </w:rPr>
        <w:t xml:space="preserve">1. Executive Summary</w:t>
      </w:r>
    </w:p>
    <w:p>
      <w:pPr>
        <w:spacing w:after="200"/>
      </w:pPr>
      <w:r>
        <w:rPr>
          <w:sz w:val="22"/>
          <w:szCs w:val="22"/>
        </w:rPr>
        <w:t xml:space="preserve">DepositGuard is a deposit recovery platform launching in Q2 2026 that helps tenants reclaim their rental deposits at tenancy end. Tenants assign their deposit claim rights to DepositGuard, who professionally pursues the landlord for maximum recovery. The tenant receives 85% of whatever is recovered; DepositGuard keeps 15% as a success fee.</w:t>
      </w:r>
    </w:p>
    <w:p>
      <w:pPr>
        <w:spacing w:after="200"/>
      </w:pPr>
      <w:r>
        <w:rPr>
          <w:b/>
          <w:bCs/>
          <w:sz w:val="22"/>
          <w:szCs w:val="22"/>
        </w:rPr>
        <w:t xml:space="preserve">Critically, this is an asset-light model. DepositGuard does not guarantee or advance any funds in Phase 1. We prove recovery rates, build a track record, then introduce instant payout options via financing partners in Phase 2 — with zero balance sheet risk to DepositGuard.</w:t>
      </w:r>
    </w:p>
    <w:p>
      <w:pPr>
        <w:pStyle w:val="Heading2"/>
      </w:pPr>
      <w:r>
        <w:rPr>
          <w:b/>
          <w:bCs/>
          <w:color w:val="2E75B6"/>
          <w:sz w:val="28"/>
          <w:szCs w:val="28"/>
        </w:rPr>
        <w:t xml:space="preserve">The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Phase</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Model</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Tenant Receives</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DG Working Capital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Phase 1 (M1-6)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Contingency Recovery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85% of recovered 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 Zero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Phase 2 (M6-18)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 Instant Payout Option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Choice: 85% later OR 80% instant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 Partner-funded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Phase 3 (M18+)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 Deposit Recovery Fund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Premium tiers, landlord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 Fund-backed</w:t>
            </w:r>
          </w:p>
        </w:tc>
      </w:tr>
    </w:tbl>
    <w:p>
      <w:pPr>
        <w:spacing w:after="200"/>
      </w:pPr>
    </w:p>
    <w:p>
      <w:pPr>
        <w:pStyle w:val="Heading2"/>
      </w:pPr>
      <w:r>
        <w:rPr>
          <w:b/>
          <w:bCs/>
          <w:color w:val="2E75B6"/>
          <w:sz w:val="28"/>
          <w:szCs w:val="28"/>
        </w:rPr>
        <w:t xml:space="preserve">Key Financial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2</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£680K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£2.6M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£5.9M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EBITDA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£210K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£1.4M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£3.8M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EBITDA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64.4%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Claims Processed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16,500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Working Capital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r>
    </w:tbl>
    <w:p>
      <w:pPr>
        <w:spacing w:after="200"/>
      </w:pPr>
    </w:p>
    <w:p>
      <w:pPr>
        <w:pStyle w:val="Heading2"/>
      </w:pPr>
      <w:r>
        <w:rPr>
          <w:b/>
          <w:bCs/>
          <w:color w:val="2E75B6"/>
          <w:sz w:val="28"/>
          <w:szCs w:val="28"/>
        </w:rPr>
        <w:t xml:space="preserve">Why Asset-Light Wins</w:t>
      </w:r>
    </w:p>
    <w:p>
      <w:pPr>
        <w:pStyle w:val="ListParagraph"/>
        <w:numPr>
          <w:ilvl w:val="0"/>
          <w:numId w:val="2"/>
        </w:numPr>
        <w:spacing w:after="80"/>
      </w:pPr>
      <w:r>
        <w:rPr>
          <w:sz w:val="22"/>
          <w:szCs w:val="22"/>
        </w:rPr>
        <w:t xml:space="preserve">Zero balance sheet risk: No upfront payouts means no exposure to recovery shortfalls</w:t>
      </w:r>
    </w:p>
    <w:p>
      <w:pPr>
        <w:pStyle w:val="ListParagraph"/>
        <w:numPr>
          <w:ilvl w:val="0"/>
          <w:numId w:val="2"/>
        </w:numPr>
        <w:spacing w:after="80"/>
      </w:pPr>
      <w:r>
        <w:rPr>
          <w:sz w:val="22"/>
          <w:szCs w:val="22"/>
        </w:rPr>
        <w:t xml:space="preserve">Capital efficient: £250K seed round funds 18+ months runway vs £750K+ for guarantee model</w:t>
      </w:r>
    </w:p>
    <w:p>
      <w:pPr>
        <w:pStyle w:val="ListParagraph"/>
        <w:numPr>
          <w:ilvl w:val="0"/>
          <w:numId w:val="2"/>
        </w:numPr>
        <w:spacing w:after="80"/>
      </w:pPr>
      <w:r>
        <w:rPr>
          <w:sz w:val="22"/>
          <w:szCs w:val="22"/>
        </w:rPr>
        <w:t xml:space="preserve">Faster scaling: No working capital constraints on growth</w:t>
      </w:r>
    </w:p>
    <w:p>
      <w:pPr>
        <w:pStyle w:val="ListParagraph"/>
        <w:numPr>
          <w:ilvl w:val="0"/>
          <w:numId w:val="2"/>
        </w:numPr>
        <w:spacing w:after="80"/>
      </w:pPr>
      <w:r>
        <w:rPr>
          <w:sz w:val="22"/>
          <w:szCs w:val="22"/>
        </w:rPr>
        <w:t xml:space="preserve">Prove before promise: Build recovery track record before introducing guarantees</w:t>
      </w:r>
    </w:p>
    <w:p>
      <w:pPr>
        <w:pStyle w:val="ListParagraph"/>
        <w:numPr>
          <w:ilvl w:val="0"/>
          <w:numId w:val="2"/>
        </w:numPr>
        <w:spacing w:after="80"/>
      </w:pPr>
      <w:r>
        <w:rPr>
          <w:sz w:val="22"/>
          <w:szCs w:val="22"/>
        </w:rPr>
        <w:t xml:space="preserve">Partner leverage: Use factoring partners' capital, not ours</w:t>
      </w:r>
    </w:p>
    <w:p>
      <w:pPr>
        <w:pStyle w:val="ListParagraph"/>
        <w:numPr>
          <w:ilvl w:val="0"/>
          <w:numId w:val="2"/>
        </w:numPr>
        <w:spacing w:after="80"/>
      </w:pPr>
      <w:r>
        <w:rPr>
          <w:sz w:val="22"/>
          <w:szCs w:val="22"/>
        </w:rPr>
        <w:t xml:space="preserve">Higher margins: No cost of capital eating into unit economics</w:t>
      </w:r>
    </w:p>
    <w:p>
      <w:r>
        <w:br w:type="page"/>
      </w:r>
    </w:p>
    <w:p>
      <w:pPr>
        <w:pStyle w:val="Heading1"/>
      </w:pPr>
      <w:r>
        <w:rPr>
          <w:b/>
          <w:bCs/>
          <w:color w:val="1E3A5F"/>
          <w:sz w:val="36"/>
          <w:szCs w:val="36"/>
        </w:rPr>
        <w:t xml:space="preserve">2. Problem &amp; Opportunity</w:t>
      </w:r>
    </w:p>
    <w:p>
      <w:pPr>
        <w:pStyle w:val="Heading2"/>
      </w:pPr>
      <w:r>
        <w:rPr>
          <w:b/>
          <w:bCs/>
          <w:color w:val="2E75B6"/>
          <w:sz w:val="28"/>
          <w:szCs w:val="28"/>
        </w:rPr>
        <w:t xml:space="preserve">The Deposit Deduction Problem</w:t>
      </w:r>
    </w:p>
    <w:p>
      <w:pPr>
        <w:spacing w:after="200"/>
      </w:pPr>
      <w:r>
        <w:rPr>
          <w:sz w:val="22"/>
          <w:szCs w:val="22"/>
        </w:rPr>
        <w:t xml:space="preserve">Tenants routinely lose money from their deposits at tenancy end. Research indicates that 30-40% of tenancies involve some form of deposit deduction, with many deductions being unfair, inflated, or disputable. Yet the vast majority of tenants never challenge these deductions — they simply accept the loss and move on.</w:t>
      </w:r>
    </w:p>
    <w:p>
      <w:pPr>
        <w:pStyle w:val="Heading3"/>
      </w:pPr>
      <w:r>
        <w:rPr>
          <w:b/>
          <w:bCs/>
          <w:color w:val="1E3A5F"/>
          <w:sz w:val="24"/>
          <w:szCs w:val="24"/>
        </w:rPr>
        <w:t xml:space="preserve">Why Tenants Don't Dispute</w:t>
      </w:r>
    </w:p>
    <w:p>
      <w:pPr>
        <w:pStyle w:val="ListParagraph"/>
        <w:numPr>
          <w:ilvl w:val="0"/>
          <w:numId w:val="2"/>
        </w:numPr>
        <w:spacing w:after="80"/>
      </w:pPr>
      <w:r>
        <w:rPr>
          <w:sz w:val="22"/>
          <w:szCs w:val="22"/>
        </w:rPr>
        <w:t xml:space="preserve">Time pressure: Already stressed with moving, finding new accommodation, starting new jobs</w:t>
      </w:r>
    </w:p>
    <w:p>
      <w:pPr>
        <w:pStyle w:val="ListParagraph"/>
        <w:numPr>
          <w:ilvl w:val="0"/>
          <w:numId w:val="2"/>
        </w:numPr>
        <w:spacing w:after="80"/>
      </w:pPr>
      <w:r>
        <w:rPr>
          <w:sz w:val="22"/>
          <w:szCs w:val="22"/>
        </w:rPr>
        <w:t xml:space="preserve">Knowledge gap: Unfamiliar with TDP dispute process, fair wear and tear rules, tenant rights</w:t>
      </w:r>
    </w:p>
    <w:p>
      <w:pPr>
        <w:pStyle w:val="ListParagraph"/>
        <w:numPr>
          <w:ilvl w:val="0"/>
          <w:numId w:val="2"/>
        </w:numPr>
        <w:spacing w:after="80"/>
      </w:pPr>
      <w:r>
        <w:rPr>
          <w:sz w:val="22"/>
          <w:szCs w:val="22"/>
        </w:rPr>
        <w:t xml:space="preserve">Power imbalance: Feel intimidated by landlords and letting agents who do this regularly</w:t>
      </w:r>
    </w:p>
    <w:p>
      <w:pPr>
        <w:pStyle w:val="ListParagraph"/>
        <w:numPr>
          <w:ilvl w:val="0"/>
          <w:numId w:val="2"/>
        </w:numPr>
        <w:spacing w:after="80"/>
      </w:pPr>
      <w:r>
        <w:rPr>
          <w:sz w:val="22"/>
          <w:szCs w:val="22"/>
        </w:rPr>
        <w:t xml:space="preserve">Low stakes perception: £200-500 deductions feel 'not worth weeks of hassle'</w:t>
      </w:r>
    </w:p>
    <w:p>
      <w:pPr>
        <w:pStyle w:val="ListParagraph"/>
        <w:numPr>
          <w:ilvl w:val="0"/>
          <w:numId w:val="2"/>
        </w:numPr>
        <w:spacing w:after="80"/>
      </w:pPr>
      <w:r>
        <w:rPr>
          <w:sz w:val="22"/>
          <w:szCs w:val="22"/>
        </w:rPr>
        <w:t xml:space="preserve">Evidence challenges: Lack proper documentation, photos, or check-in reports</w:t>
      </w:r>
    </w:p>
    <w:p>
      <w:pPr>
        <w:pStyle w:val="ListParagraph"/>
        <w:numPr>
          <w:ilvl w:val="0"/>
          <w:numId w:val="2"/>
        </w:numPr>
        <w:spacing w:after="80"/>
      </w:pPr>
      <w:r>
        <w:rPr>
          <w:sz w:val="22"/>
          <w:szCs w:val="22"/>
        </w:rPr>
        <w:t xml:space="preserve">Emotional exhaustion: Just want to move on from a difficult tenancy</w:t>
      </w:r>
    </w:p>
    <w:p>
      <w:pPr>
        <w:spacing w:after="200"/>
      </w:pPr>
    </w:p>
    <w:p>
      <w:pPr>
        <w:pStyle w:val="Heading2"/>
      </w:pPr>
      <w:r>
        <w:rPr>
          <w:b/>
          <w:bCs/>
          <w:color w:val="2E75B6"/>
          <w:sz w:val="28"/>
          <w:szCs w:val="28"/>
        </w:rPr>
        <w:t xml:space="preserve">The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Live deposits in TDP schemes (England)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4.2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deposit value (London)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Tenancies with deductions annually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unfair deduction amount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£350-450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Disputes raised vs. deductions made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&lt;15%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Tenant success rate when disputes ARE raised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~60% receive some return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Estimated unfair deductions annually (UK)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£250-400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London's share of unfair deductions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£50-80 million annually</w:t>
            </w:r>
          </w:p>
        </w:tc>
      </w:tr>
    </w:tbl>
    <w:p>
      <w:pPr>
        <w:spacing w:after="200"/>
      </w:pPr>
    </w:p>
    <w:p>
      <w:pPr>
        <w:spacing w:after="200"/>
      </w:pPr>
      <w:r>
        <w:rPr>
          <w:b/>
          <w:bCs/>
          <w:sz w:val="22"/>
          <w:szCs w:val="22"/>
        </w:rPr>
        <w:t xml:space="preserve">The opportunity: Professional representation dramatically improves outcomes. When tenants DO dispute with proper evidence and process knowledge, they recover significantly more. DepositGuard brings this expertise at scale.</w:t>
      </w:r>
    </w:p>
    <w:p>
      <w:r>
        <w:br w:type="page"/>
      </w:r>
    </w:p>
    <w:p>
      <w:pPr>
        <w:pStyle w:val="Heading1"/>
      </w:pPr>
      <w:r>
        <w:rPr>
          <w:b/>
          <w:bCs/>
          <w:color w:val="1E3A5F"/>
          <w:sz w:val="36"/>
          <w:szCs w:val="36"/>
        </w:rPr>
        <w:t xml:space="preserve">3. London Rental Market Analysis</w:t>
      </w:r>
    </w:p>
    <w:p>
      <w:pPr>
        <w:pStyle w:val="Heading2"/>
      </w:pPr>
      <w:r>
        <w:rPr>
          <w:b/>
          <w:bCs/>
          <w:color w:val="2E75B6"/>
          <w:sz w:val="28"/>
          <w:szCs w:val="28"/>
        </w:rPr>
        <w:t xml:space="preserve">Market Overview</w:t>
      </w:r>
    </w:p>
    <w:p>
      <w:pPr>
        <w:spacing w:after="200"/>
      </w:pPr>
      <w:r>
        <w:rPr>
          <w:sz w:val="22"/>
          <w:szCs w:val="22"/>
        </w:rPr>
        <w:t xml:space="preserve">London represents the UK's largest and most valuable private rental market. With 28% of households renting privately (versus 17% in the rest of England), the capital offers the highest concentration of potential DepositGuard customers and the highest average deposit values.</w:t>
      </w:r>
    </w:p>
    <w:p>
      <w:pPr>
        <w:pStyle w:val="Heading2"/>
      </w:pPr>
      <w:r>
        <w:rPr>
          <w:b/>
          <w:bCs/>
          <w:color w:val="2E75B6"/>
          <w:sz w:val="28"/>
          <w:szCs w:val="28"/>
        </w:rPr>
        <w:t xml:space="preserve">Key Market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Value (2025)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Total London households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3.8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Private renter households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 million (28%)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monthly rent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£2,268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deposit (5 weeks)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Annual tenancy turnover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 (110,000 endings/year)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Tenancies with deposit deductions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35% (~38,500/year)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deduction where applied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£450</w:t>
            </w:r>
          </w:p>
        </w:tc>
      </w:tr>
    </w:tbl>
    <w:p>
      <w:pPr>
        <w:spacing w:after="200"/>
      </w:pPr>
    </w:p>
    <w:p>
      <w:pPr>
        <w:pStyle w:val="Heading2"/>
      </w:pPr>
      <w:r>
        <w:rPr>
          <w:b/>
          <w:bCs/>
          <w:color w:val="2E75B6"/>
          <w:sz w:val="28"/>
          <w:szCs w:val="28"/>
        </w:rPr>
        <w:t xml:space="preserve">5% Market Share Target: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Calculation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London tenancy endings 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 turnover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Year 1 target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110,000 ×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5,500 claims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deposit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London 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Total deposit value in claims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5,500 × £1,855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£10.2 million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Expected recovery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Professional pursuit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Total recovered for tenants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£10.2M × 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£9.08 million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DepositGuard fee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£9.08M ×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£1.36 million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Realistic Y1 (ramping)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~50% of full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£680K</w:t>
            </w:r>
          </w:p>
        </w:tc>
      </w:tr>
    </w:tbl>
    <w:p>
      <w:r>
        <w:br w:type="page"/>
      </w:r>
    </w:p>
    <w:p>
      <w:pPr>
        <w:pStyle w:val="Heading1"/>
      </w:pPr>
      <w:r>
        <w:rPr>
          <w:b/>
          <w:bCs/>
          <w:color w:val="1E3A5F"/>
          <w:sz w:val="36"/>
          <w:szCs w:val="36"/>
        </w:rPr>
        <w:t xml:space="preserve">4. The Hybrid Model: Three Phases</w:t>
      </w:r>
    </w:p>
    <w:p>
      <w:pPr>
        <w:spacing w:after="200"/>
      </w:pPr>
      <w:r>
        <w:rPr>
          <w:sz w:val="22"/>
          <w:szCs w:val="22"/>
        </w:rPr>
        <w:t xml:space="preserve">DepositGuard's hybrid model is designed to prove unit economics with zero capital risk, then layer in instant payout options using partner capital. This de-risks the business while building toward a more compelling consumer proposition.</w:t>
      </w:r>
    </w:p>
    <w:p>
      <w:pPr>
        <w:pStyle w:val="Heading2"/>
      </w:pPr>
      <w:r>
        <w:rPr>
          <w:b/>
          <w:bCs/>
          <w:color w:val="2E75B6"/>
          <w:sz w:val="28"/>
          <w:szCs w:val="28"/>
        </w:rPr>
        <w:t xml:space="preserve">Phase 1: Contingency Recovery (Months 1-6)</w:t>
      </w:r>
    </w:p>
    <w:p>
      <w:pPr>
        <w:spacing w:after="100"/>
      </w:pPr>
      <w:r>
        <w:rPr>
          <w:b/>
          <w:bCs/>
          <w:sz w:val="22"/>
          <w:szCs w:val="22"/>
        </w:rPr>
        <w:t xml:space="preserve">Pure success-fee model. Zero working capital. Prove recovery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Element</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Tenant proposition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Assign your claim to us. We fight for maximum recovery. You get 85% of whatever we recover.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Tenant payout timing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30-90 days (when recovery completes)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DepositGuard fee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15% of recovered amount (success 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Working capital required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 we pay tenants AFTER recovery, not before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Risk to DepositGuard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Zero — if we recover nothing, we earn nothing (but also lose nothing)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Key 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Prove 88%+ average recovery rate across 1,000+ claims</w:t>
            </w:r>
          </w:p>
        </w:tc>
      </w:tr>
    </w:tbl>
    <w:p>
      <w:pPr>
        <w:spacing w:after="200"/>
      </w:pPr>
    </w:p>
    <w:p>
      <w:pPr>
        <w:pStyle w:val="Heading3"/>
      </w:pPr>
      <w:r>
        <w:rPr>
          <w:b/>
          <w:bCs/>
          <w:color w:val="1E3A5F"/>
          <w:sz w:val="24"/>
          <w:szCs w:val="24"/>
        </w:rPr>
        <w:t xml:space="preserve">Phase 1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Per-Claim Metric</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deposit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Expected recovery (89%)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£1,651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Tenant receives (85%)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£1,403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DepositGuard revenue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£248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processing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Net margin per claim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£203</w:t>
            </w:r>
          </w:p>
        </w:tc>
      </w:tr>
    </w:tbl>
    <w:p>
      <w:pPr>
        <w:spacing w:after="300"/>
      </w:pPr>
    </w:p>
    <w:p>
      <w:pPr>
        <w:pStyle w:val="Heading2"/>
      </w:pPr>
      <w:r>
        <w:rPr>
          <w:b/>
          <w:bCs/>
          <w:color w:val="2E75B6"/>
          <w:sz w:val="28"/>
          <w:szCs w:val="28"/>
        </w:rPr>
        <w:t xml:space="preserve">Phase 2: Instant Payout Option (Months 6-18)</w:t>
      </w:r>
    </w:p>
    <w:p>
      <w:pPr>
        <w:spacing w:after="100"/>
      </w:pPr>
      <w:r>
        <w:rPr>
          <w:b/>
          <w:bCs/>
          <w:sz w:val="22"/>
          <w:szCs w:val="22"/>
        </w:rPr>
        <w:t xml:space="preserve">Add instant payout via factoring partner. Still zero DepositGuard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Element</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Tenant choice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Option A: Wait for recovery, get 85% | Option B: Instant payout, get 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Instant payout funder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Factoring/invoice finance partner (e.g., MarketFinance, Nucleus, specialist)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How it works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Partner buys the claim at 80%, pays tenant instantly. DG recovers on their behalf.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DepositGuard role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 originator + recovery agent. Earn origination fee + recovery commission.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Working capital required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 partner provides all capital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Expected mix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60% choose instant payout, 40% choose wait for 85%</w:t>
            </w:r>
          </w:p>
        </w:tc>
      </w:tr>
    </w:tbl>
    <w:p>
      <w:pPr>
        <w:spacing w:after="200"/>
      </w:pPr>
    </w:p>
    <w:p>
      <w:pPr>
        <w:pStyle w:val="Heading3"/>
      </w:pPr>
      <w:r>
        <w:rPr>
          <w:b/>
          <w:bCs/>
          <w:color w:val="1E3A5F"/>
          <w:sz w:val="24"/>
          <w:szCs w:val="24"/>
        </w:rPr>
        <w:t xml:space="preserve">Phase 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Revenue Stream</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Amount per Claim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Origination fee (from factor)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 of deposit = £56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Recovery commission (from factor)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50% of upside above 80% = £83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 per instant-payout claim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Standard claim (no instant)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£248 (15% success fee)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Blended average (60/40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£183 per claim</w:t>
            </w:r>
          </w:p>
        </w:tc>
      </w:tr>
    </w:tbl>
    <w:p>
      <w:pPr>
        <w:spacing w:after="300"/>
      </w:pPr>
    </w:p>
    <w:p>
      <w:pPr>
        <w:pStyle w:val="Heading2"/>
      </w:pPr>
      <w:r>
        <w:rPr>
          <w:b/>
          <w:bCs/>
          <w:color w:val="2E75B6"/>
          <w:sz w:val="28"/>
          <w:szCs w:val="28"/>
        </w:rPr>
        <w:t xml:space="preserve">Phase 3: Deposit Recovery Fund (Month 18+)</w:t>
      </w:r>
    </w:p>
    <w:p>
      <w:pPr>
        <w:spacing w:after="100"/>
      </w:pPr>
      <w:r>
        <w:rPr>
          <w:b/>
          <w:bCs/>
          <w:sz w:val="22"/>
          <w:szCs w:val="22"/>
        </w:rPr>
        <w:t xml:space="preserve">Create dedicated investment vehicle for maximum scale and margin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Element</w:t>
            </w:r>
          </w:p>
        </w:tc>
        <w:tc>
          <w:tcPr>
            <w:tcW w:type="dxa" w:w="6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SPV or fund structure with external investors seeking 8-12% annual returns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Fund role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Purchases claims at 80%, receives recovery proceeds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DepositGuard role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Fund manager / GP — earns management fee + performance 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Revenue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 AUM management fee + 20% performance fee above hurdle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Investor appeal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Short duration (90-day avg), secured by TDP-protected deposits, proven recovery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Working capital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£0 from DepositGuard — fund provides all capital</w:t>
            </w:r>
          </w:p>
        </w:tc>
      </w:tr>
    </w:tbl>
    <w:p>
      <w:r>
        <w:br w:type="page"/>
      </w:r>
    </w:p>
    <w:p>
      <w:pPr>
        <w:pStyle w:val="Heading1"/>
      </w:pPr>
      <w:r>
        <w:rPr>
          <w:b/>
          <w:bCs/>
          <w:color w:val="1E3A5F"/>
          <w:sz w:val="36"/>
          <w:szCs w:val="36"/>
        </w:rPr>
        <w:t xml:space="preserve">5. Solution Overview</w:t>
      </w:r>
    </w:p>
    <w:p>
      <w:pPr>
        <w:spacing w:after="200"/>
      </w:pPr>
      <w:r>
        <w:rPr>
          <w:sz w:val="22"/>
          <w:szCs w:val="22"/>
        </w:rPr>
        <w:t xml:space="preserve">DepositGuard offers a simple proposition: assign us your deposit claim, and we'll fight for maximum recovery using our expertise, evidence systems, and artisan network. You keep 85% of whatever we recover — and you don't lift a finger.</w:t>
      </w:r>
    </w:p>
    <w:p>
      <w:pPr>
        <w:pStyle w:val="Heading2"/>
      </w:pPr>
      <w:r>
        <w:rPr>
          <w:b/>
          <w:bCs/>
          <w:color w:val="2E75B6"/>
          <w:sz w:val="28"/>
          <w:szCs w:val="28"/>
        </w:rPr>
        <w:t xml:space="preserve">The Tenant Journey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Step</w:t>
            </w:r>
          </w:p>
        </w:tc>
        <w:tc>
          <w:tcPr>
            <w:tcW w:type="dxa" w:w="7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 Sign Up</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Tenant registers at tenancy end with deposit details, TDP scheme info, and any documentation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2. Verify</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DepositGuard verifies deposit protection status and tenancy details with TDP scheme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3. Assign</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Tenant signs Deed of Assignment, transferring deposit claim rights to DepositGuard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4. We Fight</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DepositGuard pursues landlord: demand letter → negotiation → ADR if needed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5. You Get Paid</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Recovery complete: tenant receives 85% via bank transfer (typically 30-90 days)</w:t>
            </w:r>
          </w:p>
        </w:tc>
      </w:tr>
    </w:tbl>
    <w:p>
      <w:pPr>
        <w:spacing w:after="200"/>
      </w:pPr>
    </w:p>
    <w:p>
      <w:pPr>
        <w:pStyle w:val="Heading2"/>
      </w:pPr>
      <w:r>
        <w:rPr>
          <w:b/>
          <w:bCs/>
          <w:color w:val="2E75B6"/>
          <w:sz w:val="28"/>
          <w:szCs w:val="28"/>
        </w:rPr>
        <w:t xml:space="preserve">The Tenant Journey (Phase 2 — Instant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Step</w:t>
            </w:r>
          </w:p>
        </w:tc>
        <w:tc>
          <w:tcPr>
            <w:tcW w:type="dxa" w:w="7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Same as Phase 1: Sign up → Verify → Assign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4. Choose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Tenant chooses: WAIT (get 85% when recovered) or INSTANT (get 80% within 48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5a. If WAIT</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Same as Phase 1 — tenant receives 85% when recovery completes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5b. If INSTANT</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Factoring partner pays 80% to tenant within 48 hours. Tenant's involvement ends.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6. Recovery</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DepositGuard pursues recovery on behalf of factor. Upside shared per agreement.</w:t>
            </w:r>
          </w:p>
        </w:tc>
      </w:tr>
    </w:tbl>
    <w:p>
      <w:pPr>
        <w:spacing w:after="200"/>
      </w:pPr>
    </w:p>
    <w:p>
      <w:pPr>
        <w:pStyle w:val="Heading2"/>
      </w:pPr>
      <w:r>
        <w:rPr>
          <w:b/>
          <w:bCs/>
          <w:color w:val="2E75B6"/>
          <w:sz w:val="28"/>
          <w:szCs w:val="28"/>
        </w:rPr>
        <w:t xml:space="preserve">The Recovery Process</w:t>
      </w:r>
    </w:p>
    <w:p>
      <w:pPr>
        <w:pStyle w:val="ListParagraph"/>
        <w:numPr>
          <w:ilvl w:val="0"/>
          <w:numId w:val="2"/>
        </w:numPr>
        <w:spacing w:after="80"/>
      </w:pPr>
      <w:r>
        <w:rPr>
          <w:sz w:val="22"/>
          <w:szCs w:val="22"/>
        </w:rPr>
        <w:t xml:space="preserve">Day 1-3: Formal demand letter to landlord/agent requesting full deposit return within 14 days</w:t>
      </w:r>
    </w:p>
    <w:p>
      <w:pPr>
        <w:pStyle w:val="ListParagraph"/>
        <w:numPr>
          <w:ilvl w:val="0"/>
          <w:numId w:val="2"/>
        </w:numPr>
        <w:spacing w:after="80"/>
      </w:pPr>
      <w:r>
        <w:rPr>
          <w:sz w:val="22"/>
          <w:szCs w:val="22"/>
        </w:rPr>
        <w:t xml:space="preserve">Day 3-7: Evidence gathering — check-in/out reports, photos, tenancy agreement review</w:t>
      </w:r>
    </w:p>
    <w:p>
      <w:pPr>
        <w:pStyle w:val="ListParagraph"/>
        <w:numPr>
          <w:ilvl w:val="0"/>
          <w:numId w:val="2"/>
        </w:numPr>
        <w:spacing w:after="80"/>
      </w:pPr>
      <w:r>
        <w:rPr>
          <w:sz w:val="22"/>
          <w:szCs w:val="22"/>
        </w:rPr>
        <w:t xml:space="preserve">Day 7-14: Artisan network provides independent cost quotes for any claimed damage</w:t>
      </w:r>
    </w:p>
    <w:p>
      <w:pPr>
        <w:pStyle w:val="ListParagraph"/>
        <w:numPr>
          <w:ilvl w:val="0"/>
          <w:numId w:val="2"/>
        </w:numPr>
        <w:spacing w:after="80"/>
      </w:pPr>
      <w:r>
        <w:rPr>
          <w:sz w:val="22"/>
          <w:szCs w:val="22"/>
        </w:rPr>
        <w:t xml:space="preserve">Day 14-21: Negotiation with landlord/agent using evidence and fair wear &amp; tear arguments</w:t>
      </w:r>
    </w:p>
    <w:p>
      <w:pPr>
        <w:pStyle w:val="ListParagraph"/>
        <w:numPr>
          <w:ilvl w:val="0"/>
          <w:numId w:val="2"/>
        </w:numPr>
        <w:spacing w:after="80"/>
      </w:pPr>
      <w:r>
        <w:rPr>
          <w:sz w:val="22"/>
          <w:szCs w:val="22"/>
        </w:rPr>
        <w:t xml:space="preserve">Day 21-28: If unresolved, ADR case filed with relevant TDP scheme (DPS, TDS, MyDeposits)</w:t>
      </w:r>
    </w:p>
    <w:p>
      <w:pPr>
        <w:pStyle w:val="ListParagraph"/>
        <w:numPr>
          <w:ilvl w:val="0"/>
          <w:numId w:val="2"/>
        </w:numPr>
        <w:spacing w:after="80"/>
      </w:pPr>
      <w:r>
        <w:rPr>
          <w:sz w:val="22"/>
          <w:szCs w:val="22"/>
        </w:rPr>
        <w:t xml:space="preserve">Day 28-90: ADR adjudication process — professional presentation of evidence</w:t>
      </w:r>
    </w:p>
    <w:p>
      <w:pPr>
        <w:pStyle w:val="ListParagraph"/>
        <w:numPr>
          <w:ilvl w:val="0"/>
          <w:numId w:val="2"/>
        </w:numPr>
        <w:spacing w:after="80"/>
      </w:pPr>
      <w:r>
        <w:rPr>
          <w:sz w:val="22"/>
          <w:szCs w:val="22"/>
        </w:rPr>
        <w:t xml:space="preserve">Day 90+: Adjudicator decision received, funds released, tenant paid</w:t>
      </w:r>
    </w:p>
    <w:p>
      <w:r>
        <w:br w:type="page"/>
      </w:r>
    </w:p>
    <w:p>
      <w:pPr>
        <w:pStyle w:val="Heading1"/>
      </w:pPr>
      <w:r>
        <w:rPr>
          <w:b/>
          <w:bCs/>
          <w:color w:val="1E3A5F"/>
          <w:sz w:val="36"/>
          <w:szCs w:val="36"/>
        </w:rPr>
        <w:t xml:space="preserve">6. Business Model &amp; Revenue Streams</w:t>
      </w:r>
    </w:p>
    <w:p>
      <w:pPr>
        <w:spacing w:after="200"/>
      </w:pPr>
      <w:r>
        <w:rPr>
          <w:sz w:val="22"/>
          <w:szCs w:val="22"/>
        </w:rPr>
        <w:t xml:space="preserve">DepositGuard operates as a claims recovery business, not a financial services company. Revenue comes from success fees and partner commissions — never from advancing capital or taking balance sheet risk.</w:t>
      </w:r>
    </w:p>
    <w:p>
      <w:pPr>
        <w:pStyle w:val="Heading2"/>
      </w:pPr>
      <w:r>
        <w:rPr>
          <w:b/>
          <w:bCs/>
          <w:color w:val="2E75B6"/>
          <w:sz w:val="28"/>
          <w:szCs w:val="28"/>
        </w:rPr>
        <w:t xml:space="preserve">Revenue Stream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Revenue Stream</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Start</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2</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 Success Fees (15%)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M1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£680K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£920K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£1.45M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 Origination Fees (3%)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M6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£550K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£1.15M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 Recovery Commission (50% upside)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M6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£820K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£1.75M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 Artisan Referral Commission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M6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£180K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£380K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 Fund Management Fees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M18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£130K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£1.16M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 REVENUE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£680K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£2.60M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£5.90M</w:t>
            </w:r>
          </w:p>
        </w:tc>
      </w:tr>
    </w:tbl>
    <w:p>
      <w:pPr>
        <w:spacing w:after="200"/>
      </w:pPr>
    </w:p>
    <w:p>
      <w:pPr>
        <w:pStyle w:val="Heading2"/>
      </w:pPr>
      <w:r>
        <w:rPr>
          <w:b/>
          <w:bCs/>
          <w:color w:val="2E75B6"/>
          <w:sz w:val="28"/>
          <w:szCs w:val="28"/>
        </w:rPr>
        <w:t xml:space="preserve">Revenue Stream Details</w:t>
      </w:r>
    </w:p>
    <w:p>
      <w:pPr>
        <w:pStyle w:val="Heading3"/>
      </w:pPr>
      <w:r>
        <w:rPr>
          <w:b/>
          <w:bCs/>
          <w:color w:val="1E3A5F"/>
          <w:sz w:val="24"/>
          <w:szCs w:val="24"/>
        </w:rPr>
        <w:t xml:space="preserve">1. Success Fees — 15% of Recovered Amount</w:t>
      </w:r>
    </w:p>
    <w:p>
      <w:pPr>
        <w:spacing w:after="150"/>
      </w:pPr>
      <w:r>
        <w:rPr>
          <w:sz w:val="22"/>
          <w:szCs w:val="22"/>
        </w:rPr>
        <w:t xml:space="preserve">Core Phase 1 revenue. Tenant assigns claim, we recover, they get 85%, we keep 15%. Simple contingency model used by claims management companies. No upfront cost to tenant, no risk to us beyond time invested.</w:t>
      </w:r>
    </w:p>
    <w:p>
      <w:pPr>
        <w:pStyle w:val="Heading3"/>
      </w:pPr>
      <w:r>
        <w:rPr>
          <w:b/>
          <w:bCs/>
          <w:color w:val="1E3A5F"/>
          <w:sz w:val="24"/>
          <w:szCs w:val="24"/>
        </w:rPr>
        <w:t xml:space="preserve">2. Origination Fees — 3% from Factoring Partner</w:t>
      </w:r>
    </w:p>
    <w:p>
      <w:pPr>
        <w:spacing w:after="150"/>
      </w:pPr>
      <w:r>
        <w:rPr>
          <w:sz w:val="22"/>
          <w:szCs w:val="22"/>
        </w:rPr>
        <w:t xml:space="preserve">Phase 2 revenue. When tenant chooses instant payout, factoring partner pays us 3% of deposit value as origination/referral fee. We're the deal source; they pay for access to our claims pipeline.</w:t>
      </w:r>
    </w:p>
    <w:p>
      <w:pPr>
        <w:pStyle w:val="Heading3"/>
      </w:pPr>
      <w:r>
        <w:rPr>
          <w:b/>
          <w:bCs/>
          <w:color w:val="1E3A5F"/>
          <w:sz w:val="24"/>
          <w:szCs w:val="24"/>
        </w:rPr>
        <w:t xml:space="preserve">3. Recovery Commission — 50% of Upside Above 80%</w:t>
      </w:r>
    </w:p>
    <w:p>
      <w:pPr>
        <w:spacing w:after="150"/>
      </w:pPr>
      <w:r>
        <w:rPr>
          <w:sz w:val="22"/>
          <w:szCs w:val="22"/>
        </w:rPr>
        <w:t xml:space="preserve">Phase 2 revenue. Factoring partner pays tenant 80%. We pursue recovery. If we recover 90%, there's 10% upside — we split it 50/50 with factor. This incentivises maximum recovery effort.</w:t>
      </w:r>
    </w:p>
    <w:p>
      <w:pPr>
        <w:pStyle w:val="Heading3"/>
      </w:pPr>
      <w:r>
        <w:rPr>
          <w:b/>
          <w:bCs/>
          <w:color w:val="1E3A5F"/>
          <w:sz w:val="24"/>
          <w:szCs w:val="24"/>
        </w:rPr>
        <w:t xml:space="preserve">4. Artisan Referral Commission — 15% of Job Value</w:t>
      </w:r>
    </w:p>
    <w:p>
      <w:pPr>
        <w:spacing w:after="150"/>
      </w:pPr>
      <w:r>
        <w:rPr>
          <w:sz w:val="22"/>
          <w:szCs w:val="22"/>
        </w:rPr>
        <w:t xml:space="preserve">When landlords accept our damage assessments, they often use our artisan network for repairs. We take 15% commission on completed jobs. Win-win: fair pricing for landlords, revenue for us, work for artisans.</w:t>
      </w:r>
    </w:p>
    <w:p>
      <w:pPr>
        <w:pStyle w:val="Heading3"/>
      </w:pPr>
      <w:r>
        <w:rPr>
          <w:b/>
          <w:bCs/>
          <w:color w:val="1E3A5F"/>
          <w:sz w:val="24"/>
          <w:szCs w:val="24"/>
        </w:rPr>
        <w:t xml:space="preserve">5. Fund Management Fees — 2% AUM + 20% Performance</w:t>
      </w:r>
    </w:p>
    <w:p>
      <w:pPr>
        <w:spacing w:after="150"/>
      </w:pPr>
      <w:r>
        <w:rPr>
          <w:sz w:val="22"/>
          <w:szCs w:val="22"/>
        </w:rPr>
        <w:t xml:space="preserve">Phase 3 revenue. Once we establish our own Deposit Recovery Fund, we earn fund management fees. 2% of assets under management plus 20% of returns above an 8% hurdle. This is where margins expand significantly.</w:t>
      </w:r>
    </w:p>
    <w:p>
      <w:r>
        <w:br w:type="page"/>
      </w:r>
    </w:p>
    <w:p>
      <w:pPr>
        <w:pStyle w:val="Heading1"/>
      </w:pPr>
      <w:r>
        <w:rPr>
          <w:b/>
          <w:bCs/>
          <w:color w:val="1E3A5F"/>
          <w:sz w:val="36"/>
          <w:szCs w:val="36"/>
        </w:rPr>
        <w:t xml:space="preserve">7. Go-to-Market Strategy</w:t>
      </w:r>
    </w:p>
    <w:p>
      <w:pPr>
        <w:pStyle w:val="Heading2"/>
      </w:pPr>
      <w:r>
        <w:rPr>
          <w:b/>
          <w:bCs/>
          <w:color w:val="2E75B6"/>
          <w:sz w:val="28"/>
          <w:szCs w:val="28"/>
        </w:rPr>
        <w:t xml:space="preserve">Target Customer</w:t>
      </w:r>
    </w:p>
    <w:p>
      <w:pPr>
        <w:spacing w:after="100"/>
      </w:pPr>
      <w:r>
        <w:rPr>
          <w:sz w:val="22"/>
          <w:szCs w:val="22"/>
        </w:rPr>
        <w:t xml:space="preserve">Primary target: London private renters at the end of their tenancy who suspect unfair deductions but lack time, knowledge, or energy to dispute themselves.</w:t>
      </w:r>
    </w:p>
    <w:p>
      <w:pPr>
        <w:pStyle w:val="ListParagraph"/>
        <w:numPr>
          <w:ilvl w:val="0"/>
          <w:numId w:val="2"/>
        </w:numPr>
        <w:spacing w:after="80"/>
      </w:pPr>
      <w:r>
        <w:rPr>
          <w:sz w:val="22"/>
          <w:szCs w:val="22"/>
        </w:rPr>
        <w:t xml:space="preserve">Age 25-40 professionals — busy, value time over money, will pay 15% to avoid hassle</w:t>
      </w:r>
    </w:p>
    <w:p>
      <w:pPr>
        <w:pStyle w:val="ListParagraph"/>
        <w:numPr>
          <w:ilvl w:val="0"/>
          <w:numId w:val="2"/>
        </w:numPr>
        <w:spacing w:after="80"/>
      </w:pPr>
      <w:r>
        <w:rPr>
          <w:sz w:val="22"/>
          <w:szCs w:val="22"/>
        </w:rPr>
        <w:t xml:space="preserve">Renters who've been burned before — previous bad experience makes them receptive</w:t>
      </w:r>
    </w:p>
    <w:p>
      <w:pPr>
        <w:pStyle w:val="ListParagraph"/>
        <w:numPr>
          <w:ilvl w:val="0"/>
          <w:numId w:val="2"/>
        </w:numPr>
        <w:spacing w:after="80"/>
      </w:pPr>
      <w:r>
        <w:rPr>
          <w:sz w:val="22"/>
          <w:szCs w:val="22"/>
        </w:rPr>
        <w:t xml:space="preserve">International tenants — especially those leaving UK, can't pursue disputes remotely</w:t>
      </w:r>
    </w:p>
    <w:p>
      <w:pPr>
        <w:pStyle w:val="ListParagraph"/>
        <w:numPr>
          <w:ilvl w:val="0"/>
          <w:numId w:val="2"/>
        </w:numPr>
        <w:spacing w:after="80"/>
      </w:pPr>
      <w:r>
        <w:rPr>
          <w:sz w:val="22"/>
          <w:szCs w:val="22"/>
        </w:rPr>
        <w:t xml:space="preserve">First-time renters — don't know their rights, grateful for expert help</w:t>
      </w:r>
    </w:p>
    <w:p>
      <w:pPr>
        <w:pStyle w:val="ListParagraph"/>
        <w:numPr>
          <w:ilvl w:val="0"/>
          <w:numId w:val="2"/>
        </w:numPr>
        <w:spacing w:after="80"/>
      </w:pPr>
      <w:r>
        <w:rPr>
          <w:sz w:val="22"/>
          <w:szCs w:val="22"/>
        </w:rPr>
        <w:t xml:space="preserve">Anyone facing deductions — our marketing catches them at the moment of frustration</w:t>
      </w:r>
    </w:p>
    <w:p>
      <w:pPr>
        <w:spacing w:after="200"/>
      </w:pPr>
    </w:p>
    <w:p>
      <w:pPr>
        <w:pStyle w:val="Heading2"/>
      </w:pPr>
      <w:r>
        <w:rPr>
          <w:b/>
          <w:bCs/>
          <w:color w:val="2E75B6"/>
          <w:sz w:val="28"/>
          <w:szCs w:val="28"/>
        </w:rPr>
        <w:t xml:space="preserve">Customer Acquisition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Channel</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Target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CAC Estimate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Y1 Volume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Paid Search (Google)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'Deposit dispute' searches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£35-50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2,200 claims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Social Media (Meta/TikTok)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Renters 25-40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1,500 claims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SEO/Content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Organic searchers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800 claims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Partnerships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Charity/advocacy referrals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500 claims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Referrals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Word of mouth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500 claims</w:t>
            </w:r>
          </w:p>
        </w:tc>
      </w:tr>
    </w:tbl>
    <w:p>
      <w:pPr>
        <w:spacing w:after="200"/>
      </w:pPr>
    </w:p>
    <w:p>
      <w:pPr>
        <w:pStyle w:val="Heading2"/>
      </w:pPr>
      <w:r>
        <w:rPr>
          <w:b/>
          <w:bCs/>
          <w:color w:val="2E75B6"/>
          <w:sz w:val="28"/>
          <w:szCs w:val="28"/>
        </w:rPr>
        <w:t xml:space="preserve">Messaging Strategy</w:t>
      </w:r>
    </w:p>
    <w:p>
      <w:pPr>
        <w:spacing w:after="100"/>
      </w:pPr>
      <w:r>
        <w:rPr>
          <w:b/>
          <w:bCs/>
          <w:sz w:val="22"/>
          <w:szCs w:val="22"/>
        </w:rPr>
        <w:t xml:space="preserve">Core message: "We fight for your deposit. You keep 85%. Zero hassle, zero risk."</w:t>
      </w:r>
    </w:p>
    <w:p>
      <w:pPr>
        <w:pStyle w:val="ListParagraph"/>
        <w:numPr>
          <w:ilvl w:val="0"/>
          <w:numId w:val="2"/>
        </w:numPr>
        <w:spacing w:after="80"/>
      </w:pPr>
      <w:r>
        <w:rPr>
          <w:sz w:val="22"/>
          <w:szCs w:val="22"/>
        </w:rPr>
        <w:t xml:space="preserve">Pain point hook: "Landlord trying to keep your deposit? We'll get it back."</w:t>
      </w:r>
    </w:p>
    <w:p>
      <w:pPr>
        <w:pStyle w:val="ListParagraph"/>
        <w:numPr>
          <w:ilvl w:val="0"/>
          <w:numId w:val="2"/>
        </w:numPr>
        <w:spacing w:after="80"/>
      </w:pPr>
      <w:r>
        <w:rPr>
          <w:sz w:val="22"/>
          <w:szCs w:val="22"/>
        </w:rPr>
        <w:t xml:space="preserve">Trust builder: "We've recovered £X million for tenants like you"</w:t>
      </w:r>
    </w:p>
    <w:p>
      <w:pPr>
        <w:pStyle w:val="ListParagraph"/>
        <w:numPr>
          <w:ilvl w:val="0"/>
          <w:numId w:val="2"/>
        </w:numPr>
        <w:spacing w:after="80"/>
      </w:pPr>
      <w:r>
        <w:rPr>
          <w:sz w:val="22"/>
          <w:szCs w:val="22"/>
        </w:rPr>
        <w:t xml:space="preserve">Risk reversal: "No win, no fee. If we don't recover anything, you pay nothing."</w:t>
      </w:r>
    </w:p>
    <w:p>
      <w:pPr>
        <w:pStyle w:val="ListParagraph"/>
        <w:numPr>
          <w:ilvl w:val="0"/>
          <w:numId w:val="2"/>
        </w:numPr>
        <w:spacing w:after="80"/>
      </w:pPr>
      <w:r>
        <w:rPr>
          <w:sz w:val="22"/>
          <w:szCs w:val="22"/>
        </w:rPr>
        <w:t xml:space="preserve">Social proof: "Join 5,000+ London tenants who fought back"</w:t>
      </w:r>
    </w:p>
    <w:p>
      <w:r>
        <w:br w:type="page"/>
      </w:r>
    </w:p>
    <w:p>
      <w:pPr>
        <w:pStyle w:val="Heading1"/>
      </w:pPr>
      <w:r>
        <w:rPr>
          <w:b/>
          <w:bCs/>
          <w:color w:val="1E3A5F"/>
          <w:sz w:val="36"/>
          <w:szCs w:val="36"/>
        </w:rPr>
        <w:t xml:space="preserve">8. Operations &amp; Infrastructure</w:t>
      </w:r>
    </w:p>
    <w:p>
      <w:pPr>
        <w:pStyle w:val="Heading2"/>
      </w:pPr>
      <w:r>
        <w:rPr>
          <w:b/>
          <w:bCs/>
          <w:color w:val="2E75B6"/>
          <w:sz w:val="28"/>
          <w:szCs w:val="28"/>
        </w:rPr>
        <w:t xml:space="preserve">Operational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Processed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16,500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Total Deposit Value in Claims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£10.2M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£30.6M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£65M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Recovery Rate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90%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91%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Settled via Negotiation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Requiring ADR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Instant Payout Uptake (Phase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Artisan Network Members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Cities Operating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w:t>
            </w:r>
          </w:p>
        </w:tc>
      </w:tr>
    </w:tbl>
    <w:p>
      <w:pPr>
        <w:spacing w:after="200"/>
      </w:pPr>
    </w:p>
    <w:p>
      <w:pPr>
        <w:pStyle w:val="Heading2"/>
      </w:pPr>
      <w:r>
        <w:rPr>
          <w:b/>
          <w:bCs/>
          <w:color w:val="2E75B6"/>
          <w:sz w:val="28"/>
          <w:szCs w:val="28"/>
        </w:rPr>
        <w:t xml:space="preserve">Claims Processing Workflow</w:t>
      </w:r>
    </w:p>
    <w:p>
      <w:pPr>
        <w:pStyle w:val="ListParagraph"/>
        <w:numPr>
          <w:ilvl w:val="0"/>
          <w:numId w:val="2"/>
        </w:numPr>
        <w:spacing w:after="80"/>
      </w:pPr>
      <w:r>
        <w:rPr>
          <w:sz w:val="22"/>
          <w:szCs w:val="22"/>
        </w:rPr>
        <w:t xml:space="preserve">Day 1: Tenant signs up online, uploads documents, signs Deed of Assignment digitally</w:t>
      </w:r>
    </w:p>
    <w:p>
      <w:pPr>
        <w:pStyle w:val="ListParagraph"/>
        <w:numPr>
          <w:ilvl w:val="0"/>
          <w:numId w:val="2"/>
        </w:numPr>
        <w:spacing w:after="80"/>
      </w:pPr>
      <w:r>
        <w:rPr>
          <w:sz w:val="22"/>
          <w:szCs w:val="22"/>
        </w:rPr>
        <w:t xml:space="preserve">Day 1-3: Claims team reviews case, verifies TDP protection, assesses strength</w:t>
      </w:r>
    </w:p>
    <w:p>
      <w:pPr>
        <w:pStyle w:val="ListParagraph"/>
        <w:numPr>
          <w:ilvl w:val="0"/>
          <w:numId w:val="2"/>
        </w:numPr>
        <w:spacing w:after="80"/>
      </w:pPr>
      <w:r>
        <w:rPr>
          <w:sz w:val="22"/>
          <w:szCs w:val="22"/>
        </w:rPr>
        <w:t xml:space="preserve">Day 3-5: Formal demand letter sent to landlord/agent via email and post</w:t>
      </w:r>
    </w:p>
    <w:p>
      <w:pPr>
        <w:pStyle w:val="ListParagraph"/>
        <w:numPr>
          <w:ilvl w:val="0"/>
          <w:numId w:val="2"/>
        </w:numPr>
        <w:spacing w:after="80"/>
      </w:pPr>
      <w:r>
        <w:rPr>
          <w:sz w:val="22"/>
          <w:szCs w:val="22"/>
        </w:rPr>
        <w:t xml:space="preserve">Day 5-14: Evidence gathering — request check-in/out reports, compile photo evidence</w:t>
      </w:r>
    </w:p>
    <w:p>
      <w:pPr>
        <w:pStyle w:val="ListParagraph"/>
        <w:numPr>
          <w:ilvl w:val="0"/>
          <w:numId w:val="2"/>
        </w:numPr>
        <w:spacing w:after="80"/>
      </w:pPr>
      <w:r>
        <w:rPr>
          <w:sz w:val="22"/>
          <w:szCs w:val="22"/>
        </w:rPr>
        <w:t xml:space="preserve">Day 7-10: Artisan quotes obtained for any claimed damage (cost validation)</w:t>
      </w:r>
    </w:p>
    <w:p>
      <w:pPr>
        <w:pStyle w:val="ListParagraph"/>
        <w:numPr>
          <w:ilvl w:val="0"/>
          <w:numId w:val="2"/>
        </w:numPr>
        <w:spacing w:after="80"/>
      </w:pPr>
      <w:r>
        <w:rPr>
          <w:sz w:val="22"/>
          <w:szCs w:val="22"/>
        </w:rPr>
        <w:t xml:space="preserve">Day 14-21: Negotiation phase — direct engagement, evidence presentation</w:t>
      </w:r>
    </w:p>
    <w:p>
      <w:pPr>
        <w:pStyle w:val="ListParagraph"/>
        <w:numPr>
          <w:ilvl w:val="0"/>
          <w:numId w:val="2"/>
        </w:numPr>
        <w:spacing w:after="80"/>
      </w:pPr>
      <w:r>
        <w:rPr>
          <w:sz w:val="22"/>
          <w:szCs w:val="22"/>
        </w:rPr>
        <w:t xml:space="preserve">Day 21-28: If no settlement, ADR case filed with TDP scheme</w:t>
      </w:r>
    </w:p>
    <w:p>
      <w:pPr>
        <w:pStyle w:val="ListParagraph"/>
        <w:numPr>
          <w:ilvl w:val="0"/>
          <w:numId w:val="2"/>
        </w:numPr>
        <w:spacing w:after="80"/>
      </w:pPr>
      <w:r>
        <w:rPr>
          <w:sz w:val="22"/>
          <w:szCs w:val="22"/>
        </w:rPr>
        <w:t xml:space="preserve">Day 28-90: ADR process — evidence submission, adjudicator review, decision</w:t>
      </w:r>
    </w:p>
    <w:p>
      <w:pPr>
        <w:pStyle w:val="ListParagraph"/>
        <w:numPr>
          <w:ilvl w:val="0"/>
          <w:numId w:val="2"/>
        </w:numPr>
        <w:spacing w:after="80"/>
      </w:pPr>
      <w:r>
        <w:rPr>
          <w:sz w:val="22"/>
          <w:szCs w:val="22"/>
        </w:rPr>
        <w:t xml:space="preserve">Day 90+: Funds released, tenant paid within 3 business days of receipt</w:t>
      </w:r>
    </w:p>
    <w:p>
      <w:r>
        <w:br w:type="page"/>
      </w:r>
    </w:p>
    <w:p>
      <w:pPr>
        <w:pStyle w:val="Heading1"/>
      </w:pPr>
      <w:r>
        <w:rPr>
          <w:b/>
          <w:bCs/>
          <w:color w:val="1E3A5F"/>
          <w:sz w:val="36"/>
          <w:szCs w:val="36"/>
        </w:rPr>
        <w:t xml:space="preserve">9. Financial Projections</w:t>
      </w:r>
    </w:p>
    <w:p>
      <w:pPr>
        <w:pStyle w:val="Heading2"/>
      </w:pPr>
      <w:r>
        <w:rPr>
          <w:b/>
          <w:bCs/>
          <w:color w:val="2E75B6"/>
          <w:sz w:val="28"/>
          <w:szCs w:val="28"/>
        </w:rPr>
        <w:t xml:space="preserve">Profit &amp; Loss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950"/>
        <w:gridCol w:w="1950"/>
        <w:gridCol w:w="1950"/>
      </w:tblGrid>
      <w:tr>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P&amp;L Item</w:t>
            </w:r>
          </w:p>
        </w:tc>
        <w:tc>
          <w:tcPr>
            <w:tcW w:type="dxa" w:w="1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w:t>
            </w:r>
          </w:p>
        </w:tc>
        <w:tc>
          <w:tcPr>
            <w:tcW w:type="dxa" w:w="1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2</w:t>
            </w:r>
          </w:p>
        </w:tc>
        <w:tc>
          <w:tcPr>
            <w:tcW w:type="dxa" w:w="1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 Revenue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£680K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£2.60M</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£5.90M</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Processing (staff)</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(£150K)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(£380K)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(£720K)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Technology</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(£65K)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(£120K)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(£200K)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Marketing &amp; Acquisition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(£140K)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(£350K)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(£550K)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Leadership &amp; Admin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(£85K)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(£200K)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(£380K)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Legal &amp; Compliance</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Facilities &amp; Operations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(£90K)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(£150K)</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 Costs</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(£470K)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(£1.20M)</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(£2.10M)</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EBITDA</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£210K</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£1.40M</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£3.80M</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EBITDA Margin</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30.9%</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53.8%</w:t>
            </w:r>
          </w:p>
        </w:tc>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64.4%</w:t>
            </w:r>
          </w:p>
        </w:tc>
      </w:tr>
    </w:tbl>
    <w:p>
      <w:pPr>
        <w:spacing w:after="200"/>
      </w:pPr>
    </w:p>
    <w:p>
      <w:pPr>
        <w:pStyle w:val="Heading2"/>
      </w:pPr>
      <w:r>
        <w:rPr>
          <w:b/>
          <w:bCs/>
          <w:color w:val="2E75B6"/>
          <w:sz w:val="28"/>
          <w:szCs w:val="28"/>
        </w:rPr>
        <w:t xml:space="preserve">Key Metrics Comparison: Asset-Light vs Original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Metric</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Asset-Light (Hybrid)</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Original (80% Guarantee)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Year 1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£680K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£920K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Year 1 EBITDA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£210K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Year 1 EBITDA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30.9%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19.6%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Working Capital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£350K+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Seed Funding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£250K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£750K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Balance Sheet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Zero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High (recovery &lt; 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Break-even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Month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Month 8</w:t>
            </w:r>
          </w:p>
        </w:tc>
      </w:tr>
    </w:tbl>
    <w:p>
      <w:r>
        <w:br w:type="page"/>
      </w:r>
    </w:p>
    <w:p>
      <w:pPr>
        <w:pStyle w:val="Heading1"/>
      </w:pPr>
      <w:r>
        <w:rPr>
          <w:b/>
          <w:bCs/>
          <w:color w:val="1E3A5F"/>
          <w:sz w:val="36"/>
          <w:szCs w:val="36"/>
        </w:rPr>
        <w:t xml:space="preserve">10. Geographic Expansion Strategy</w:t>
      </w:r>
    </w:p>
    <w:p>
      <w:pPr>
        <w:spacing w:after="200"/>
      </w:pPr>
      <w:r>
        <w:rPr>
          <w:sz w:val="22"/>
          <w:szCs w:val="22"/>
        </w:rPr>
        <w:t xml:space="preserve">Expansion begins Month 6 after proving London model. Asset-light approach means no additional capital needed per city — just marketing spend and local artisan recruitment.</w:t>
      </w:r>
    </w:p>
    <w:p>
      <w:pPr>
        <w:pStyle w:val="Heading2"/>
      </w:pPr>
      <w:r>
        <w:rPr>
          <w:b/>
          <w:bCs/>
          <w:color w:val="2E75B6"/>
          <w:sz w:val="28"/>
          <w:szCs w:val="28"/>
        </w:rPr>
        <w:t xml:space="preserve">Expansion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Month</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City</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Private Renters</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Avg. Deposit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London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£1,855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Manchester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180,000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£1,125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Birmingham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£1,050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Bristol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£1,275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Leeds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120,000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£980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Edinburgh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£1,150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Glasgow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£920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Cambridge/Oxford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£1,400</w:t>
            </w:r>
          </w:p>
        </w:tc>
      </w:tr>
    </w:tbl>
    <w:p>
      <w:r>
        <w:br w:type="page"/>
      </w:r>
    </w:p>
    <w:p>
      <w:pPr>
        <w:pStyle w:val="Heading1"/>
      </w:pPr>
      <w:r>
        <w:rPr>
          <w:b/>
          <w:bCs/>
          <w:color w:val="1E3A5F"/>
          <w:sz w:val="36"/>
          <w:szCs w:val="36"/>
        </w:rPr>
        <w:t xml:space="preserve">11.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00"/>
        <w:gridCol w:w="276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Risk</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Severity</w:t>
            </w:r>
          </w:p>
        </w:tc>
        <w:tc>
          <w:tcPr>
            <w:tcW w:type="dxa" w:w="2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Mitigation</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Contingency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Low recovery rates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Selective case acceptance, evidence requirements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Increase success fee to 18-20%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Low conversion (15% fee too 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Emphasise no-win-no-fee, market test pricing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Reduce to 12%, add premium tiers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Factoring partner not secured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Multiple partner discussions pre-launch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Extend Phase 1, self-fund small pilot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Competitor entry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First-mover data advantage, artisan network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Accelerate Phase 2, lock in partners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Regulatory changes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Monitor policy, structure as claims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Adapt model to new framework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Reputational (landlord backlash)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Fair assessments, professional engagement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Add landlord services offering</w:t>
            </w:r>
          </w:p>
        </w:tc>
      </w:tr>
    </w:tbl>
    <w:p>
      <w:pPr>
        <w:spacing w:after="200"/>
      </w:pPr>
    </w:p>
    <w:p>
      <w:pPr>
        <w:spacing w:after="200"/>
      </w:pPr>
      <w:r>
        <w:rPr>
          <w:b/>
          <w:bCs/>
          <w:sz w:val="22"/>
          <w:szCs w:val="22"/>
        </w:rPr>
        <w:t xml:space="preserve">Key risk eliminated vs original model: Balance sheet risk from guaranteeing 80% payouts. In the hybrid model, we never commit capital before recovery — eliminating the scenario where recovery &lt; 80% causes losses.</w:t>
      </w:r>
    </w:p>
    <w:p>
      <w:r>
        <w:br w:type="page"/>
      </w:r>
    </w:p>
    <w:p>
      <w:pPr>
        <w:pStyle w:val="Heading1"/>
      </w:pPr>
      <w:r>
        <w:rPr>
          <w:b/>
          <w:bCs/>
          <w:color w:val="1E3A5F"/>
          <w:sz w:val="36"/>
          <w:szCs w:val="36"/>
        </w:rPr>
        <w:t xml:space="preserve">12. Team &amp; Governance</w:t>
      </w:r>
    </w:p>
    <w:p>
      <w:pPr>
        <w:pStyle w:val="Heading2"/>
      </w:pPr>
      <w:r>
        <w:rPr>
          <w:b/>
          <w:bCs/>
          <w:color w:val="2E75B6"/>
          <w:sz w:val="28"/>
          <w:szCs w:val="28"/>
        </w:rPr>
        <w:t xml:space="preserve">Founding Team (4 Core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Role</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Responsibilities</w:t>
            </w:r>
          </w:p>
        </w:tc>
        <w:tc>
          <w:tcPr>
            <w:tcW w:type="dxa" w:w="351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Ideal Profile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CEO / Founder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Strategy, fundraising, partnerships, investor relations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Entrepreneurial, fintech/proptech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Head of Claims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team, TDP relationships, recovery optimisation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management or legal background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Lead Developer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Platform build, tenant portal, integrations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Full-stack engineer, fintech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Growth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Marketing, acquisition, brand, partnerships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B2C performance marketing</w:t>
            </w:r>
          </w:p>
        </w:tc>
      </w:tr>
    </w:tbl>
    <w:p>
      <w:pPr>
        <w:spacing w:after="200"/>
      </w:pPr>
    </w:p>
    <w:p>
      <w:pPr>
        <w:pStyle w:val="Heading2"/>
      </w:pPr>
      <w:r>
        <w:rPr>
          <w:b/>
          <w:bCs/>
          <w:color w:val="2E75B6"/>
          <w:sz w:val="28"/>
          <w:szCs w:val="28"/>
        </w:rPr>
        <w:t xml:space="preserve">Team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Function</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1</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2</w:t>
            </w:r>
          </w:p>
        </w:tc>
        <w:tc>
          <w:tcPr>
            <w:tcW w:type="dxa" w:w="20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Leadership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Team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Technology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Marketing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44</w:t>
            </w:r>
          </w:p>
        </w:tc>
      </w:tr>
    </w:tbl>
    <w:p>
      <w:r>
        <w:br w:type="page"/>
      </w:r>
    </w:p>
    <w:p>
      <w:pPr>
        <w:pStyle w:val="Heading1"/>
      </w:pPr>
      <w:r>
        <w:rPr>
          <w:b/>
          <w:bCs/>
          <w:color w:val="1E3A5F"/>
          <w:sz w:val="36"/>
          <w:szCs w:val="36"/>
        </w:rPr>
        <w:t xml:space="preserve">13. Investment Requirements</w:t>
      </w:r>
    </w:p>
    <w:p>
      <w:pPr>
        <w:pStyle w:val="Heading2"/>
      </w:pPr>
      <w:r>
        <w:rPr>
          <w:b/>
          <w:bCs/>
          <w:color w:val="2E75B6"/>
          <w:sz w:val="28"/>
          <w:szCs w:val="28"/>
        </w:rPr>
        <w:t xml:space="preserve">Funding Request</w:t>
      </w:r>
    </w:p>
    <w:p>
      <w:pPr>
        <w:spacing w:after="200"/>
      </w:pPr>
      <w:r>
        <w:rPr>
          <w:b/>
          <w:bCs/>
          <w:sz w:val="22"/>
          <w:szCs w:val="22"/>
        </w:rPr>
        <w:t xml:space="preserve">DepositGuard seeks £250,000 seed funding — 67% less than the original guarantee model required. The asset-light approach means zero working capital for payouts, dramatically reducing capital requirements.</w:t>
      </w:r>
    </w:p>
    <w:p>
      <w:pPr>
        <w:pStyle w:val="Heading2"/>
      </w:pPr>
      <w:r>
        <w:rPr>
          <w:b/>
          <w:bCs/>
          <w:color w:val="2E75B6"/>
          <w:sz w:val="28"/>
          <w:szCs w:val="28"/>
        </w:rP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Category</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Amount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b/>
                <w:bCs/>
                <w:color w:val="FFFFFF"/>
                <w:sz w:val="22"/>
                <w:szCs w:val="22"/>
              </w:rPr>
              <w:t xml:space="preserve">% of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Technology Platform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Marketing &amp; Customer Acquisition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£70K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Team &amp; Recruitment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Legal &amp; 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£20K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Contingency 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£30K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2"/>
                <w:szCs w:val="22"/>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2"/>
                <w:szCs w:val="22"/>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£250K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2"/>
                <w:szCs w:val="22"/>
              </w:rPr>
              <w:t xml:space="preserve">100%</w:t>
            </w:r>
          </w:p>
        </w:tc>
      </w:tr>
    </w:tbl>
    <w:p>
      <w:pPr>
        <w:spacing w:after="200"/>
      </w:pPr>
    </w:p>
    <w:p>
      <w:pPr>
        <w:pStyle w:val="Heading2"/>
      </w:pPr>
      <w:r>
        <w:rPr>
          <w:b/>
          <w:bCs/>
          <w:color w:val="2E75B6"/>
          <w:sz w:val="28"/>
          <w:szCs w:val="28"/>
        </w:rPr>
        <w:t xml:space="preserve">Investment Highlights</w:t>
      </w:r>
    </w:p>
    <w:p>
      <w:pPr>
        <w:pStyle w:val="ListParagraph"/>
        <w:numPr>
          <w:ilvl w:val="0"/>
          <w:numId w:val="2"/>
        </w:numPr>
        <w:spacing w:after="80"/>
      </w:pPr>
      <w:r>
        <w:rPr>
          <w:sz w:val="22"/>
          <w:szCs w:val="22"/>
        </w:rPr>
        <w:t xml:space="preserve">Capital efficient: £250K seed vs £750K+ for guarantee model — 67% less capital required</w:t>
      </w:r>
    </w:p>
    <w:p>
      <w:pPr>
        <w:pStyle w:val="ListParagraph"/>
        <w:numPr>
          <w:ilvl w:val="0"/>
          <w:numId w:val="2"/>
        </w:numPr>
        <w:spacing w:after="80"/>
      </w:pPr>
      <w:r>
        <w:rPr>
          <w:sz w:val="22"/>
          <w:szCs w:val="22"/>
        </w:rPr>
        <w:t xml:space="preserve">Zero balance sheet risk: No exposure to recovery shortfalls, no working capital drain</w:t>
      </w:r>
    </w:p>
    <w:p>
      <w:pPr>
        <w:pStyle w:val="ListParagraph"/>
        <w:numPr>
          <w:ilvl w:val="0"/>
          <w:numId w:val="2"/>
        </w:numPr>
        <w:spacing w:after="80"/>
      </w:pPr>
      <w:r>
        <w:rPr>
          <w:sz w:val="22"/>
          <w:szCs w:val="22"/>
        </w:rPr>
        <w:t xml:space="preserve">Faster break-even: Month 5 vs Month 8 in guarantee model</w:t>
      </w:r>
    </w:p>
    <w:p>
      <w:pPr>
        <w:pStyle w:val="ListParagraph"/>
        <w:numPr>
          <w:ilvl w:val="0"/>
          <w:numId w:val="2"/>
        </w:numPr>
        <w:spacing w:after="80"/>
      </w:pPr>
      <w:r>
        <w:rPr>
          <w:sz w:val="22"/>
          <w:szCs w:val="22"/>
        </w:rPr>
        <w:t xml:space="preserve">Higher margins: 31% Y1 EBITDA margin vs 20% in guarantee model</w:t>
      </w:r>
    </w:p>
    <w:p>
      <w:pPr>
        <w:pStyle w:val="ListParagraph"/>
        <w:numPr>
          <w:ilvl w:val="0"/>
          <w:numId w:val="2"/>
        </w:numPr>
        <w:spacing w:after="80"/>
      </w:pPr>
      <w:r>
        <w:rPr>
          <w:sz w:val="22"/>
          <w:szCs w:val="22"/>
        </w:rPr>
        <w:t xml:space="preserve">Prove before promise: Demonstrate recovery rates before introducing capital-intensive features</w:t>
      </w:r>
    </w:p>
    <w:p>
      <w:pPr>
        <w:pStyle w:val="ListParagraph"/>
        <w:numPr>
          <w:ilvl w:val="0"/>
          <w:numId w:val="2"/>
        </w:numPr>
        <w:spacing w:after="80"/>
      </w:pPr>
      <w:r>
        <w:rPr>
          <w:sz w:val="22"/>
          <w:szCs w:val="22"/>
        </w:rPr>
        <w:t xml:space="preserve">Scalable partnerships: Factoring partners provide growth capital, not equity dilution</w:t>
      </w:r>
    </w:p>
    <w:p>
      <w:pPr>
        <w:pStyle w:val="ListParagraph"/>
        <w:numPr>
          <w:ilvl w:val="0"/>
          <w:numId w:val="2"/>
        </w:numPr>
        <w:spacing w:after="80"/>
      </w:pPr>
      <w:r>
        <w:rPr>
          <w:sz w:val="22"/>
          <w:szCs w:val="22"/>
        </w:rPr>
        <w:t xml:space="preserve">Clear path to premium model: Phase 3 fund structure captures full value chain</w:t>
      </w:r>
    </w:p>
    <w:p>
      <w:pPr>
        <w:spacing w:after="200"/>
      </w:pPr>
    </w:p>
    <w:p>
      <w:pPr>
        <w:pStyle w:val="Heading2"/>
      </w:pPr>
      <w:r>
        <w:rPr>
          <w:b/>
          <w:bCs/>
          <w:color w:val="2E75B6"/>
          <w:sz w:val="28"/>
          <w:szCs w:val="28"/>
        </w:rPr>
        <w:t xml:space="preserve">18-Month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Milestone</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left"/>
            </w:pPr>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Claims processed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Average recovery rate proven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Factoring partner live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Month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Instant payout uptake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50%+ of claims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Monthly revenue run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£200K+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Cities operating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Fund structure in 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2"/>
                <w:szCs w:val="22"/>
              </w:rPr>
              <w:t xml:space="preserve">Month 18</w:t>
            </w:r>
          </w:p>
        </w:tc>
      </w:tr>
    </w:tbl>
    <w:p>
      <w:pPr>
        <w:spacing w:after="400"/>
      </w:pPr>
    </w:p>
    <w:p>
      <w:pPr>
        <w:spacing w:before="400"/>
        <w:jc w:val="center"/>
      </w:pPr>
      <w:r>
        <w:rPr>
          <w:i/>
          <w:iCs/>
          <w:color w:val="666666"/>
          <w:sz w:val="22"/>
          <w:szCs w:val="22"/>
        </w:rPr>
        <w:t xml:space="preserve">— End of Business Plan —</w:t>
      </w:r>
    </w:p>
    <w:p>
      <w:pPr>
        <w:spacing w:after="200"/>
        <w:jc w:val="center"/>
      </w:pPr>
      <w:r>
        <w:rPr>
          <w:b/>
          <w:bCs/>
          <w:color w:val="1E3A5F"/>
          <w:sz w:val="20"/>
          <w:szCs w:val="20"/>
        </w:rPr>
        <w:t xml:space="preserve">DepositGuard — We Fight For Your Deposit. You Keep 85%.</w:t>
      </w:r>
    </w:p>
    <w:p>
      <w:pPr>
        <w:jc w:val="center"/>
      </w:pPr>
      <w:r>
        <w:rPr>
          <w:color w:val="666666"/>
          <w:sz w:val="18"/>
          <w:szCs w:val="18"/>
        </w:rPr>
        <w:t xml:space="preserve">Contact: [email] | [phone] | www.depositguard.co.uk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2026-02-16T19:08:16.647Z</dcterms:created>
  <dcterms:modified xsi:type="dcterms:W3CDTF">2026-02-16T19:08:16.648Z</dcterms:modified>
</cp:coreProperties>
</file>

<file path=docProps/custom.xml><?xml version="1.0" encoding="utf-8"?>
<Properties xmlns="http://schemas.openxmlformats.org/officeDocument/2006/custom-properties" xmlns:vt="http://schemas.openxmlformats.org/officeDocument/2006/docPropsVTypes"/>
</file>