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spacing w:after="120"/>
              <w:jc w:val="center"/>
            </w:pPr>
            <w:r>
              <w:rPr>
                <w:rFonts w:ascii="Arial" w:cs="Arial" w:eastAsia="Arial" w:hAnsi="Arial"/>
                <w:b/>
                <w:bCs/>
                <w:color w:val="FFFFFF"/>
                <w:sz w:val="64"/>
                <w:szCs w:val="64"/>
              </w:rPr>
              <w:t xml:space="preserve">DEPOSITGUARD</w:t>
            </w:r>
          </w:p>
          <w:p>
            <w:pPr>
              <w:spacing w:after="80"/>
              <w:jc w:val="center"/>
            </w:pPr>
            <w:r>
              <w:rPr>
                <w:rFonts w:ascii="Arial" w:cs="Arial" w:eastAsia="Arial" w:hAnsi="Arial"/>
                <w:color w:val="BDD7EE"/>
                <w:sz w:val="30"/>
                <w:szCs w:val="30"/>
              </w:rPr>
              <w:t xml:space="preserve">Strategic Model Comparison &amp; V3 Analysis</w:t>
            </w:r>
          </w:p>
          <w:p>
            <w:pPr>
              <w:jc w:val="center"/>
            </w:pPr>
            <w:r>
              <w:rPr>
                <w:rFonts w:ascii="Arial" w:cs="Arial" w:eastAsia="Arial" w:hAnsi="Arial"/>
                <w:i/>
                <w:iCs/>
                <w:color w:val="9DC3E6"/>
                <w:sz w:val="22"/>
                <w:szCs w:val="22"/>
              </w:rPr>
              <w:t xml:space="preserve">V1 Protection  |  V2 Hybrid Recovery  |  V3 Inspect, Repair &amp; Recover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608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27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Version</w:t>
            </w:r>
          </w:p>
        </w:tc>
        <w:tc>
          <w:tcPr>
            <w:tcW w:type="dxa" w:w="608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 Derivative — Strategic Analysis</w:t>
            </w:r>
          </w:p>
        </w:tc>
      </w:tr>
      <w:tr>
        <w:tc>
          <w:tcPr>
            <w:tcW w:type="dxa" w:w="327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Date</w:t>
            </w:r>
          </w:p>
        </w:tc>
        <w:tc>
          <w:tcPr>
            <w:tcW w:type="dxa" w:w="608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February 2026</w:t>
            </w:r>
          </w:p>
        </w:tc>
      </w:tr>
      <w:tr>
        <w:tc>
          <w:tcPr>
            <w:tcW w:type="dxa" w:w="327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Status</w:t>
            </w:r>
          </w:p>
        </w:tc>
        <w:tc>
          <w:tcPr>
            <w:tcW w:type="dxa" w:w="608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Internal Strategy Document</w:t>
            </w:r>
          </w:p>
        </w:tc>
      </w:tr>
      <w:tr>
        <w:tc>
          <w:tcPr>
            <w:tcW w:type="dxa" w:w="327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Prepared for</w:t>
            </w:r>
          </w:p>
        </w:tc>
        <w:tc>
          <w:tcPr>
            <w:tcW w:type="dxa" w:w="608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Ade — DepositGuard Founder</w:t>
            </w:r>
          </w:p>
        </w:tc>
      </w:tr>
    </w:tbl>
    <w:p>
      <w:pPr>
        <w:spacing w:after="160"/>
      </w:pP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critically compares DepositGuard's three strategic models and introduces a new V3 derivative — the Inspect, Repair &amp; Recover model — which integrates the best elements of both prior plans with a proactive pre-departure inspection and artisan-led repair capability.</w:t>
      </w:r>
    </w:p>
    <w:p>
      <w:pPr>
        <w:spacing w:after="160"/>
      </w:pPr>
    </w:p>
    <w:p>
      <w:pPr>
        <w:spacing w:after="120"/>
      </w:pPr>
      <w:r>
        <w:rPr>
          <w:rFonts w:ascii="Arial" w:cs="Arial" w:eastAsia="Arial" w:hAnsi="Arial"/>
          <w:i w:val="false"/>
          <w:iCs w:val="false"/>
          <w:sz w:val="22"/>
          <w:szCs w:val="22"/>
        </w:rPr>
        <w:t xml:space="preserve">The V3 model introduces a critical insight: the best time to protect both tenant and landlord interests is not at the start of a tenancy (V1) or after a dispute has already begun (V2) — but at the point of departure, before deductions are made. By giving tenants the ability to submit video walkthroughs, receive a professional pre-departure assessment, and commission artisan repairs before vacating, DepositGuard can dramatically shift negotiating power, reduce dispute rates, and create an entirely new revenue stream.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V3 Core Proposition</w:t>
            </w:r>
          </w:p>
        </w:tc>
      </w:tr>
    </w:tbl>
    <w:p>
      <w:pPr>
        <w:spacing w:after="160"/>
      </w:pPr>
    </w:p>
    <w:p>
      <w:pPr>
        <w:spacing w:after="120"/>
      </w:pPr>
      <w:r>
        <w:rPr>
          <w:rFonts w:ascii="Arial" w:cs="Arial" w:eastAsia="Arial" w:hAnsi="Arial"/>
          <w:b w:val="false"/>
          <w:bCs w:val="false"/>
          <w:sz w:val="22"/>
          <w:szCs w:val="22"/>
        </w:rPr>
        <w:t xml:space="preserve">Tenants submit a video walkthrough of their property before moving out. DepositGuard assesses the footage, identifies likely deduction risks, and dispatches verified artisans to complete targeted repairs — before the landlord inspection. This 'fix-first, claim-never' approach reduces deductions at source, generates artisan revenue, and creates a defensible evidence trail that dramatically strengthens any residual recovery claim.</w:t>
      </w:r>
    </w:p>
    <w:p>
      <w:pPr>
        <w:spacing w:after="160"/>
      </w:pPr>
    </w:p>
    <w:p>
      <w:r>
        <w:br w:type="page"/>
      </w:r>
    </w:p>
    <w:p>
      <w:pPr>
        <w:pStyle w:val="Heading1"/>
      </w:pPr>
      <w:r>
        <w:rPr>
          <w:rFonts w:ascii="Arial" w:cs="Arial" w:eastAsia="Arial" w:hAnsi="Arial"/>
        </w:rPr>
        <w:t xml:space="preserve">2. The Three Models: At a Glance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c>
          <w:tcPr>
            <w:tcW w:type="dxa" w:w="318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V1 — Protection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V2 — Recovery</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V3 — Inspect &amp; Repair</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Core proposition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Deposit replacement at tenancy start</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Deposit recovery at tenancy end</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Inspect, repair &amp; recover at departure</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Customer moment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Moving in</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Moving out (after deduction)</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Moving out (before inspection)</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Revenue model</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One-week membership fee + agent commission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 success fee on recovered amount</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Inspection fee + repair commission + 10% recovery fee</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Capital required</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£400K (insurance backing)</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£250K (asset-light)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£300K (light tech + artisan ops)</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Balance sheet risk</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Moderate — insurance-backed claims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Low — no upfront guarantees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Low — fee-for-service model</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Break-even (est.)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Month 11</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Month 5</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Month 6–7</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Regulatory exposure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FCA authorisation required (insurance)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Claims Management Regulation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Limited — service marketplace</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Competitive moat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Agent network + insurance underwriter</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Evidence systems + ADR expertise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Video assessment tech + artisan network</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Tenant value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Saves ~£1,330 upfront</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Recovers disputed deductions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Prevents deductions before they happen</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Landlord value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Up to 10 weeks coverage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Fair dispute resolution</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Lower void periods, pre-agreed repairs</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Agent value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Commission + compliance tools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Referral fees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Referral fees + reduced dispute workload</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Scalability</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High (but capital-constrained)</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Very high (asset-light)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High (artisan network scales city-by-city)</w:t>
            </w:r>
          </w:p>
        </w:tc>
      </w:tr>
    </w:tbl>
    <w:p>
      <w:pPr>
        <w:spacing w:after="160"/>
      </w:pPr>
    </w:p>
    <w:p>
      <w:r>
        <w:br w:type="page"/>
      </w:r>
    </w:p>
    <w:p>
      <w:pPr>
        <w:pStyle w:val="Heading1"/>
      </w:pPr>
      <w:r>
        <w:rPr>
          <w:rFonts w:ascii="Arial" w:cs="Arial" w:eastAsia="Arial" w:hAnsi="Arial"/>
        </w:rPr>
        <w:t xml:space="preserve">3. V1 — Deposit Protection Model: SWOT</w:t>
      </w:r>
    </w:p>
    <w:p>
      <w:pPr>
        <w:spacing w:after="120"/>
      </w:pPr>
      <w:r>
        <w:rPr>
          <w:rFonts w:ascii="Arial" w:cs="Arial" w:eastAsia="Arial" w:hAnsi="Arial"/>
          <w:sz w:val="22"/>
          <w:szCs w:val="22"/>
        </w:rPr>
        <w:t xml:space="preserve">V1 positions DepositGuard at the start of a tenancy as an insurance-backed deposit replacement. Tenants pay one week's rent instead of five; landlords receive up to 10 weeks' coverage. The model is compelling but capital-heavy and faces entrenched competition from Flatfair, Reposit, and others.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9EAD3" w:val="clear"/>
            <w:tcMar>
              <w:top w:type="dxa" w:w="100"/>
              <w:left w:type="dxa" w:w="140"/>
              <w:bottom w:type="dxa" w:w="100"/>
              <w:right w:type="dxa" w:w="140"/>
            </w:tcMar>
          </w:tcPr>
          <w:p>
            <w:pPr>
              <w:spacing w:after="80"/>
            </w:pPr>
            <w:r>
              <w:rPr>
                <w:rFonts w:ascii="Arial" w:cs="Arial" w:eastAsia="Arial" w:hAnsi="Arial"/>
                <w:b/>
                <w:bCs/>
                <w:sz w:val="22"/>
                <w:szCs w:val="22"/>
              </w:rPr>
              <w:t xml:space="preserve">STRENGTHS</w:t>
            </w:r>
          </w:p>
          <w:p>
            <w:pPr>
              <w:spacing w:after="60"/>
            </w:pPr>
            <w:r>
              <w:rPr>
                <w:rFonts w:ascii="Arial" w:cs="Arial" w:eastAsia="Arial" w:hAnsi="Arial"/>
                <w:sz w:val="20"/>
                <w:szCs w:val="20"/>
              </w:rPr>
              <w:t xml:space="preserve">• Strong tenant value proposition — 80% savings on upfront costs</w:t>
            </w:r>
          </w:p>
          <w:p>
            <w:pPr>
              <w:spacing w:after="60"/>
            </w:pPr>
            <w:r>
              <w:rPr>
                <w:rFonts w:ascii="Arial" w:cs="Arial" w:eastAsia="Arial" w:hAnsi="Arial"/>
                <w:sz w:val="20"/>
                <w:szCs w:val="20"/>
              </w:rPr>
              <w:t xml:space="preserve">• Enhanced landlord protection (10 weeks vs 5-week deposit cap)</w:t>
            </w:r>
          </w:p>
          <w:p>
            <w:pPr>
              <w:spacing w:after="60"/>
            </w:pPr>
            <w:r>
              <w:rPr>
                <w:rFonts w:ascii="Arial" w:cs="Arial" w:eastAsia="Arial" w:hAnsi="Arial"/>
                <w:sz w:val="20"/>
                <w:szCs w:val="20"/>
              </w:rPr>
              <w:t xml:space="preserve">• Regulatory tailwind: Renters' Rights Act 2025 increases demand for alternatives</w:t>
            </w:r>
          </w:p>
          <w:p>
            <w:pPr>
              <w:spacing w:after="60"/>
            </w:pPr>
            <w:r>
              <w:rPr>
                <w:rFonts w:ascii="Arial" w:cs="Arial" w:eastAsia="Arial" w:hAnsi="Arial"/>
                <w:sz w:val="20"/>
                <w:szCs w:val="20"/>
              </w:rPr>
              <w:t xml:space="preserve">• Six diversified revenue streams including data and renewal fees</w:t>
            </w:r>
          </w:p>
          <w:p>
            <w:pPr>
              <w:spacing w:after="60"/>
            </w:pPr>
            <w:r>
              <w:rPr>
                <w:rFonts w:ascii="Arial" w:cs="Arial" w:eastAsia="Arial" w:hAnsi="Arial"/>
                <w:sz w:val="20"/>
                <w:szCs w:val="20"/>
              </w:rPr>
              <w:t xml:space="preserve">• Artisan network creates differentiated end-of-tenancy resolution capability</w:t>
            </w:r>
          </w:p>
          <w:p>
            <w:pPr>
              <w:spacing w:after="60"/>
            </w:pPr>
            <w:r>
              <w:rPr>
                <w:rFonts w:ascii="Arial" w:cs="Arial" w:eastAsia="Arial" w:hAnsi="Arial"/>
                <w:sz w:val="20"/>
                <w:szCs w:val="20"/>
              </w:rPr>
              <w:t xml:space="preserve">• Lloyd's of London backing adds institutional credibility</w:t>
            </w:r>
          </w:p>
        </w:tc>
        <w:tc>
          <w:tcPr>
            <w:tcW w:type="dxa" w:w="4680"/>
            <w:tcBorders>
              <w:top w:val="single" w:color="CCCCCC" w:sz="4"/>
              <w:left w:val="single" w:color="CCCCCC" w:sz="4"/>
              <w:bottom w:val="single" w:color="CCCCCC" w:sz="4"/>
              <w:right w:val="single" w:color="CCCCCC" w:sz="4"/>
            </w:tcBorders>
            <w:shd w:fill="FCE5CD" w:val="clear"/>
            <w:tcMar>
              <w:top w:type="dxa" w:w="100"/>
              <w:left w:type="dxa" w:w="140"/>
              <w:bottom w:type="dxa" w:w="100"/>
              <w:right w:type="dxa" w:w="140"/>
            </w:tcMar>
          </w:tcPr>
          <w:p>
            <w:pPr>
              <w:spacing w:after="80"/>
            </w:pPr>
            <w:r>
              <w:rPr>
                <w:rFonts w:ascii="Arial" w:cs="Arial" w:eastAsia="Arial" w:hAnsi="Arial"/>
                <w:b/>
                <w:bCs/>
                <w:sz w:val="22"/>
                <w:szCs w:val="22"/>
              </w:rPr>
              <w:t xml:space="preserve">WEAKNESSES</w:t>
            </w:r>
          </w:p>
          <w:p>
            <w:pPr>
              <w:spacing w:after="60"/>
            </w:pPr>
            <w:r>
              <w:rPr>
                <w:rFonts w:ascii="Arial" w:cs="Arial" w:eastAsia="Arial" w:hAnsi="Arial"/>
                <w:sz w:val="20"/>
                <w:szCs w:val="20"/>
              </w:rPr>
              <w:t xml:space="preserve">• Requires FCA authorisation — slow, expensive, restricts launch speed</w:t>
            </w:r>
          </w:p>
          <w:p>
            <w:pPr>
              <w:spacing w:after="60"/>
            </w:pPr>
            <w:r>
              <w:rPr>
                <w:rFonts w:ascii="Arial" w:cs="Arial" w:eastAsia="Arial" w:hAnsi="Arial"/>
                <w:sz w:val="20"/>
                <w:szCs w:val="20"/>
              </w:rPr>
              <w:t xml:space="preserve">• £400K capital requirement creates fundraising risk</w:t>
            </w:r>
          </w:p>
          <w:p>
            <w:pPr>
              <w:spacing w:after="60"/>
            </w:pPr>
            <w:r>
              <w:rPr>
                <w:rFonts w:ascii="Arial" w:cs="Arial" w:eastAsia="Arial" w:hAnsi="Arial"/>
                <w:sz w:val="20"/>
                <w:szCs w:val="20"/>
              </w:rPr>
              <w:t xml:space="preserve">• Month 11 break-even — longest runway of the three models</w:t>
            </w:r>
          </w:p>
          <w:p>
            <w:pPr>
              <w:spacing w:after="60"/>
            </w:pPr>
            <w:r>
              <w:rPr>
                <w:rFonts w:ascii="Arial" w:cs="Arial" w:eastAsia="Arial" w:hAnsi="Arial"/>
                <w:sz w:val="20"/>
                <w:szCs w:val="20"/>
              </w:rPr>
              <w:t xml:space="preserve">• Competing with well-funded incumbents (Flatfair, Reposit, Zero Deposit)</w:t>
            </w:r>
          </w:p>
          <w:p>
            <w:pPr>
              <w:spacing w:after="60"/>
            </w:pPr>
            <w:r>
              <w:rPr>
                <w:rFonts w:ascii="Arial" w:cs="Arial" w:eastAsia="Arial" w:hAnsi="Arial"/>
                <w:sz w:val="20"/>
                <w:szCs w:val="20"/>
              </w:rPr>
              <w:t xml:space="preserve">• Insurance underwriting partner risk — single point of failure</w:t>
            </w:r>
          </w:p>
          <w:p>
            <w:pPr>
              <w:spacing w:after="60"/>
            </w:pPr>
            <w:r>
              <w:rPr>
                <w:rFonts w:ascii="Arial" w:cs="Arial" w:eastAsia="Arial" w:hAnsi="Arial"/>
                <w:sz w:val="20"/>
                <w:szCs w:val="20"/>
              </w:rPr>
              <w:t xml:space="preserve">• Tenant acquisition at move-in is highly competitive (portals, agents)</w:t>
            </w:r>
          </w:p>
        </w:tc>
      </w:tr>
      <w:tr>
        <w:tc>
          <w:tcPr>
            <w:tcW w:type="dxa" w:w="4680"/>
            <w:tcBorders>
              <w:top w:val="single" w:color="CCCCCC" w:sz="4"/>
              <w:left w:val="single" w:color="CCCCCC" w:sz="4"/>
              <w:bottom w:val="single" w:color="CCCCCC" w:sz="4"/>
              <w:right w:val="single" w:color="CCCCCC" w:sz="4"/>
            </w:tcBorders>
            <w:shd w:fill="CFE2F3" w:val="clear"/>
            <w:tcMar>
              <w:top w:type="dxa" w:w="100"/>
              <w:left w:type="dxa" w:w="140"/>
              <w:bottom w:type="dxa" w:w="100"/>
              <w:right w:type="dxa" w:w="140"/>
            </w:tcMar>
          </w:tcPr>
          <w:p>
            <w:pPr>
              <w:spacing w:after="80"/>
            </w:pPr>
            <w:r>
              <w:rPr>
                <w:rFonts w:ascii="Arial" w:cs="Arial" w:eastAsia="Arial" w:hAnsi="Arial"/>
                <w:b/>
                <w:bCs/>
                <w:sz w:val="22"/>
                <w:szCs w:val="22"/>
              </w:rPr>
              <w:t xml:space="preserve">OPPORTUNITIES</w:t>
            </w:r>
          </w:p>
          <w:p>
            <w:pPr>
              <w:spacing w:after="60"/>
            </w:pPr>
            <w:r>
              <w:rPr>
                <w:rFonts w:ascii="Arial" w:cs="Arial" w:eastAsia="Arial" w:hAnsi="Arial"/>
                <w:sz w:val="20"/>
                <w:szCs w:val="20"/>
              </w:rPr>
              <w:t xml:space="preserve">• One-month rent-in-advance cap (May 2026) massively increases appeal</w:t>
            </w:r>
          </w:p>
          <w:p>
            <w:pPr>
              <w:spacing w:after="60"/>
            </w:pPr>
            <w:r>
              <w:rPr>
                <w:rFonts w:ascii="Arial" w:cs="Arial" w:eastAsia="Arial" w:hAnsi="Arial"/>
                <w:sz w:val="20"/>
                <w:szCs w:val="20"/>
              </w:rPr>
              <w:t xml:space="preserve">• Build-to-Rent sector growth creates B2B bulk partnership opportunity</w:t>
            </w:r>
          </w:p>
          <w:p>
            <w:pPr>
              <w:spacing w:after="60"/>
            </w:pPr>
            <w:r>
              <w:rPr>
                <w:rFonts w:ascii="Arial" w:cs="Arial" w:eastAsia="Arial" w:hAnsi="Arial"/>
                <w:sz w:val="20"/>
                <w:szCs w:val="20"/>
              </w:rPr>
              <w:t xml:space="preserve">• Section 21 abolition increases landlord appetite for enhanced protection</w:t>
            </w:r>
          </w:p>
          <w:p>
            <w:pPr>
              <w:spacing w:after="60"/>
            </w:pPr>
            <w:r>
              <w:rPr>
                <w:rFonts w:ascii="Arial" w:cs="Arial" w:eastAsia="Arial" w:hAnsi="Arial"/>
                <w:sz w:val="20"/>
                <w:szCs w:val="20"/>
              </w:rPr>
              <w:t xml:space="preserve">• Cross-sell into rent guarantee insurance and contents cover</w:t>
            </w:r>
          </w:p>
          <w:p>
            <w:pPr>
              <w:spacing w:after="60"/>
            </w:pPr>
            <w:r>
              <w:rPr>
                <w:rFonts w:ascii="Arial" w:cs="Arial" w:eastAsia="Arial" w:hAnsi="Arial"/>
                <w:sz w:val="20"/>
                <w:szCs w:val="20"/>
              </w:rPr>
              <w:t xml:space="preserve">• International expansion — deposit alternatives underdeveloped outside UK</w:t>
            </w:r>
          </w:p>
          <w:p>
            <w:pPr>
              <w:spacing w:after="60"/>
            </w:pPr>
            <w:r>
              <w:rPr>
                <w:rFonts w:ascii="Arial" w:cs="Arial" w:eastAsia="Arial" w:hAnsi="Arial"/>
                <w:sz w:val="20"/>
                <w:szCs w:val="20"/>
              </w:rPr>
              <w:t xml:space="preserve">• White-label for large lettings chains (Connells, Foxtons, Savills)</w:t>
            </w:r>
          </w:p>
        </w:tc>
        <w:tc>
          <w:tcPr>
            <w:tcW w:type="dxa" w:w="4680"/>
            <w:tcBorders>
              <w:top w:val="single" w:color="CCCCCC" w:sz="4"/>
              <w:left w:val="single" w:color="CCCCCC" w:sz="4"/>
              <w:bottom w:val="single" w:color="CCCCCC" w:sz="4"/>
              <w:right w:val="single" w:color="CCCCCC" w:sz="4"/>
            </w:tcBorders>
            <w:shd w:fill="F4CCCC" w:val="clear"/>
            <w:tcMar>
              <w:top w:type="dxa" w:w="100"/>
              <w:left w:type="dxa" w:w="140"/>
              <w:bottom w:type="dxa" w:w="100"/>
              <w:right w:type="dxa" w:w="140"/>
            </w:tcMar>
          </w:tcPr>
          <w:p>
            <w:pPr>
              <w:spacing w:after="80"/>
            </w:pPr>
            <w:r>
              <w:rPr>
                <w:rFonts w:ascii="Arial" w:cs="Arial" w:eastAsia="Arial" w:hAnsi="Arial"/>
                <w:b/>
                <w:bCs/>
                <w:sz w:val="22"/>
                <w:szCs w:val="22"/>
              </w:rPr>
              <w:t xml:space="preserve">THREATS</w:t>
            </w:r>
          </w:p>
          <w:p>
            <w:pPr>
              <w:spacing w:after="60"/>
            </w:pPr>
            <w:r>
              <w:rPr>
                <w:rFonts w:ascii="Arial" w:cs="Arial" w:eastAsia="Arial" w:hAnsi="Arial"/>
                <w:sz w:val="20"/>
                <w:szCs w:val="20"/>
              </w:rPr>
              <w:t xml:space="preserve">• Established competitors with significant capital and market share</w:t>
            </w:r>
          </w:p>
          <w:p>
            <w:pPr>
              <w:spacing w:after="60"/>
            </w:pPr>
            <w:r>
              <w:rPr>
                <w:rFonts w:ascii="Arial" w:cs="Arial" w:eastAsia="Arial" w:hAnsi="Arial"/>
                <w:sz w:val="20"/>
                <w:szCs w:val="20"/>
              </w:rPr>
              <w:t xml:space="preserve">• FCA regulatory uncertainty — rule changes could invalidate model</w:t>
            </w:r>
          </w:p>
          <w:p>
            <w:pPr>
              <w:spacing w:after="60"/>
            </w:pPr>
            <w:r>
              <w:rPr>
                <w:rFonts w:ascii="Arial" w:cs="Arial" w:eastAsia="Arial" w:hAnsi="Arial"/>
                <w:sz w:val="20"/>
                <w:szCs w:val="20"/>
              </w:rPr>
              <w:t xml:space="preserve">• Insurer withdrawal or repricing could collapse unit economics</w:t>
            </w:r>
          </w:p>
          <w:p>
            <w:pPr>
              <w:spacing w:after="60"/>
            </w:pPr>
            <w:r>
              <w:rPr>
                <w:rFonts w:ascii="Arial" w:cs="Arial" w:eastAsia="Arial" w:hAnsi="Arial"/>
                <w:sz w:val="20"/>
                <w:szCs w:val="20"/>
              </w:rPr>
              <w:t xml:space="preserve">• Letting agents already locked into competitor schemes</w:t>
            </w:r>
          </w:p>
          <w:p>
            <w:pPr>
              <w:spacing w:after="60"/>
            </w:pPr>
            <w:r>
              <w:rPr>
                <w:rFonts w:ascii="Arial" w:cs="Arial" w:eastAsia="Arial" w:hAnsi="Arial"/>
                <w:sz w:val="20"/>
                <w:szCs w:val="20"/>
              </w:rPr>
              <w:t xml:space="preserve">• Consumer awareness low — education cost is high</w:t>
            </w:r>
          </w:p>
          <w:p>
            <w:pPr>
              <w:spacing w:after="60"/>
            </w:pPr>
            <w:r>
              <w:rPr>
                <w:rFonts w:ascii="Arial" w:cs="Arial" w:eastAsia="Arial" w:hAnsi="Arial"/>
                <w:sz w:val="20"/>
                <w:szCs w:val="20"/>
              </w:rPr>
              <w:t xml:space="preserve">• Renters' Rights Act enforcement uncertainty</w:t>
            </w:r>
          </w:p>
        </w:tc>
      </w:tr>
    </w:tbl>
    <w:p>
      <w:pPr>
        <w:spacing w:after="160"/>
      </w:pPr>
    </w:p>
    <w:p>
      <w:r>
        <w:br w:type="page"/>
      </w:r>
    </w:p>
    <w:p>
      <w:pPr>
        <w:pStyle w:val="Heading1"/>
      </w:pPr>
      <w:r>
        <w:rPr>
          <w:rFonts w:ascii="Arial" w:cs="Arial" w:eastAsia="Arial" w:hAnsi="Arial"/>
        </w:rPr>
        <w:t xml:space="preserve">4. V2 — Hybrid Recovery Model: SWOT</w:t>
      </w:r>
    </w:p>
    <w:p>
      <w:pPr>
        <w:spacing w:after="120"/>
      </w:pPr>
      <w:r>
        <w:rPr>
          <w:rFonts w:ascii="Arial" w:cs="Arial" w:eastAsia="Arial" w:hAnsi="Arial"/>
          <w:sz w:val="22"/>
          <w:szCs w:val="22"/>
        </w:rPr>
        <w:t xml:space="preserve">V2 pivots to a post-tenancy deposit recovery service. Tenants assign their claim rights to DepositGuard, who pursues maximum recovery for a 15% success fee. The asset-light model dramatically reduces capital requirements and eliminates balance sheet risk while building toward instant payout via factoring partners in Phase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9EAD3" w:val="clear"/>
            <w:tcMar>
              <w:top w:type="dxa" w:w="100"/>
              <w:left w:type="dxa" w:w="140"/>
              <w:bottom w:type="dxa" w:w="100"/>
              <w:right w:type="dxa" w:w="140"/>
            </w:tcMar>
          </w:tcPr>
          <w:p>
            <w:pPr>
              <w:spacing w:after="80"/>
            </w:pPr>
            <w:r>
              <w:rPr>
                <w:rFonts w:ascii="Arial" w:cs="Arial" w:eastAsia="Arial" w:hAnsi="Arial"/>
                <w:b/>
                <w:bCs/>
                <w:sz w:val="22"/>
                <w:szCs w:val="22"/>
              </w:rPr>
              <w:t xml:space="preserve">STRENGTHS</w:t>
            </w:r>
          </w:p>
          <w:p>
            <w:pPr>
              <w:spacing w:after="60"/>
            </w:pPr>
            <w:r>
              <w:rPr>
                <w:rFonts w:ascii="Arial" w:cs="Arial" w:eastAsia="Arial" w:hAnsi="Arial"/>
                <w:sz w:val="20"/>
                <w:szCs w:val="20"/>
              </w:rPr>
              <w:t xml:space="preserve">• Asset-light: zero balance sheet risk in Phase 1</w:t>
            </w:r>
          </w:p>
          <w:p>
            <w:pPr>
              <w:spacing w:after="60"/>
            </w:pPr>
            <w:r>
              <w:rPr>
                <w:rFonts w:ascii="Arial" w:cs="Arial" w:eastAsia="Arial" w:hAnsi="Arial"/>
                <w:sz w:val="20"/>
                <w:szCs w:val="20"/>
              </w:rPr>
              <w:t xml:space="preserve">• Only £250K seed required — 67% less than V1</w:t>
            </w:r>
          </w:p>
          <w:p>
            <w:pPr>
              <w:spacing w:after="60"/>
            </w:pPr>
            <w:r>
              <w:rPr>
                <w:rFonts w:ascii="Arial" w:cs="Arial" w:eastAsia="Arial" w:hAnsi="Arial"/>
                <w:sz w:val="20"/>
                <w:szCs w:val="20"/>
              </w:rPr>
              <w:t xml:space="preserve">• Month 5 break-even — fastest of any model</w:t>
            </w:r>
          </w:p>
          <w:p>
            <w:pPr>
              <w:spacing w:after="60"/>
            </w:pPr>
            <w:r>
              <w:rPr>
                <w:rFonts w:ascii="Arial" w:cs="Arial" w:eastAsia="Arial" w:hAnsi="Arial"/>
                <w:sz w:val="20"/>
                <w:szCs w:val="20"/>
              </w:rPr>
              <w:t xml:space="preserve">• No FCA authorisation required initially — faster launch</w:t>
            </w:r>
          </w:p>
          <w:p>
            <w:pPr>
              <w:spacing w:after="60"/>
            </w:pPr>
            <w:r>
              <w:rPr>
                <w:rFonts w:ascii="Arial" w:cs="Arial" w:eastAsia="Arial" w:hAnsi="Arial"/>
                <w:sz w:val="20"/>
                <w:szCs w:val="20"/>
              </w:rPr>
              <w:t xml:space="preserve">• Addresses deep emotional pain (tenants already frustrated)</w:t>
            </w:r>
          </w:p>
          <w:p>
            <w:pPr>
              <w:spacing w:after="60"/>
            </w:pPr>
            <w:r>
              <w:rPr>
                <w:rFonts w:ascii="Arial" w:cs="Arial" w:eastAsia="Arial" w:hAnsi="Arial"/>
                <w:sz w:val="20"/>
                <w:szCs w:val="20"/>
              </w:rPr>
              <w:t xml:space="preserve">• Clear three-phase evolution: contingency → instant payout → fund</w:t>
            </w:r>
          </w:p>
          <w:p>
            <w:pPr>
              <w:spacing w:after="60"/>
            </w:pPr>
            <w:r>
              <w:rPr>
                <w:rFonts w:ascii="Arial" w:cs="Arial" w:eastAsia="Arial" w:hAnsi="Arial"/>
                <w:sz w:val="20"/>
                <w:szCs w:val="20"/>
              </w:rPr>
              <w:t xml:space="preserve">• No-win-no-fee model removes all barriers to tenant adoption</w:t>
            </w:r>
          </w:p>
        </w:tc>
        <w:tc>
          <w:tcPr>
            <w:tcW w:type="dxa" w:w="4680"/>
            <w:tcBorders>
              <w:top w:val="single" w:color="CCCCCC" w:sz="4"/>
              <w:left w:val="single" w:color="CCCCCC" w:sz="4"/>
              <w:bottom w:val="single" w:color="CCCCCC" w:sz="4"/>
              <w:right w:val="single" w:color="CCCCCC" w:sz="4"/>
            </w:tcBorders>
            <w:shd w:fill="FCE5CD" w:val="clear"/>
            <w:tcMar>
              <w:top w:type="dxa" w:w="100"/>
              <w:left w:type="dxa" w:w="140"/>
              <w:bottom w:type="dxa" w:w="100"/>
              <w:right w:type="dxa" w:w="140"/>
            </w:tcMar>
          </w:tcPr>
          <w:p>
            <w:pPr>
              <w:spacing w:after="80"/>
            </w:pPr>
            <w:r>
              <w:rPr>
                <w:rFonts w:ascii="Arial" w:cs="Arial" w:eastAsia="Arial" w:hAnsi="Arial"/>
                <w:b/>
                <w:bCs/>
                <w:sz w:val="22"/>
                <w:szCs w:val="22"/>
              </w:rPr>
              <w:t xml:space="preserve">WEAKNESSES</w:t>
            </w:r>
          </w:p>
          <w:p>
            <w:pPr>
              <w:spacing w:after="60"/>
            </w:pPr>
            <w:r>
              <w:rPr>
                <w:rFonts w:ascii="Arial" w:cs="Arial" w:eastAsia="Arial" w:hAnsi="Arial"/>
                <w:sz w:val="20"/>
                <w:szCs w:val="20"/>
              </w:rPr>
              <w:t xml:space="preserve">• Claims Management Regulation (CMR) authorisation still required from FCA</w:t>
            </w:r>
          </w:p>
          <w:p>
            <w:pPr>
              <w:spacing w:after="60"/>
            </w:pPr>
            <w:r>
              <w:rPr>
                <w:rFonts w:ascii="Arial" w:cs="Arial" w:eastAsia="Arial" w:hAnsi="Arial"/>
                <w:sz w:val="20"/>
                <w:szCs w:val="20"/>
              </w:rPr>
              <w:t xml:space="preserve">• Revenue only realised 90+ days after case opened — cash flow lag</w:t>
            </w:r>
          </w:p>
          <w:p>
            <w:pPr>
              <w:spacing w:after="60"/>
            </w:pPr>
            <w:r>
              <w:rPr>
                <w:rFonts w:ascii="Arial" w:cs="Arial" w:eastAsia="Arial" w:hAnsi="Arial"/>
                <w:sz w:val="20"/>
                <w:szCs w:val="20"/>
              </w:rPr>
              <w:t xml:space="preserve">• Dependent on tenant having sufficient evidence for successful recovery</w:t>
            </w:r>
          </w:p>
          <w:p>
            <w:pPr>
              <w:spacing w:after="60"/>
            </w:pPr>
            <w:r>
              <w:rPr>
                <w:rFonts w:ascii="Arial" w:cs="Arial" w:eastAsia="Arial" w:hAnsi="Arial"/>
                <w:sz w:val="20"/>
                <w:szCs w:val="20"/>
              </w:rPr>
              <w:t xml:space="preserve">• 15% fee may feel high once tenants understand the process is simple</w:t>
            </w:r>
          </w:p>
          <w:p>
            <w:pPr>
              <w:spacing w:after="60"/>
            </w:pPr>
            <w:r>
              <w:rPr>
                <w:rFonts w:ascii="Arial" w:cs="Arial" w:eastAsia="Arial" w:hAnsi="Arial"/>
                <w:sz w:val="20"/>
                <w:szCs w:val="20"/>
              </w:rPr>
              <w:t xml:space="preserve">• No proactive value — only intervenes after damage is done</w:t>
            </w:r>
          </w:p>
          <w:p>
            <w:pPr>
              <w:spacing w:after="60"/>
            </w:pPr>
            <w:r>
              <w:rPr>
                <w:rFonts w:ascii="Arial" w:cs="Arial" w:eastAsia="Arial" w:hAnsi="Arial"/>
                <w:sz w:val="20"/>
                <w:szCs w:val="20"/>
              </w:rPr>
              <w:t xml:space="preserve">• Recovery rates uncertain until track record is established</w:t>
            </w:r>
          </w:p>
          <w:p>
            <w:pPr>
              <w:spacing w:after="60"/>
            </w:pPr>
            <w:r>
              <w:rPr>
                <w:rFonts w:ascii="Arial" w:cs="Arial" w:eastAsia="Arial" w:hAnsi="Arial"/>
                <w:sz w:val="20"/>
                <w:szCs w:val="20"/>
              </w:rPr>
              <w:t xml:space="preserve">• Factoring partner dependency in Phase 2 creates margin leakage</w:t>
            </w:r>
          </w:p>
        </w:tc>
      </w:tr>
      <w:tr>
        <w:tc>
          <w:tcPr>
            <w:tcW w:type="dxa" w:w="4680"/>
            <w:tcBorders>
              <w:top w:val="single" w:color="CCCCCC" w:sz="4"/>
              <w:left w:val="single" w:color="CCCCCC" w:sz="4"/>
              <w:bottom w:val="single" w:color="CCCCCC" w:sz="4"/>
              <w:right w:val="single" w:color="CCCCCC" w:sz="4"/>
            </w:tcBorders>
            <w:shd w:fill="CFE2F3" w:val="clear"/>
            <w:tcMar>
              <w:top w:type="dxa" w:w="100"/>
              <w:left w:type="dxa" w:w="140"/>
              <w:bottom w:type="dxa" w:w="100"/>
              <w:right w:type="dxa" w:w="140"/>
            </w:tcMar>
          </w:tcPr>
          <w:p>
            <w:pPr>
              <w:spacing w:after="80"/>
            </w:pPr>
            <w:r>
              <w:rPr>
                <w:rFonts w:ascii="Arial" w:cs="Arial" w:eastAsia="Arial" w:hAnsi="Arial"/>
                <w:b/>
                <w:bCs/>
                <w:sz w:val="22"/>
                <w:szCs w:val="22"/>
              </w:rPr>
              <w:t xml:space="preserve">OPPORTUNITIES</w:t>
            </w:r>
          </w:p>
          <w:p>
            <w:pPr>
              <w:spacing w:after="60"/>
            </w:pPr>
            <w:r>
              <w:rPr>
                <w:rFonts w:ascii="Arial" w:cs="Arial" w:eastAsia="Arial" w:hAnsi="Arial"/>
                <w:sz w:val="20"/>
                <w:szCs w:val="20"/>
              </w:rPr>
              <w:t xml:space="preserve">• 30-40% of tenancies involve disputed deductions — massive addressable market</w:t>
            </w:r>
          </w:p>
          <w:p>
            <w:pPr>
              <w:spacing w:after="60"/>
            </w:pPr>
            <w:r>
              <w:rPr>
                <w:rFonts w:ascii="Arial" w:cs="Arial" w:eastAsia="Arial" w:hAnsi="Arial"/>
                <w:sz w:val="20"/>
                <w:szCs w:val="20"/>
              </w:rPr>
              <w:t xml:space="preserve">• International tenants leaving UK cannot self-dispute — captive market</w:t>
            </w:r>
          </w:p>
          <w:p>
            <w:pPr>
              <w:spacing w:after="60"/>
            </w:pPr>
            <w:r>
              <w:rPr>
                <w:rFonts w:ascii="Arial" w:cs="Arial" w:eastAsia="Arial" w:hAnsi="Arial"/>
                <w:sz w:val="20"/>
                <w:szCs w:val="20"/>
              </w:rPr>
              <w:t xml:space="preserve">• ADR process expertise creates defensible knowledge moat</w:t>
            </w:r>
          </w:p>
          <w:p>
            <w:pPr>
              <w:spacing w:after="60"/>
            </w:pPr>
            <w:r>
              <w:rPr>
                <w:rFonts w:ascii="Arial" w:cs="Arial" w:eastAsia="Arial" w:hAnsi="Arial"/>
                <w:sz w:val="20"/>
                <w:szCs w:val="20"/>
              </w:rPr>
              <w:t xml:space="preserve">• Phase 3 fund structure captures full value chain with fund management fees</w:t>
            </w:r>
          </w:p>
          <w:p>
            <w:pPr>
              <w:spacing w:after="60"/>
            </w:pPr>
            <w:r>
              <w:rPr>
                <w:rFonts w:ascii="Arial" w:cs="Arial" w:eastAsia="Arial" w:hAnsi="Arial"/>
                <w:sz w:val="20"/>
                <w:szCs w:val="20"/>
              </w:rPr>
              <w:t xml:space="preserve">• Data on dispute patterns highly valuable to insurers and lenders</w:t>
            </w:r>
          </w:p>
          <w:p>
            <w:pPr>
              <w:spacing w:after="60"/>
            </w:pPr>
            <w:r>
              <w:rPr>
                <w:rFonts w:ascii="Arial" w:cs="Arial" w:eastAsia="Arial" w:hAnsi="Arial"/>
                <w:sz w:val="20"/>
                <w:szCs w:val="20"/>
              </w:rPr>
              <w:t xml:space="preserve">• Cross-sell to tenants at next tenancy start (V1/V3 product)</w:t>
            </w:r>
          </w:p>
        </w:tc>
        <w:tc>
          <w:tcPr>
            <w:tcW w:type="dxa" w:w="4680"/>
            <w:tcBorders>
              <w:top w:val="single" w:color="CCCCCC" w:sz="4"/>
              <w:left w:val="single" w:color="CCCCCC" w:sz="4"/>
              <w:bottom w:val="single" w:color="CCCCCC" w:sz="4"/>
              <w:right w:val="single" w:color="CCCCCC" w:sz="4"/>
            </w:tcBorders>
            <w:shd w:fill="F4CCCC" w:val="clear"/>
            <w:tcMar>
              <w:top w:type="dxa" w:w="100"/>
              <w:left w:type="dxa" w:w="140"/>
              <w:bottom w:type="dxa" w:w="100"/>
              <w:right w:type="dxa" w:w="140"/>
            </w:tcMar>
          </w:tcPr>
          <w:p>
            <w:pPr>
              <w:spacing w:after="80"/>
            </w:pPr>
            <w:r>
              <w:rPr>
                <w:rFonts w:ascii="Arial" w:cs="Arial" w:eastAsia="Arial" w:hAnsi="Arial"/>
                <w:b/>
                <w:bCs/>
                <w:sz w:val="22"/>
                <w:szCs w:val="22"/>
              </w:rPr>
              <w:t xml:space="preserve">THREATS</w:t>
            </w:r>
          </w:p>
          <w:p>
            <w:pPr>
              <w:spacing w:after="60"/>
            </w:pPr>
            <w:r>
              <w:rPr>
                <w:rFonts w:ascii="Arial" w:cs="Arial" w:eastAsia="Arial" w:hAnsi="Arial"/>
                <w:sz w:val="20"/>
                <w:szCs w:val="20"/>
              </w:rPr>
              <w:t xml:space="preserve">• Shelter, Citizens Advice, free dispute guides reduce perceived need</w:t>
            </w:r>
          </w:p>
          <w:p>
            <w:pPr>
              <w:spacing w:after="60"/>
            </w:pPr>
            <w:r>
              <w:rPr>
                <w:rFonts w:ascii="Arial" w:cs="Arial" w:eastAsia="Arial" w:hAnsi="Arial"/>
                <w:sz w:val="20"/>
                <w:szCs w:val="20"/>
              </w:rPr>
              <w:t xml:space="preserve">• TDP schemes provide free ADR — must justify 15% fee vs DIY</w:t>
            </w:r>
          </w:p>
          <w:p>
            <w:pPr>
              <w:spacing w:after="60"/>
            </w:pPr>
            <w:r>
              <w:rPr>
                <w:rFonts w:ascii="Arial" w:cs="Arial" w:eastAsia="Arial" w:hAnsi="Arial"/>
                <w:sz w:val="20"/>
                <w:szCs w:val="20"/>
              </w:rPr>
              <w:t xml:space="preserve">• Low recovery cases damage brand and lead to no-fee outcomes</w:t>
            </w:r>
          </w:p>
          <w:p>
            <w:pPr>
              <w:spacing w:after="60"/>
            </w:pPr>
            <w:r>
              <w:rPr>
                <w:rFonts w:ascii="Arial" w:cs="Arial" w:eastAsia="Arial" w:hAnsi="Arial"/>
                <w:sz w:val="20"/>
                <w:szCs w:val="20"/>
              </w:rPr>
              <w:t xml:space="preserve">• Regulation: Claims Management companies face increasing FCA scrutiny</w:t>
            </w:r>
          </w:p>
          <w:p>
            <w:pPr>
              <w:spacing w:after="60"/>
            </w:pPr>
            <w:r>
              <w:rPr>
                <w:rFonts w:ascii="Arial" w:cs="Arial" w:eastAsia="Arial" w:hAnsi="Arial"/>
                <w:sz w:val="20"/>
                <w:szCs w:val="20"/>
              </w:rPr>
              <w:t xml:space="preserve">• Landlord retaliation — negative references, refusal to cooperate</w:t>
            </w:r>
          </w:p>
          <w:p>
            <w:pPr>
              <w:spacing w:after="60"/>
            </w:pPr>
            <w:r>
              <w:rPr>
                <w:rFonts w:ascii="Arial" w:cs="Arial" w:eastAsia="Arial" w:hAnsi="Arial"/>
                <w:sz w:val="20"/>
                <w:szCs w:val="20"/>
              </w:rPr>
              <w:t xml:space="preserve">• Competition from legal-tech startups and no-win-no-fee solicitors</w:t>
            </w:r>
          </w:p>
        </w:tc>
      </w:tr>
    </w:tbl>
    <w:p>
      <w:pPr>
        <w:spacing w:after="160"/>
      </w:pPr>
    </w:p>
    <w:p>
      <w:r>
        <w:br w:type="page"/>
      </w:r>
    </w:p>
    <w:p>
      <w:pPr>
        <w:pStyle w:val="Heading1"/>
      </w:pPr>
      <w:r>
        <w:rPr>
          <w:rFonts w:ascii="Arial" w:cs="Arial" w:eastAsia="Arial" w:hAnsi="Arial"/>
        </w:rPr>
        <w:t xml:space="preserve">5. V3 — Inspect, Repair &amp; Recover Model: SWOT</w:t>
      </w:r>
    </w:p>
    <w:p>
      <w:pPr>
        <w:spacing w:after="120"/>
      </w:pPr>
      <w:r>
        <w:rPr>
          <w:rFonts w:ascii="Arial" w:cs="Arial" w:eastAsia="Arial" w:hAnsi="Arial"/>
          <w:sz w:val="22"/>
          <w:szCs w:val="22"/>
        </w:rPr>
        <w:t xml:space="preserve">V3 is the proposed derivative model. It inserts DepositGuard into the tenancy lifecycle at the critical pre-departure moment: tenants submit video walkthroughs, receive a professional damage assessment, commission targeted repairs through the artisan network, and build a documented evidence trail — before the landlord inspection. Residual claims are then handled on a reduced 10% success fee, justified by the proactive service delivered.</w:t>
      </w:r>
    </w:p>
    <w:p>
      <w:pPr>
        <w:spacing w:after="160"/>
      </w:pPr>
    </w:p>
    <w:p>
      <w:pPr>
        <w:spacing w:after="120"/>
      </w:pPr>
      <w:r>
        <w:rPr>
          <w:rFonts w:ascii="Arial" w:cs="Arial" w:eastAsia="Arial" w:hAnsi="Arial"/>
          <w:sz w:val="22"/>
          <w:szCs w:val="22"/>
        </w:rPr>
        <w:t xml:space="preserve">Think of V3 as a GP referral model: V2 waits for the patient to arrive in A&amp;E and then treats them. V3 does the health check first, catches problems early, and prevents the emergency altogether. The artisan visit is both revenue-generating and diagnostic.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9EAD3" w:val="clear"/>
            <w:tcMar>
              <w:top w:type="dxa" w:w="100"/>
              <w:left w:type="dxa" w:w="140"/>
              <w:bottom w:type="dxa" w:w="100"/>
              <w:right w:type="dxa" w:w="140"/>
            </w:tcMar>
          </w:tcPr>
          <w:p>
            <w:pPr>
              <w:spacing w:after="80"/>
            </w:pPr>
            <w:r>
              <w:rPr>
                <w:rFonts w:ascii="Arial" w:cs="Arial" w:eastAsia="Arial" w:hAnsi="Arial"/>
                <w:b/>
                <w:bCs/>
                <w:sz w:val="22"/>
                <w:szCs w:val="22"/>
              </w:rPr>
              <w:t xml:space="preserve">STRENGTHS</w:t>
            </w:r>
          </w:p>
          <w:p>
            <w:pPr>
              <w:spacing w:after="60"/>
            </w:pPr>
            <w:r>
              <w:rPr>
                <w:rFonts w:ascii="Arial" w:cs="Arial" w:eastAsia="Arial" w:hAnsi="Arial"/>
                <w:sz w:val="20"/>
                <w:szCs w:val="20"/>
              </w:rPr>
              <w:t xml:space="preserve">• Unique market position — no competitor offers proactive pre-departure assessment</w:t>
            </w:r>
          </w:p>
          <w:p>
            <w:pPr>
              <w:spacing w:after="60"/>
            </w:pPr>
            <w:r>
              <w:rPr>
                <w:rFonts w:ascii="Arial" w:cs="Arial" w:eastAsia="Arial" w:hAnsi="Arial"/>
                <w:sz w:val="20"/>
                <w:szCs w:val="20"/>
              </w:rPr>
              <w:t xml:space="preserve">• Addresses the problem at source — reduces disputes rather than just resolving them</w:t>
            </w:r>
          </w:p>
          <w:p>
            <w:pPr>
              <w:spacing w:after="60"/>
            </w:pPr>
            <w:r>
              <w:rPr>
                <w:rFonts w:ascii="Arial" w:cs="Arial" w:eastAsia="Arial" w:hAnsi="Arial"/>
                <w:sz w:val="20"/>
                <w:szCs w:val="20"/>
              </w:rPr>
              <w:t xml:space="preserve">• Multiple revenue streams activated before any claim is made</w:t>
            </w:r>
          </w:p>
          <w:p>
            <w:pPr>
              <w:spacing w:after="60"/>
            </w:pPr>
            <w:r>
              <w:rPr>
                <w:rFonts w:ascii="Arial" w:cs="Arial" w:eastAsia="Arial" w:hAnsi="Arial"/>
                <w:sz w:val="20"/>
                <w:szCs w:val="20"/>
              </w:rPr>
              <w:t xml:space="preserve">• Video submission is low-friction and scalable (AI-assisted damage detection over time)</w:t>
            </w:r>
          </w:p>
          <w:p>
            <w:pPr>
              <w:spacing w:after="60"/>
            </w:pPr>
            <w:r>
              <w:rPr>
                <w:rFonts w:ascii="Arial" w:cs="Arial" w:eastAsia="Arial" w:hAnsi="Arial"/>
                <w:sz w:val="20"/>
                <w:szCs w:val="20"/>
              </w:rPr>
              <w:t xml:space="preserve">• Artisan network becomes core product, not just ancillary service</w:t>
            </w:r>
          </w:p>
          <w:p>
            <w:pPr>
              <w:spacing w:after="60"/>
            </w:pPr>
            <w:r>
              <w:rPr>
                <w:rFonts w:ascii="Arial" w:cs="Arial" w:eastAsia="Arial" w:hAnsi="Arial"/>
                <w:sz w:val="20"/>
                <w:szCs w:val="20"/>
              </w:rPr>
              <w:t xml:space="preserve">• Evidence trail created proactively — dramatically improves residual claim success rates</w:t>
            </w:r>
          </w:p>
          <w:p>
            <w:pPr>
              <w:spacing w:after="60"/>
            </w:pPr>
            <w:r>
              <w:rPr>
                <w:rFonts w:ascii="Arial" w:cs="Arial" w:eastAsia="Arial" w:hAnsi="Arial"/>
                <w:sz w:val="20"/>
                <w:szCs w:val="20"/>
              </w:rPr>
              <w:t xml:space="preserve">• Appeals to tenants who want to avoid conflict, not just those already in it</w:t>
            </w:r>
          </w:p>
          <w:p>
            <w:pPr>
              <w:spacing w:after="60"/>
            </w:pPr>
            <w:r>
              <w:rPr>
                <w:rFonts w:ascii="Arial" w:cs="Arial" w:eastAsia="Arial" w:hAnsi="Arial"/>
                <w:sz w:val="20"/>
                <w:szCs w:val="20"/>
              </w:rPr>
              <w:t xml:space="preserve">• Lower regulatory burden than V1 (no insurance) or V2 (reduced CMR exposure)</w:t>
            </w:r>
          </w:p>
          <w:p>
            <w:pPr>
              <w:spacing w:after="60"/>
            </w:pPr>
            <w:r>
              <w:rPr>
                <w:rFonts w:ascii="Arial" w:cs="Arial" w:eastAsia="Arial" w:hAnsi="Arial"/>
                <w:sz w:val="20"/>
                <w:szCs w:val="20"/>
              </w:rPr>
              <w:t xml:space="preserve">• Attractive to letting agents — reduces dispute workload and professional complaints</w:t>
            </w:r>
          </w:p>
        </w:tc>
        <w:tc>
          <w:tcPr>
            <w:tcW w:type="dxa" w:w="4680"/>
            <w:tcBorders>
              <w:top w:val="single" w:color="CCCCCC" w:sz="4"/>
              <w:left w:val="single" w:color="CCCCCC" w:sz="4"/>
              <w:bottom w:val="single" w:color="CCCCCC" w:sz="4"/>
              <w:right w:val="single" w:color="CCCCCC" w:sz="4"/>
            </w:tcBorders>
            <w:shd w:fill="FCE5CD" w:val="clear"/>
            <w:tcMar>
              <w:top w:type="dxa" w:w="100"/>
              <w:left w:type="dxa" w:w="140"/>
              <w:bottom w:type="dxa" w:w="100"/>
              <w:right w:type="dxa" w:w="140"/>
            </w:tcMar>
          </w:tcPr>
          <w:p>
            <w:pPr>
              <w:spacing w:after="80"/>
            </w:pPr>
            <w:r>
              <w:rPr>
                <w:rFonts w:ascii="Arial" w:cs="Arial" w:eastAsia="Arial" w:hAnsi="Arial"/>
                <w:b/>
                <w:bCs/>
                <w:sz w:val="22"/>
                <w:szCs w:val="22"/>
              </w:rPr>
              <w:t xml:space="preserve">WEAKNESSES</w:t>
            </w:r>
          </w:p>
          <w:p>
            <w:pPr>
              <w:spacing w:after="60"/>
            </w:pPr>
            <w:r>
              <w:rPr>
                <w:rFonts w:ascii="Arial" w:cs="Arial" w:eastAsia="Arial" w:hAnsi="Arial"/>
                <w:sz w:val="20"/>
                <w:szCs w:val="20"/>
              </w:rPr>
              <w:t xml:space="preserve">• Operational complexity: video review, artisan dispatch, scheduling adds overhead</w:t>
            </w:r>
          </w:p>
          <w:p>
            <w:pPr>
              <w:spacing w:after="60"/>
            </w:pPr>
            <w:r>
              <w:rPr>
                <w:rFonts w:ascii="Arial" w:cs="Arial" w:eastAsia="Arial" w:hAnsi="Arial"/>
                <w:sz w:val="20"/>
                <w:szCs w:val="20"/>
              </w:rPr>
              <w:t xml:space="preserve">• Requires higher operational headcount at launch than V2</w:t>
            </w:r>
          </w:p>
          <w:p>
            <w:pPr>
              <w:spacing w:after="60"/>
            </w:pPr>
            <w:r>
              <w:rPr>
                <w:rFonts w:ascii="Arial" w:cs="Arial" w:eastAsia="Arial" w:hAnsi="Arial"/>
                <w:sz w:val="20"/>
                <w:szCs w:val="20"/>
              </w:rPr>
              <w:t xml:space="preserve">• Artisan network quality is critical — poor repairs can worsen outcomes</w:t>
            </w:r>
          </w:p>
          <w:p>
            <w:pPr>
              <w:spacing w:after="60"/>
            </w:pPr>
            <w:r>
              <w:rPr>
                <w:rFonts w:ascii="Arial" w:cs="Arial" w:eastAsia="Arial" w:hAnsi="Arial"/>
                <w:sz w:val="20"/>
                <w:szCs w:val="20"/>
              </w:rPr>
              <w:t xml:space="preserve">• Tenant adoption requires behaviour change: they must act weeks before moving</w:t>
            </w:r>
          </w:p>
          <w:p>
            <w:pPr>
              <w:spacing w:after="60"/>
            </w:pPr>
            <w:r>
              <w:rPr>
                <w:rFonts w:ascii="Arial" w:cs="Arial" w:eastAsia="Arial" w:hAnsi="Arial"/>
                <w:sz w:val="20"/>
                <w:szCs w:val="20"/>
              </w:rPr>
              <w:t xml:space="preserve">• Revenue per case is lower than V2 (10% vs 15%) on recovery element</w:t>
            </w:r>
          </w:p>
          <w:p>
            <w:pPr>
              <w:spacing w:after="60"/>
            </w:pPr>
            <w:r>
              <w:rPr>
                <w:rFonts w:ascii="Arial" w:cs="Arial" w:eastAsia="Arial" w:hAnsi="Arial"/>
                <w:sz w:val="20"/>
                <w:szCs w:val="20"/>
              </w:rPr>
              <w:t xml:space="preserve">• Harder to automate early-stage than pure digital V2 model</w:t>
            </w:r>
          </w:p>
          <w:p>
            <w:pPr>
              <w:spacing w:after="60"/>
            </w:pPr>
            <w:r>
              <w:rPr>
                <w:rFonts w:ascii="Arial" w:cs="Arial" w:eastAsia="Arial" w:hAnsi="Arial"/>
                <w:sz w:val="20"/>
                <w:szCs w:val="20"/>
              </w:rPr>
              <w:t xml:space="preserve">• Artisan scheduling in new cities requires local network build</w:t>
            </w:r>
          </w:p>
        </w:tc>
      </w:tr>
      <w:tr>
        <w:tc>
          <w:tcPr>
            <w:tcW w:type="dxa" w:w="4680"/>
            <w:tcBorders>
              <w:top w:val="single" w:color="CCCCCC" w:sz="4"/>
              <w:left w:val="single" w:color="CCCCCC" w:sz="4"/>
              <w:bottom w:val="single" w:color="CCCCCC" w:sz="4"/>
              <w:right w:val="single" w:color="CCCCCC" w:sz="4"/>
            </w:tcBorders>
            <w:shd w:fill="CFE2F3" w:val="clear"/>
            <w:tcMar>
              <w:top w:type="dxa" w:w="100"/>
              <w:left w:type="dxa" w:w="140"/>
              <w:bottom w:type="dxa" w:w="100"/>
              <w:right w:type="dxa" w:w="140"/>
            </w:tcMar>
          </w:tcPr>
          <w:p>
            <w:pPr>
              <w:spacing w:after="80"/>
            </w:pPr>
            <w:r>
              <w:rPr>
                <w:rFonts w:ascii="Arial" w:cs="Arial" w:eastAsia="Arial" w:hAnsi="Arial"/>
                <w:b/>
                <w:bCs/>
                <w:sz w:val="22"/>
                <w:szCs w:val="22"/>
              </w:rPr>
              <w:t xml:space="preserve">OPPORTUNITIES</w:t>
            </w:r>
          </w:p>
          <w:p>
            <w:pPr>
              <w:spacing w:after="60"/>
            </w:pPr>
            <w:r>
              <w:rPr>
                <w:rFonts w:ascii="Arial" w:cs="Arial" w:eastAsia="Arial" w:hAnsi="Arial"/>
                <w:sz w:val="20"/>
                <w:szCs w:val="20"/>
              </w:rPr>
              <w:t xml:space="preserve">• AI video analysis — automated damage detection and cost estimation at scale</w:t>
            </w:r>
          </w:p>
          <w:p>
            <w:pPr>
              <w:spacing w:after="60"/>
            </w:pPr>
            <w:r>
              <w:rPr>
                <w:rFonts w:ascii="Arial" w:cs="Arial" w:eastAsia="Arial" w:hAnsi="Arial"/>
                <w:sz w:val="20"/>
                <w:szCs w:val="20"/>
              </w:rPr>
              <w:t xml:space="preserve">• Landlord-facing product: offer pre-tenancy inspection service as a premium add-on</w:t>
            </w:r>
          </w:p>
          <w:p>
            <w:pPr>
              <w:spacing w:after="60"/>
            </w:pPr>
            <w:r>
              <w:rPr>
                <w:rFonts w:ascii="Arial" w:cs="Arial" w:eastAsia="Arial" w:hAnsi="Arial"/>
                <w:sz w:val="20"/>
                <w:szCs w:val="20"/>
              </w:rPr>
              <w:t xml:space="preserve">• Insurance integration: feed repair data into actuarial models for V1 underwriting</w:t>
            </w:r>
          </w:p>
          <w:p>
            <w:pPr>
              <w:spacing w:after="60"/>
            </w:pPr>
            <w:r>
              <w:rPr>
                <w:rFonts w:ascii="Arial" w:cs="Arial" w:eastAsia="Arial" w:hAnsi="Arial"/>
                <w:sz w:val="20"/>
                <w:szCs w:val="20"/>
              </w:rPr>
              <w:t xml:space="preserve">• Build-to-Rent operators: white-label the inspection platform at portfolio scale</w:t>
            </w:r>
          </w:p>
          <w:p>
            <w:pPr>
              <w:spacing w:after="60"/>
            </w:pPr>
            <w:r>
              <w:rPr>
                <w:rFonts w:ascii="Arial" w:cs="Arial" w:eastAsia="Arial" w:hAnsi="Arial"/>
                <w:sz w:val="20"/>
                <w:szCs w:val="20"/>
              </w:rPr>
              <w:t xml:space="preserve">• Partner with removals companies and letting agents at the point of move-out notice</w:t>
            </w:r>
          </w:p>
          <w:p>
            <w:pPr>
              <w:spacing w:after="60"/>
            </w:pPr>
            <w:r>
              <w:rPr>
                <w:rFonts w:ascii="Arial" w:cs="Arial" w:eastAsia="Arial" w:hAnsi="Arial"/>
                <w:sz w:val="20"/>
                <w:szCs w:val="20"/>
              </w:rPr>
              <w:t xml:space="preserve">• Expand to commercial tenancies, student accommodation, and short-lets</w:t>
            </w:r>
          </w:p>
          <w:p>
            <w:pPr>
              <w:spacing w:after="60"/>
            </w:pPr>
            <w:r>
              <w:rPr>
                <w:rFonts w:ascii="Arial" w:cs="Arial" w:eastAsia="Arial" w:hAnsi="Arial"/>
                <w:sz w:val="20"/>
                <w:szCs w:val="20"/>
              </w:rPr>
              <w:t xml:space="preserve">• Data flywheel: repair cost data + claim data = proprietary pricing intelligence</w:t>
            </w:r>
          </w:p>
        </w:tc>
        <w:tc>
          <w:tcPr>
            <w:tcW w:type="dxa" w:w="4680"/>
            <w:tcBorders>
              <w:top w:val="single" w:color="CCCCCC" w:sz="4"/>
              <w:left w:val="single" w:color="CCCCCC" w:sz="4"/>
              <w:bottom w:val="single" w:color="CCCCCC" w:sz="4"/>
              <w:right w:val="single" w:color="CCCCCC" w:sz="4"/>
            </w:tcBorders>
            <w:shd w:fill="F4CCCC" w:val="clear"/>
            <w:tcMar>
              <w:top w:type="dxa" w:w="100"/>
              <w:left w:type="dxa" w:w="140"/>
              <w:bottom w:type="dxa" w:w="100"/>
              <w:right w:type="dxa" w:w="140"/>
            </w:tcMar>
          </w:tcPr>
          <w:p>
            <w:pPr>
              <w:spacing w:after="80"/>
            </w:pPr>
            <w:r>
              <w:rPr>
                <w:rFonts w:ascii="Arial" w:cs="Arial" w:eastAsia="Arial" w:hAnsi="Arial"/>
                <w:b/>
                <w:bCs/>
                <w:sz w:val="22"/>
                <w:szCs w:val="22"/>
              </w:rPr>
              <w:t xml:space="preserve">THREATS</w:t>
            </w:r>
          </w:p>
          <w:p>
            <w:pPr>
              <w:spacing w:after="60"/>
            </w:pPr>
            <w:r>
              <w:rPr>
                <w:rFonts w:ascii="Arial" w:cs="Arial" w:eastAsia="Arial" w:hAnsi="Arial"/>
                <w:sz w:val="20"/>
                <w:szCs w:val="20"/>
              </w:rPr>
              <w:t xml:space="preserve">• Tenant inertia — many will not engage until forced (too busy moving)</w:t>
            </w:r>
          </w:p>
          <w:p>
            <w:pPr>
              <w:spacing w:after="60"/>
            </w:pPr>
            <w:r>
              <w:rPr>
                <w:rFonts w:ascii="Arial" w:cs="Arial" w:eastAsia="Arial" w:hAnsi="Arial"/>
                <w:sz w:val="20"/>
                <w:szCs w:val="20"/>
              </w:rPr>
              <w:t xml:space="preserve">• Quality control: one bad artisan repair creates liability and reputational risk</w:t>
            </w:r>
          </w:p>
          <w:p>
            <w:pPr>
              <w:spacing w:after="60"/>
            </w:pPr>
            <w:r>
              <w:rPr>
                <w:rFonts w:ascii="Arial" w:cs="Arial" w:eastAsia="Arial" w:hAnsi="Arial"/>
                <w:sz w:val="20"/>
                <w:szCs w:val="20"/>
              </w:rPr>
              <w:t xml:space="preserve">• Landlords may reject pre-departure repairs as interfering with their inspection rights</w:t>
            </w:r>
          </w:p>
          <w:p>
            <w:pPr>
              <w:spacing w:after="60"/>
            </w:pPr>
            <w:r>
              <w:rPr>
                <w:rFonts w:ascii="Arial" w:cs="Arial" w:eastAsia="Arial" w:hAnsi="Arial"/>
                <w:sz w:val="20"/>
                <w:szCs w:val="20"/>
              </w:rPr>
              <w:t xml:space="preserve">• Timing window is narrow — tenant must engage 2-4 weeks before departure</w:t>
            </w:r>
          </w:p>
          <w:p>
            <w:pPr>
              <w:spacing w:after="60"/>
            </w:pPr>
            <w:r>
              <w:rPr>
                <w:rFonts w:ascii="Arial" w:cs="Arial" w:eastAsia="Arial" w:hAnsi="Arial"/>
                <w:sz w:val="20"/>
                <w:szCs w:val="20"/>
              </w:rPr>
              <w:t xml:space="preserve">• Artisan no-shows or delays could push tenant past move-out date</w:t>
            </w:r>
          </w:p>
          <w:p>
            <w:pPr>
              <w:spacing w:after="60"/>
            </w:pPr>
            <w:r>
              <w:rPr>
                <w:rFonts w:ascii="Arial" w:cs="Arial" w:eastAsia="Arial" w:hAnsi="Arial"/>
                <w:sz w:val="20"/>
                <w:szCs w:val="20"/>
              </w:rPr>
              <w:t xml:space="preserve">• Competitors could replicate video assessment feature quickly once proven</w:t>
            </w:r>
          </w:p>
        </w:tc>
      </w:tr>
    </w:tbl>
    <w:p>
      <w:pPr>
        <w:spacing w:after="160"/>
      </w:pPr>
    </w:p>
    <w:p>
      <w:r>
        <w:br w:type="page"/>
      </w:r>
    </w:p>
    <w:p>
      <w:pPr>
        <w:pStyle w:val="Heading1"/>
      </w:pPr>
      <w:r>
        <w:rPr>
          <w:rFonts w:ascii="Arial" w:cs="Arial" w:eastAsia="Arial" w:hAnsi="Arial"/>
        </w:rPr>
        <w:t xml:space="preserve">6. Critical Comparison: What Each Model Gets Right and Wrong</w:t>
      </w:r>
    </w:p>
    <w:p>
      <w:pPr>
        <w:spacing w:after="160"/>
      </w:pPr>
    </w:p>
    <w:p>
      <w:pPr>
        <w:pStyle w:val="Heading2"/>
      </w:pPr>
      <w:r>
        <w:rPr>
          <w:rFonts w:ascii="Arial" w:cs="Arial" w:eastAsia="Arial" w:hAnsi="Arial"/>
        </w:rPr>
        <w:t xml:space="preserve">6.1 The Fundamental Strategic Question</w:t>
      </w:r>
    </w:p>
    <w:p>
      <w:pPr>
        <w:spacing w:after="120"/>
      </w:pPr>
      <w:r>
        <w:rPr>
          <w:rFonts w:ascii="Arial" w:cs="Arial" w:eastAsia="Arial" w:hAnsi="Arial"/>
          <w:sz w:val="22"/>
          <w:szCs w:val="22"/>
        </w:rPr>
        <w:t xml:space="preserve">Each model answers a different question about where DepositGuard creates 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c>
          <w:tcPr>
            <w:tcW w:type="dxa" w:w="1123"/>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8237"/>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Core Question Answered</w:t>
            </w:r>
          </w:p>
        </w:tc>
      </w:tr>
      <w:tr>
        <w:tc>
          <w:tcPr>
            <w:tcW w:type="dxa" w:w="1123"/>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V1</w:t>
            </w:r>
          </w:p>
        </w:tc>
        <w:tc>
          <w:tcPr>
            <w:tcW w:type="dxa" w:w="8237"/>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How do we remove the upfront cost barrier to renting?</w:t>
            </w:r>
          </w:p>
        </w:tc>
      </w:tr>
      <w:tr>
        <w:tc>
          <w:tcPr>
            <w:tcW w:type="dxa" w:w="112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V2</w:t>
            </w:r>
          </w:p>
        </w:tc>
        <w:tc>
          <w:tcPr>
            <w:tcW w:type="dxa" w:w="8237"/>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How do we help tenants recover money they've already lost?</w:t>
            </w:r>
          </w:p>
        </w:tc>
      </w:tr>
      <w:tr>
        <w:tc>
          <w:tcPr>
            <w:tcW w:type="dxa" w:w="1123"/>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w:t>
            </w:r>
          </w:p>
        </w:tc>
        <w:tc>
          <w:tcPr>
            <w:tcW w:type="dxa" w:w="8237"/>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How do we prevent tenants from losing their deposit in the first place?</w:t>
            </w:r>
          </w:p>
        </w:tc>
      </w:tr>
    </w:tbl>
    <w:p>
      <w:pPr>
        <w:spacing w:after="160"/>
      </w:pPr>
    </w:p>
    <w:p>
      <w:pPr>
        <w:spacing w:after="120"/>
      </w:pPr>
      <w:r>
        <w:rPr>
          <w:rFonts w:ascii="Arial" w:cs="Arial" w:eastAsia="Arial" w:hAnsi="Arial"/>
          <w:sz w:val="22"/>
          <w:szCs w:val="22"/>
        </w:rPr>
        <w:t xml:space="preserve">V3's question is the most powerful because prevention is a stronger value proposition than cure. A tenant who gets their full deposit back because DepositGuard fixed a scuff before the landlord saw it is a far better advocate than one who recovered 60% after a 90-day ADR process.</w:t>
      </w:r>
    </w:p>
    <w:p>
      <w:pPr>
        <w:spacing w:after="160"/>
      </w:pPr>
    </w:p>
    <w:p>
      <w:pPr>
        <w:pStyle w:val="Heading2"/>
      </w:pPr>
      <w:r>
        <w:rPr>
          <w:rFonts w:ascii="Arial" w:cs="Arial" w:eastAsia="Arial" w:hAnsi="Arial"/>
        </w:rPr>
        <w:t xml:space="preserve">6.2 Revenue Model Critique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c>
          <w:tcPr>
            <w:tcW w:type="dxa" w:w="318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V1 — Protection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V2 — Recovery</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V3 — Inspect &amp; Repair</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Revenue quality</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Recurring (renewals) + transactional</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Transactional (lagged 90+ days)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Transactional (fast) + recurring (artisan)</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Revenue timing</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Fee at tenancy start — immediate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Fee after ADR resolution — slow</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Inspection fee upfront + repair margin + recovery fee</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Unit economics</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£523 avg fee, ~60% margin after insurance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15% of avg £850 recovered = £127 net</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£75 inspection + £45 repair margin + £85 recovery = £205 per case</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Revenue per case (est.)</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~£523</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~£127</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~£205</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Cases needed for £1M revenue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~1,910</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~7,870</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~4,880</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Margin risk</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Insurance claims can erode margin</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Low recovery rate = zero revenue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Artisan cost overruns compress margin</w:t>
            </w:r>
          </w:p>
        </w:tc>
      </w:tr>
    </w:tbl>
    <w:p>
      <w:pPr>
        <w:spacing w:after="160"/>
      </w:pPr>
    </w:p>
    <w:p>
      <w:pPr>
        <w:pStyle w:val="Heading2"/>
      </w:pPr>
      <w:r>
        <w:rPr>
          <w:rFonts w:ascii="Arial" w:cs="Arial" w:eastAsia="Arial" w:hAnsi="Arial"/>
        </w:rPr>
        <w:t xml:space="preserve">6.3 What V3 Adds to V2</w:t>
      </w:r>
    </w:p>
    <w:p>
      <w:pPr>
        <w:spacing w:after="120"/>
      </w:pPr>
      <w:r>
        <w:rPr>
          <w:rFonts w:ascii="Arial" w:cs="Arial" w:eastAsia="Arial" w:hAnsi="Arial"/>
          <w:sz w:val="22"/>
          <w:szCs w:val="22"/>
        </w:rPr>
        <w:t xml:space="preserve">V3 is best understood as V2 with a proactive front-end grafted on. The additions are:</w:t>
      </w:r>
    </w:p>
    <w:p>
      <w:pPr>
        <w:spacing w:after="160"/>
      </w:pPr>
    </w:p>
    <w:p>
      <w:pPr>
        <w:pStyle w:val="ListParagraph"/>
        <w:numPr>
          <w:ilvl w:val="0"/>
          <w:numId w:val="2"/>
        </w:numPr>
        <w:spacing w:after="80"/>
      </w:pPr>
      <w:r>
        <w:rPr>
          <w:rFonts w:ascii="Arial" w:cs="Arial" w:eastAsia="Arial" w:hAnsi="Arial"/>
          <w:b w:val="false"/>
          <w:bCs w:val="false"/>
          <w:sz w:val="22"/>
          <w:szCs w:val="22"/>
        </w:rPr>
        <w:t xml:space="preserve">A new service touchpoint 3-4 weeks before move-out (vs V2 which only engages after the landlord has already deducted)</w:t>
      </w:r>
    </w:p>
    <w:p>
      <w:pPr>
        <w:pStyle w:val="ListParagraph"/>
        <w:numPr>
          <w:ilvl w:val="0"/>
          <w:numId w:val="2"/>
        </w:numPr>
        <w:spacing w:after="80"/>
      </w:pPr>
      <w:r>
        <w:rPr>
          <w:rFonts w:ascii="Arial" w:cs="Arial" w:eastAsia="Arial" w:hAnsi="Arial"/>
          <w:b w:val="false"/>
          <w:bCs w:val="false"/>
          <w:sz w:val="22"/>
          <w:szCs w:val="22"/>
        </w:rPr>
        <w:t xml:space="preserve">A fee-generating inspection product that creates revenue regardless of whether a dispute occurs</w:t>
      </w:r>
    </w:p>
    <w:p>
      <w:pPr>
        <w:pStyle w:val="ListParagraph"/>
        <w:numPr>
          <w:ilvl w:val="0"/>
          <w:numId w:val="2"/>
        </w:numPr>
        <w:spacing w:after="80"/>
      </w:pPr>
      <w:r>
        <w:rPr>
          <w:rFonts w:ascii="Arial" w:cs="Arial" w:eastAsia="Arial" w:hAnsi="Arial"/>
          <w:b w:val="false"/>
          <w:bCs w:val="false"/>
          <w:sz w:val="22"/>
          <w:szCs w:val="22"/>
        </w:rPr>
        <w:t xml:space="preserve">An artisan repair service that generates margin AND reduces the size (or likelihood) of any claim</w:t>
      </w:r>
    </w:p>
    <w:p>
      <w:pPr>
        <w:pStyle w:val="ListParagraph"/>
        <w:numPr>
          <w:ilvl w:val="0"/>
          <w:numId w:val="2"/>
        </w:numPr>
        <w:spacing w:after="80"/>
      </w:pPr>
      <w:r>
        <w:rPr>
          <w:rFonts w:ascii="Arial" w:cs="Arial" w:eastAsia="Arial" w:hAnsi="Arial"/>
          <w:b w:val="false"/>
          <w:bCs w:val="false"/>
          <w:sz w:val="22"/>
          <w:szCs w:val="22"/>
        </w:rPr>
        <w:t xml:space="preserve">A stronger evidence package going into any residual dispute — dramatically improving recovery rates</w:t>
      </w:r>
    </w:p>
    <w:p>
      <w:pPr>
        <w:pStyle w:val="ListParagraph"/>
        <w:numPr>
          <w:ilvl w:val="0"/>
          <w:numId w:val="2"/>
        </w:numPr>
        <w:spacing w:after="80"/>
      </w:pPr>
      <w:r>
        <w:rPr>
          <w:rFonts w:ascii="Arial" w:cs="Arial" w:eastAsia="Arial" w:hAnsi="Arial"/>
          <w:b w:val="false"/>
          <w:bCs w:val="false"/>
          <w:sz w:val="22"/>
          <w:szCs w:val="22"/>
        </w:rPr>
        <w:t xml:space="preserve">A broader customer acquisition window — V2 only catches tenants after they've been wronged; V3 catches them when they give notice</w:t>
      </w:r>
    </w:p>
    <w:p>
      <w:pPr>
        <w:spacing w:after="160"/>
      </w:pPr>
    </w:p>
    <w:p>
      <w:pPr>
        <w:pStyle w:val="Heading2"/>
      </w:pPr>
      <w:r>
        <w:rPr>
          <w:rFonts w:ascii="Arial" w:cs="Arial" w:eastAsia="Arial" w:hAnsi="Arial"/>
        </w:rPr>
        <w:t xml:space="preserve">6.4 What V3 Still Needs from V2</w:t>
      </w:r>
    </w:p>
    <w:p>
      <w:pPr>
        <w:spacing w:after="120"/>
      </w:pPr>
      <w:r>
        <w:rPr>
          <w:rFonts w:ascii="Arial" w:cs="Arial" w:eastAsia="Arial" w:hAnsi="Arial"/>
          <w:sz w:val="22"/>
          <w:szCs w:val="22"/>
        </w:rPr>
        <w:t xml:space="preserve">V3 should retain V2's core dispute resolution capability as a backstop. Not every departure will be resolved cleanly, and having a professional recovery operation for residual claims is essential. The key structural insight is that V3 does not replace V2 — it extends it upstream.</w:t>
      </w:r>
    </w:p>
    <w:p>
      <w:pPr>
        <w:spacing w:after="160"/>
      </w:pPr>
    </w:p>
    <w:p>
      <w:pPr>
        <w:spacing w:after="120"/>
      </w:pPr>
      <w:r>
        <w:rPr>
          <w:rFonts w:ascii="Arial" w:cs="Arial" w:eastAsia="Arial" w:hAnsi="Arial"/>
          <w:sz w:val="22"/>
          <w:szCs w:val="22"/>
        </w:rPr>
        <w:t xml:space="preserve">The ideal commercial structure is: V3 inspection service generates immediate fee revenue → artisan repairs reduce deposit deductions → any remaining deduction is handled by V2-style contingency recovery at a reduced 10% fee (lower because the evidence trail is already built).</w:t>
      </w:r>
    </w:p>
    <w:p>
      <w:pPr>
        <w:spacing w:after="160"/>
      </w:pPr>
    </w:p>
    <w:p>
      <w:r>
        <w:br w:type="page"/>
      </w:r>
    </w:p>
    <w:p>
      <w:pPr>
        <w:pStyle w:val="Heading1"/>
      </w:pPr>
      <w:r>
        <w:rPr>
          <w:rFonts w:ascii="Arial" w:cs="Arial" w:eastAsia="Arial" w:hAnsi="Arial"/>
        </w:rPr>
        <w:t xml:space="preserve">7. V3 Model: Operational Detail</w:t>
      </w:r>
    </w:p>
    <w:p>
      <w:pPr>
        <w:spacing w:after="160"/>
      </w:pPr>
    </w:p>
    <w:p>
      <w:pPr>
        <w:pStyle w:val="Heading2"/>
      </w:pPr>
      <w:r>
        <w:rPr>
          <w:rFonts w:ascii="Arial" w:cs="Arial" w:eastAsia="Arial" w:hAnsi="Arial"/>
        </w:rPr>
        <w:t xml:space="preserve">7.1 The Tenant Journey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70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Action &amp; Timeline</w:t>
            </w:r>
          </w:p>
        </w:tc>
      </w:tr>
      <w:tr>
        <w:tc>
          <w:tcPr>
            <w:tcW w:type="dxa" w:w="234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Notice given</w:t>
            </w:r>
          </w:p>
        </w:tc>
        <w:tc>
          <w:tcPr>
            <w:tcW w:type="dxa" w:w="70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Tenant gives notice to leave. DepositGuard triggers departure workflow via app, agent referral, or marketing.</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Video submission (Day 1–3)</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Tenant submits room-by-room video walkthrough via mobile app. Takes 15-20 minutes. AI flags potential risk areas.</w:t>
            </w:r>
          </w:p>
        </w:tc>
      </w:tr>
      <w:tr>
        <w:tc>
          <w:tcPr>
            <w:tcW w:type="dxa" w:w="234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Assessment report (Day 3–5)</w:t>
            </w:r>
          </w:p>
        </w:tc>
        <w:tc>
          <w:tcPr>
            <w:tcW w:type="dxa" w:w="70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DepositGuard assessor reviews footage. Generates risk report: green (no action), amber (recommend repair), red (likely deduction).</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Repair quote &amp; booking (Day 5–7)</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network provides fixed-price quotes for amber/red items. Tenant approves and books via app. Flat inspection fee: £75.</w:t>
            </w:r>
          </w:p>
        </w:tc>
      </w:tr>
      <w:tr>
        <w:tc>
          <w:tcPr>
            <w:tcW w:type="dxa" w:w="234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Repairs completed (Day 7–21)</w:t>
            </w:r>
          </w:p>
        </w:tc>
        <w:tc>
          <w:tcPr>
            <w:tcW w:type="dxa" w:w="70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Verified artisans complete repairs. Before/after photos logged to case file. Tenant and DepositGuard both retain evidence.</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Landlord inspection (Day 21–28)</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Standard check-out inspection. Documented repair evidence available if landlord raises pre-repaired items.</w:t>
            </w:r>
          </w:p>
        </w:tc>
      </w:tr>
      <w:tr>
        <w:tc>
          <w:tcPr>
            <w:tcW w:type="dxa" w:w="234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Deposit resolution (Day 28–35)</w:t>
            </w:r>
          </w:p>
        </w:tc>
        <w:tc>
          <w:tcPr>
            <w:tcW w:type="dxa" w:w="70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Most deposits returned in full or near-full. Any residual dispute handled by DepositGuard at 10% success fee.</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Case closed</w:t>
            </w:r>
          </w:p>
        </w:tc>
        <w:tc>
          <w:tcPr>
            <w:tcW w:type="dxa" w:w="70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Tenant receives deposit, pays success fee only on recovered residual amount. Full case evidence archived.</w:t>
            </w:r>
          </w:p>
        </w:tc>
      </w:tr>
    </w:tbl>
    <w:p>
      <w:pPr>
        <w:spacing w:after="160"/>
      </w:pPr>
    </w:p>
    <w:p>
      <w:pPr>
        <w:pStyle w:val="Heading2"/>
      </w:pPr>
      <w:r>
        <w:rPr>
          <w:rFonts w:ascii="Arial" w:cs="Arial" w:eastAsia="Arial" w:hAnsi="Arial"/>
        </w:rPr>
        <w:t xml:space="preserve">7.2 Revenue Streams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673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 &amp; Rate</w:t>
            </w:r>
          </w:p>
        </w:tc>
      </w:tr>
      <w:tr>
        <w:tc>
          <w:tcPr>
            <w:tcW w:type="dxa" w:w="262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Inspection fee</w:t>
            </w:r>
          </w:p>
        </w:tc>
        <w:tc>
          <w:tcPr>
            <w:tcW w:type="dxa" w:w="673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Flat £75 fee per assessment. Charged regardless of repair outcome. Covers assessor time and report generation.</w:t>
            </w:r>
          </w:p>
        </w:tc>
      </w:tr>
      <w:tr>
        <w:tc>
          <w:tcPr>
            <w:tcW w:type="dxa" w:w="26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repair margin</w:t>
            </w:r>
          </w:p>
        </w:tc>
        <w:tc>
          <w:tcPr>
            <w:tcW w:type="dxa" w:w="673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12–15% commission on all repair jobs booked through platform. Average job value £250; average margin £32.</w:t>
            </w:r>
          </w:p>
        </w:tc>
      </w:tr>
      <w:tr>
        <w:tc>
          <w:tcPr>
            <w:tcW w:type="dxa" w:w="262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Recovery success fee</w:t>
            </w:r>
          </w:p>
        </w:tc>
        <w:tc>
          <w:tcPr>
            <w:tcW w:type="dxa" w:w="673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 of recovered amount (reduced from V2's 15% because evidence trail is already built). Average recovery £850; fee £85.</w:t>
            </w:r>
          </w:p>
        </w:tc>
      </w:tr>
      <w:tr>
        <w:tc>
          <w:tcPr>
            <w:tcW w:type="dxa" w:w="26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Instant payout origination (Phase 2)</w:t>
            </w:r>
          </w:p>
        </w:tc>
        <w:tc>
          <w:tcPr>
            <w:tcW w:type="dxa" w:w="673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origination fee from factoring partner when tenant selects instant payout on residual claim.</w:t>
            </w:r>
          </w:p>
        </w:tc>
      </w:tr>
      <w:tr>
        <w:tc>
          <w:tcPr>
            <w:tcW w:type="dxa" w:w="262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referral fee</w:t>
            </w:r>
          </w:p>
        </w:tc>
        <w:tc>
          <w:tcPr>
            <w:tcW w:type="dxa" w:w="673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£15–25 per case referred by letting agent. Agents benefit from reduced dispute workload and professional complaints.</w:t>
            </w:r>
          </w:p>
        </w:tc>
      </w:tr>
      <w:tr>
        <w:tc>
          <w:tcPr>
            <w:tcW w:type="dxa" w:w="26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Data &amp; insights (Phase 2)</w:t>
            </w:r>
          </w:p>
        </w:tc>
        <w:tc>
          <w:tcPr>
            <w:tcW w:type="dxa" w:w="673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Anonymised repair and claim data sold to insurers, landlord bodies, and lenders. Revenue from Year 2.</w:t>
            </w:r>
          </w:p>
        </w:tc>
      </w:tr>
    </w:tbl>
    <w:p>
      <w:pPr>
        <w:spacing w:after="160"/>
      </w:pPr>
    </w:p>
    <w:p>
      <w:r>
        <w:br w:type="page"/>
      </w:r>
    </w:p>
    <w:p>
      <w:pPr>
        <w:pStyle w:val="Heading1"/>
      </w:pPr>
      <w:r>
        <w:rPr>
          <w:rFonts w:ascii="Arial" w:cs="Arial" w:eastAsia="Arial" w:hAnsi="Arial"/>
        </w:rPr>
        <w:t xml:space="preserve">8. Financial Projections Summary: V3 vs V2</w:t>
      </w:r>
    </w:p>
    <w:p>
      <w:pPr>
        <w:spacing w:after="120"/>
      </w:pPr>
      <w:r>
        <w:rPr>
          <w:rFonts w:ascii="Arial" w:cs="Arial" w:eastAsia="Arial" w:hAnsi="Arial"/>
          <w:sz w:val="22"/>
          <w:szCs w:val="22"/>
        </w:rPr>
        <w:t xml:space="preserve">The following are indicative projections based on the market assumptions established in the V2 business plan, adjusted for V3's additional revenue streams and operational costs. Full dynamic modelling is provided in the accompanying Excel financial model.</w:t>
      </w:r>
    </w:p>
    <w:p>
      <w:pPr>
        <w:spacing w:after="160"/>
      </w:pPr>
    </w:p>
    <w:p>
      <w:pPr>
        <w:pStyle w:val="Heading2"/>
      </w:pPr>
      <w:r>
        <w:rPr>
          <w:rFonts w:ascii="Arial" w:cs="Arial" w:eastAsia="Arial" w:hAnsi="Arial"/>
        </w:rPr>
        <w:t xml:space="preserve">8.1 Key Assumptions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Assumption</w:t>
            </w:r>
          </w:p>
        </w:tc>
        <w:tc>
          <w:tcPr>
            <w:tcW w:type="dxa" w:w="561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London annual tenancy endings (addressable)</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~110,000</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 market penetration — Year 1</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(~3,300 cases)</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 market penetration — Year 2</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7% (~7,700 cases)</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 market penetration — Year 3</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 (~13,200 cases)</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 of inspections leading to repairs</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65%</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Average artisan repair job value</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£250</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 of cases with residual deposit dispute</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35%</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Average residual deposit deduction disputed</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£850</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V3 recovery rate on disputed cases</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78% (vs 72% V2 — stronger due to evidence)</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Inspection fee per case</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£75</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commission rate</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13%</w:t>
            </w:r>
          </w:p>
        </w:tc>
      </w:tr>
      <w:tr>
        <w:tc>
          <w:tcPr>
            <w:tcW w:type="dxa" w:w="37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Recovery success fee rate</w:t>
            </w:r>
          </w:p>
        </w:tc>
        <w:tc>
          <w:tcPr>
            <w:tcW w:type="dxa" w:w="561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r>
      <w:tr>
        <w:tc>
          <w:tcPr>
            <w:tcW w:type="dxa" w:w="3744"/>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Avg artisan jobs per case (where repairs needed)</w:t>
            </w:r>
          </w:p>
        </w:tc>
        <w:tc>
          <w:tcPr>
            <w:tcW w:type="dxa" w:w="5616"/>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1.4</w:t>
            </w:r>
          </w:p>
        </w:tc>
      </w:tr>
    </w:tbl>
    <w:p>
      <w:pPr>
        <w:spacing w:after="160"/>
      </w:pPr>
    </w:p>
    <w:p>
      <w:pPr>
        <w:pStyle w:val="Heading2"/>
      </w:pPr>
      <w:r>
        <w:rPr>
          <w:rFonts w:ascii="Arial" w:cs="Arial" w:eastAsia="Arial" w:hAnsi="Arial"/>
        </w:rPr>
        <w:t xml:space="preserve">8.2 Three-Year P&amp;L Summary (V3)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36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Year 1</w:t>
            </w:r>
          </w:p>
        </w:tc>
        <w:tc>
          <w:tcPr>
            <w:tcW w:type="dxa" w:w="636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Year 2</w:t>
            </w:r>
          </w:p>
        </w:tc>
        <w:tc>
          <w:tcPr>
            <w:tcW w:type="dxa" w:w="636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Year 3</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Cases processed</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3,300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7,700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13,200</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Inspection fee revenue</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£247,500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£577,500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£990,000</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commission revenue</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£93,093</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£217,217</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£372,372</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Recovery fee revenue</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£77,693</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£181,280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£310,766</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referral revenue</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£49,500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£115,500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£198,000</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 Revenue</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£467,786</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£1,091,497</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£1,871,138</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Gross Margin (%)</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68%</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72%</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74%</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Operating Costs</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(£320,000)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(£480,000)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(£680,000)</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EBITDA</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£147,786 (32%)</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£611,497 (56%)</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£1,391,138 (74%)</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Break-even month</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Month 7</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bl>
    <w:p>
      <w:pPr>
        <w:spacing w:after="160"/>
      </w:pPr>
    </w:p>
    <w:p>
      <w:pPr>
        <w:spacing w:after="120"/>
      </w:pPr>
      <w:r>
        <w:rPr>
          <w:rFonts w:ascii="Arial" w:cs="Arial" w:eastAsia="Arial" w:hAnsi="Arial"/>
          <w:i/>
          <w:iCs/>
          <w:sz w:val="22"/>
          <w:szCs w:val="22"/>
        </w:rPr>
        <w:t xml:space="preserve">Note: Operating costs include technology platform, assessor salaries (2 FTE Year 1, 4 FTE Year 2, 7 FTE Year 3), artisan vetting and onboarding, marketing, and admin. Full cost breakdown in Excel model.</w:t>
      </w:r>
    </w:p>
    <w:p>
      <w:pPr>
        <w:spacing w:after="160"/>
      </w:pPr>
    </w:p>
    <w:p>
      <w:pPr>
        <w:pStyle w:val="Heading2"/>
      </w:pPr>
      <w:r>
        <w:rPr>
          <w:rFonts w:ascii="Arial" w:cs="Arial" w:eastAsia="Arial" w:hAnsi="Arial"/>
        </w:rPr>
        <w:t xml:space="preserve">8.3 V3 vs V2: Head-to-Head Financial Comparison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c>
          <w:tcPr>
            <w:tcW w:type="dxa" w:w="318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V1 — Protection</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V2 — Recovery</w:t>
            </w:r>
          </w:p>
        </w:tc>
        <w:tc>
          <w:tcPr>
            <w:tcW w:type="dxa" w:w="205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V3 — Inspect &amp; Repair</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Metric</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V1 (Protection)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V2 (Recovery)</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V3 (Inspect &amp; Repair)</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Seed capital required</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£400,000</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£250,000</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£300,000</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Break-even (month)</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Month 11</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Month 5</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Month 7</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Y1 revenue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£485,000</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£320,000</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£468,000</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Y1 EBITDA margin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~31%</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~32%</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Y3 revenue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~£3.2M</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~£1.4M</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~£1.87M</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Y3 EBITDA margin</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~56%</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~55%</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~74%</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Revenue per case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£523</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£127</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£205</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Cases needed for £1M rev</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1,910</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7,870</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4,880</w:t>
            </w:r>
          </w:p>
        </w:tc>
      </w:tr>
      <w:tr>
        <w:tc>
          <w:tcPr>
            <w:tcW w:type="dxa" w:w="3182"/>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bCs/>
                <w:sz w:val="20"/>
                <w:szCs w:val="20"/>
              </w:rPr>
              <w:t xml:space="preserve">Balance sheet risk</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Moderate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None</w:t>
            </w:r>
          </w:p>
        </w:tc>
        <w:tc>
          <w:tcPr>
            <w:tcW w:type="dxa" w:w="205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sz w:val="20"/>
                <w:szCs w:val="20"/>
              </w:rPr>
              <w:t xml:space="preserve">None</w:t>
            </w:r>
          </w:p>
        </w:tc>
      </w:tr>
      <w:tr>
        <w:tc>
          <w:tcPr>
            <w:tcW w:type="dxa" w:w="318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sz w:val="20"/>
                <w:szCs w:val="20"/>
              </w:rPr>
              <w:t xml:space="preserve">Regulatory complexity</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High (FCA insurance)</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Medium (CMR)</w:t>
            </w:r>
          </w:p>
        </w:tc>
        <w:tc>
          <w:tcPr>
            <w:tcW w:type="dxa" w:w="205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Low–Medium</w:t>
            </w:r>
          </w:p>
        </w:tc>
      </w:tr>
    </w:tbl>
    <w:p>
      <w:pPr>
        <w:spacing w:after="160"/>
      </w:pPr>
    </w:p>
    <w:p>
      <w:r>
        <w:br w:type="page"/>
      </w:r>
    </w:p>
    <w:p>
      <w:pPr>
        <w:pStyle w:val="Heading1"/>
      </w:pPr>
      <w:r>
        <w:rPr>
          <w:rFonts w:ascii="Arial" w:cs="Arial" w:eastAsia="Arial" w:hAnsi="Arial"/>
        </w:rPr>
        <w:t xml:space="preserve">9. Strategic Recommendation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7A4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Recommended Approach: Launch V3 with V2 as Backstop</w:t>
            </w:r>
          </w:p>
        </w:tc>
      </w:tr>
    </w:tbl>
    <w:p>
      <w:pPr>
        <w:spacing w:after="160"/>
      </w:pPr>
    </w:p>
    <w:p>
      <w:pPr>
        <w:spacing w:after="120"/>
      </w:pPr>
      <w:r>
        <w:rPr>
          <w:rFonts w:ascii="Arial" w:cs="Arial" w:eastAsia="Arial" w:hAnsi="Arial"/>
          <w:sz w:val="22"/>
          <w:szCs w:val="22"/>
        </w:rPr>
        <w:t xml:space="preserve">The recommended path is to launch V3 as the primary product while retaining V2's recovery capability as an integrated backstop service. This creates a seamless end-to-end proposition: DepositGuard is the platform tenants engage when they decide to leave — and it handles everything from there.</w:t>
      </w:r>
    </w:p>
    <w:p>
      <w:pPr>
        <w:spacing w:after="160"/>
      </w:pPr>
    </w:p>
    <w:p>
      <w:pPr>
        <w:pStyle w:val="Heading2"/>
      </w:pPr>
      <w:r>
        <w:rPr>
          <w:rFonts w:ascii="Arial" w:cs="Arial" w:eastAsia="Arial" w:hAnsi="Arial"/>
        </w:rPr>
        <w:t xml:space="preserve">9.1 Phase Roadmap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67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Months</w:t>
            </w:r>
          </w:p>
        </w:tc>
        <w:tc>
          <w:tcPr>
            <w:tcW w:type="dxa" w:w="767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Focus</w:t>
            </w:r>
          </w:p>
        </w:tc>
      </w:tr>
      <w:tr>
        <w:tc>
          <w:tcPr>
            <w:tcW w:type="dxa" w:w="168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Phase 1: V3 London Launch</w:t>
            </w:r>
          </w:p>
        </w:tc>
        <w:tc>
          <w:tcPr>
            <w:tcW w:type="dxa" w:w="767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M1–M6</w:t>
            </w:r>
          </w:p>
        </w:tc>
        <w:tc>
          <w:tcPr>
            <w:tcW w:type="dxa" w:w="767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Inspection + repair service only. Build artisan network in 5 core London boroughs. Prove inspection-to-repair conversion rates. Target 300 cases.</w:t>
            </w:r>
          </w:p>
        </w:tc>
      </w:tr>
      <w:tr>
        <w:tc>
          <w:tcPr>
            <w:tcW w:type="dxa" w:w="168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Phase 2: V2 Recovery Layer</w:t>
            </w:r>
          </w:p>
        </w:tc>
        <w:tc>
          <w:tcPr>
            <w:tcW w:type="dxa" w:w="767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M6–M12</w:t>
            </w:r>
          </w:p>
        </w:tc>
        <w:tc>
          <w:tcPr>
            <w:tcW w:type="dxa" w:w="767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Add contingency recovery service for cases with residual disputes. Activate instant payout via factoring partner. Target 800 total cases.</w:t>
            </w:r>
          </w:p>
        </w:tc>
      </w:tr>
      <w:tr>
        <w:tc>
          <w:tcPr>
            <w:tcW w:type="dxa" w:w="168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Phase 3: Agent &amp; B2B</w:t>
            </w:r>
          </w:p>
        </w:tc>
        <w:tc>
          <w:tcPr>
            <w:tcW w:type="dxa" w:w="767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M12–M18</w:t>
            </w:r>
          </w:p>
        </w:tc>
        <w:tc>
          <w:tcPr>
            <w:tcW w:type="dxa" w:w="767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Sign 3+ letting agency partnerships. Launch white-label inspection tool. Begin data monetisation. Target 1,500 cases.</w:t>
            </w:r>
          </w:p>
        </w:tc>
      </w:tr>
      <w:tr>
        <w:tc>
          <w:tcPr>
            <w:tcW w:type="dxa" w:w="168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Phase 4: Geographic Expansion</w:t>
            </w:r>
          </w:p>
        </w:tc>
        <w:tc>
          <w:tcPr>
            <w:tcW w:type="dxa" w:w="767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M18+</w:t>
            </w:r>
          </w:p>
        </w:tc>
        <w:tc>
          <w:tcPr>
            <w:tcW w:type="dxa" w:w="767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Replicate London model in Manchester, Birmingham, Bristol. Asset-light city launches using playbook.</w:t>
            </w:r>
          </w:p>
        </w:tc>
      </w:tr>
    </w:tbl>
    <w:p>
      <w:pPr>
        <w:spacing w:after="160"/>
      </w:pPr>
    </w:p>
    <w:p>
      <w:pPr>
        <w:pStyle w:val="Heading2"/>
      </w:pPr>
      <w:r>
        <w:rPr>
          <w:rFonts w:ascii="Arial" w:cs="Arial" w:eastAsia="Arial" w:hAnsi="Arial"/>
        </w:rPr>
        <w:t xml:space="preserve">9.2 Investment Ask</w:t>
      </w:r>
    </w:p>
    <w:p>
      <w:pPr>
        <w:spacing w:after="120"/>
      </w:pPr>
      <w:r>
        <w:rPr>
          <w:rFonts w:ascii="Arial" w:cs="Arial" w:eastAsia="Arial" w:hAnsi="Arial"/>
          <w:sz w:val="22"/>
          <w:szCs w:val="22"/>
        </w:rPr>
        <w:t xml:space="preserve">V3 requires £300,000 in seed funding — £50,000 more than V2 (to fund artisan network development and video assessment technology) but £100,000 less than V1. The additional capital buys a significantly stronger competitive position and a higher-margin, more defensible business.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Use of Funds</w:t>
            </w:r>
          </w:p>
        </w:tc>
        <w:tc>
          <w:tcPr>
            <w:tcW w:type="dxa" w:w="636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636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Technology platform</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£90,000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Mobile app (video upload, assessment), artisan dispatch, case management system</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network</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£45,000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Vetting, onboarding, quality assurance, insurance for 50+ tradespeople</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Team (12 months)</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£95,000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2 x assessors, 1 x operations manager, 0.5 x tech lead</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Marketing &amp; acquisition</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£40,000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Social media, agent outreach, content marketing</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Legal &amp; compliance</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T&amp;Cs, artisan contracts, CMR authorisation, GDPR</w:t>
            </w:r>
          </w:p>
        </w:tc>
      </w:tr>
      <w:tr>
        <w:tc>
          <w:tcPr>
            <w:tcW w:type="dxa" w:w="299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Working capital reserve</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£10,000</w:t>
            </w:r>
          </w:p>
        </w:tc>
        <w:tc>
          <w:tcPr>
            <w:tcW w:type="dxa" w:w="63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Contingency</w:t>
            </w:r>
          </w:p>
        </w:tc>
      </w:tr>
      <w:tr>
        <w:tc>
          <w:tcPr>
            <w:tcW w:type="dxa" w:w="299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£300,000</w:t>
            </w:r>
          </w:p>
        </w:tc>
        <w:tc>
          <w:tcPr>
            <w:tcW w:type="dxa" w:w="6365"/>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
            </w:r>
          </w:p>
        </w:tc>
      </w:tr>
    </w:tbl>
    <w:p>
      <w:pPr>
        <w:spacing w:after="160"/>
      </w:pPr>
    </w:p>
    <w:p>
      <w:r>
        <w:br w:type="page"/>
      </w:r>
    </w:p>
    <w:p>
      <w:pPr>
        <w:pStyle w:val="Heading1"/>
      </w:pPr>
      <w:r>
        <w:rPr>
          <w:rFonts w:ascii="Arial" w:cs="Arial" w:eastAsia="Arial" w:hAnsi="Arial"/>
        </w:rPr>
        <w:t xml:space="preserve">10. Key Risks &amp; Mitigations (V3)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c>
          <w:tcPr>
            <w:tcW w:type="dxa" w:w="3089"/>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627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627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8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Tenant inertia — won't engage early enough</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Partner with letting agents and removals companies who touch tenant at notice stage. In-app reminders. Offer deposit-back guarantee messaging.</w:t>
            </w:r>
          </w:p>
        </w:tc>
      </w:tr>
      <w:tr>
        <w:tc>
          <w:tcPr>
            <w:tcW w:type="dxa" w:w="308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quality control</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Phased onboarding with quality scoring. Before/after photo evidence required. Escrow payment released only on completion sign-off.</w:t>
            </w:r>
          </w:p>
        </w:tc>
      </w:tr>
      <w:tr>
        <w:tc>
          <w:tcPr>
            <w:tcW w:type="dxa" w:w="308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Landlord rejection of pre-departure repairs</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Low-Medium</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Legal basis clear — tenant has right to make good. Evidence trail protects tenant. Offer landlord pre-notification option.</w:t>
            </w:r>
          </w:p>
        </w:tc>
      </w:tr>
      <w:tr>
        <w:tc>
          <w:tcPr>
            <w:tcW w:type="dxa" w:w="308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Video assessment AI errors (false negatives)</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Human review layer on all cases in Year 1. AI used to triage, not decide. Build feedback loop from actual claim outcomes.</w:t>
            </w:r>
          </w:p>
        </w:tc>
      </w:tr>
      <w:tr>
        <w:tc>
          <w:tcPr>
            <w:tcW w:type="dxa" w:w="3089"/>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Narrow timing window</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6271"/>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Trigger engagement at notice point via agent integration. SMS/email drip sequence. 28-day window is workable for most cases.</w:t>
            </w:r>
          </w:p>
        </w:tc>
      </w:tr>
      <w:tr>
        <w:tc>
          <w:tcPr>
            <w:tcW w:type="dxa" w:w="308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Competition replication</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Medium-Long term</w:t>
            </w:r>
          </w:p>
        </w:tc>
        <w:tc>
          <w:tcPr>
            <w:tcW w:type="dxa" w:w="627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Artisan network is sticky — hard to rebuild. Proprietary damage data creates pricing moat. Move fast on agent integrations.</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End of Strategic Analysis Document —</w:t>
            </w:r>
          </w:p>
        </w:tc>
      </w:tr>
    </w:tbl>
    <w:p>
      <w:pPr>
        <w:spacing w:after="160"/>
      </w:pPr>
    </w:p>
    <w:p>
      <w:pPr>
        <w:spacing w:after="120"/>
      </w:pPr>
      <w:r>
        <w:rPr>
          <w:rFonts w:ascii="Arial" w:cs="Arial" w:eastAsia="Arial" w:hAnsi="Arial"/>
          <w:b/>
          <w:bCs/>
          <w:sz w:val="22"/>
          <w:szCs w:val="22"/>
        </w:rPr>
        <w:t xml:space="preserve">DepositGuard — Inspect, Repair &amp; Recover</w:t>
      </w:r>
    </w:p>
    <w:p>
      <w:pPr>
        <w:spacing w:after="120"/>
      </w:pPr>
      <w:r>
        <w:rPr>
          <w:rFonts w:ascii="Arial" w:cs="Arial" w:eastAsia="Arial" w:hAnsi="Arial"/>
          <w:sz w:val="22"/>
          <w:szCs w:val="22"/>
        </w:rPr>
        <w:t xml:space="preserve">This document is confidential and prepared for internal strategic planning purposes. Full financial projections are available in the accompanying Excel model.</w:t>
      </w:r>
    </w:p>
    <w:p>
      <w:pPr>
        <w:spacing w:after="120"/>
      </w:pPr>
      <w:r>
        <w:rPr>
          <w:rFonts w:ascii="Arial" w:cs="Arial" w:eastAsia="Arial" w:hAnsi="Arial"/>
          <w:color w:val="888888"/>
          <w:sz w:val="22"/>
          <w:szCs w:val="22"/>
        </w:rPr>
        <w:t xml:space="preserve">Contact: ade.adedo@gmail.com | www.depositguard.co.uk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DepositGuard — Strategic Analysis | 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2026-02-28T14:06:51.748Z</dcterms:created>
  <dcterms:modified xsi:type="dcterms:W3CDTF">2026-02-28T14:06:51.748Z</dcterms:modified>
</cp:coreProperties>
</file>

<file path=docProps/custom.xml><?xml version="1.0" encoding="utf-8"?>
<Properties xmlns="http://schemas.openxmlformats.org/officeDocument/2006/custom-properties" xmlns:vt="http://schemas.openxmlformats.org/officeDocument/2006/docPropsVTypes"/>
</file>