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DD5B" w14:textId="4A564FE5" w:rsidR="00314B9B" w:rsidRPr="0098440F" w:rsidRDefault="0098440F" w:rsidP="007C11A3">
      <w:pPr>
        <w:jc w:val="center"/>
        <w:rPr>
          <w:b/>
          <w:bCs/>
          <w:sz w:val="40"/>
          <w:szCs w:val="40"/>
        </w:rPr>
      </w:pPr>
      <w:r w:rsidRPr="0098440F">
        <w:rPr>
          <w:b/>
          <w:bCs/>
          <w:sz w:val="40"/>
          <w:szCs w:val="40"/>
        </w:rPr>
        <w:t>Stability Capitalism</w:t>
      </w:r>
    </w:p>
    <w:p w14:paraId="04F6F012" w14:textId="65468ED9" w:rsidR="0098440F" w:rsidRDefault="0098440F" w:rsidP="007C11A3">
      <w:pPr>
        <w:jc w:val="center"/>
      </w:pPr>
      <w:r>
        <w:t>A Framework for AI Transition Economics</w:t>
      </w:r>
    </w:p>
    <w:p w14:paraId="4407D9B3" w14:textId="77777777" w:rsidR="0098440F" w:rsidRPr="00314B9B" w:rsidRDefault="0098440F" w:rsidP="00314B9B">
      <w:pPr>
        <w:spacing w:before="60" w:after="60"/>
        <w:jc w:val="center"/>
      </w:pPr>
    </w:p>
    <w:p w14:paraId="69960114" w14:textId="77777777" w:rsidR="0098440F" w:rsidRDefault="0098440F" w:rsidP="00B7582F">
      <w:pPr>
        <w:shd w:val="clear" w:color="auto" w:fill="1F6B75"/>
        <w:spacing w:before="160" w:after="80"/>
        <w:rPr>
          <w:b/>
          <w:bCs/>
          <w:color w:val="FFFFFF"/>
          <w:sz w:val="22"/>
          <w:szCs w:val="22"/>
        </w:rPr>
        <w:sectPr w:rsidR="0098440F" w:rsidSect="007C11A3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96352C5" w14:textId="77777777" w:rsidR="00B7582F" w:rsidRDefault="00B7582F" w:rsidP="00B7582F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THE PROBLEM</w:t>
      </w:r>
    </w:p>
    <w:p w14:paraId="6AA96C69" w14:textId="4E5A4081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AI is not a future disruption. It's happening now.</w:t>
      </w:r>
      <w:r w:rsidR="007C11A3">
        <w:rPr>
          <w:rFonts w:ascii="Arial Narrow" w:hAnsi="Arial Narrow"/>
        </w:rPr>
        <w:t xml:space="preserve"> </w:t>
      </w:r>
      <w:r w:rsidRPr="00314B9B">
        <w:rPr>
          <w:rFonts w:ascii="Arial Narrow" w:hAnsi="Arial Narrow"/>
          <w:color w:val="1A1A1A"/>
        </w:rPr>
        <w:t>Through 2025, U.S. employers announced 1.17 million job cuts, a 54% jump over 2024 and the highest since 2008.</w:t>
      </w:r>
      <w:r w:rsidR="007C11A3">
        <w:rPr>
          <w:rFonts w:ascii="Arial Narrow" w:hAnsi="Arial Narrow"/>
        </w:rPr>
        <w:t xml:space="preserve"> </w:t>
      </w:r>
      <w:r w:rsidRPr="00314B9B">
        <w:rPr>
          <w:rFonts w:ascii="Arial Narrow" w:hAnsi="Arial Narrow"/>
          <w:color w:val="1A1A1A"/>
        </w:rPr>
        <w:t xml:space="preserve">60% of layoffs hit workers 45 and older, during peak earning years. Only half land comparable roles. The rest take pay </w:t>
      </w:r>
      <w:r w:rsidR="0098440F" w:rsidRPr="00314B9B">
        <w:rPr>
          <w:rFonts w:ascii="Arial Narrow" w:hAnsi="Arial Narrow"/>
          <w:color w:val="1A1A1A"/>
        </w:rPr>
        <w:t>cuts or</w:t>
      </w:r>
      <w:r w:rsidRPr="00314B9B">
        <w:rPr>
          <w:rFonts w:ascii="Arial Narrow" w:hAnsi="Arial Narrow"/>
          <w:color w:val="1A1A1A"/>
        </w:rPr>
        <w:t xml:space="preserve"> </w:t>
      </w:r>
      <w:r w:rsidR="0098440F">
        <w:rPr>
          <w:rFonts w:ascii="Arial Narrow" w:hAnsi="Arial Narrow"/>
          <w:color w:val="1A1A1A"/>
        </w:rPr>
        <w:t xml:space="preserve">leave </w:t>
      </w:r>
      <w:r w:rsidRPr="00314B9B">
        <w:rPr>
          <w:rFonts w:ascii="Arial Narrow" w:hAnsi="Arial Narrow"/>
          <w:color w:val="1A1A1A"/>
        </w:rPr>
        <w:t>the workforce entirely.</w:t>
      </w:r>
    </w:p>
    <w:p w14:paraId="00B0E445" w14:textId="77777777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Retraining programs run on multi-year timelines. Displacement runs on quarters. Our policy infrastructure was built for temporary downturns, not structural elimination of cognitive work.</w:t>
      </w:r>
    </w:p>
    <w:p w14:paraId="1D31EE21" w14:textId="615CF7E4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 xml:space="preserve">The cost of automation </w:t>
      </w:r>
      <w:r w:rsidR="007C11A3">
        <w:rPr>
          <w:rFonts w:ascii="Arial Narrow" w:hAnsi="Arial Narrow"/>
          <w:color w:val="1A1A1A"/>
        </w:rPr>
        <w:t>hasn</w:t>
      </w:r>
      <w:r w:rsidRPr="00314B9B">
        <w:rPr>
          <w:rFonts w:ascii="Arial Narrow" w:hAnsi="Arial Narrow"/>
          <w:color w:val="1A1A1A"/>
        </w:rPr>
        <w:t>'t disappear</w:t>
      </w:r>
      <w:r w:rsidR="007C11A3">
        <w:rPr>
          <w:rFonts w:ascii="Arial Narrow" w:hAnsi="Arial Narrow"/>
          <w:color w:val="1A1A1A"/>
        </w:rPr>
        <w:t>ed</w:t>
      </w:r>
      <w:r w:rsidRPr="00314B9B">
        <w:rPr>
          <w:rFonts w:ascii="Arial Narrow" w:hAnsi="Arial Narrow"/>
          <w:color w:val="1A1A1A"/>
        </w:rPr>
        <w:t>. It migrate</w:t>
      </w:r>
      <w:r w:rsidR="007C11A3">
        <w:rPr>
          <w:rFonts w:ascii="Arial Narrow" w:hAnsi="Arial Narrow"/>
          <w:color w:val="1A1A1A"/>
        </w:rPr>
        <w:t>d</w:t>
      </w:r>
      <w:r w:rsidRPr="00314B9B">
        <w:rPr>
          <w:rFonts w:ascii="Arial Narrow" w:hAnsi="Arial Narrow"/>
          <w:color w:val="1A1A1A"/>
        </w:rPr>
        <w:t>. From wages to cloud compute fees at AWS, Azure, Google Cloud — providers operating at 60–75% gross margins. The gain concentrates. The disruption disperses. Stability Capitalism makes that reallocation visible and redirects a fraction of it.</w:t>
      </w:r>
    </w:p>
    <w:p w14:paraId="67A7BC77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THE MECHANISM</w:t>
      </w:r>
    </w:p>
    <w:p w14:paraId="6E923D06" w14:textId="77A671F0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 xml:space="preserve">An industry-funded insurance premium, </w:t>
      </w:r>
      <w:r w:rsidR="007C11A3">
        <w:rPr>
          <w:rFonts w:ascii="Arial Narrow" w:hAnsi="Arial Narrow"/>
          <w:color w:val="1A1A1A"/>
        </w:rPr>
        <w:t>collected as</w:t>
      </w:r>
      <w:r w:rsidRPr="00314B9B">
        <w:rPr>
          <w:rFonts w:ascii="Arial Narrow" w:hAnsi="Arial Narrow"/>
          <w:color w:val="1A1A1A"/>
        </w:rPr>
        <w:t xml:space="preserve"> </w:t>
      </w:r>
      <w:r w:rsidR="007C11A3" w:rsidRPr="00314B9B">
        <w:rPr>
          <w:rFonts w:ascii="Arial Narrow" w:hAnsi="Arial Narrow"/>
          <w:color w:val="1A1A1A"/>
        </w:rPr>
        <w:t>automation</w:t>
      </w:r>
      <w:r w:rsidRPr="00314B9B">
        <w:rPr>
          <w:rFonts w:ascii="Arial Narrow" w:hAnsi="Arial Narrow"/>
          <w:color w:val="1A1A1A"/>
        </w:rPr>
        <w:t xml:space="preserve"> replaces labor.</w:t>
      </w:r>
      <w:r w:rsidR="007C11A3">
        <w:rPr>
          <w:rFonts w:ascii="Arial Narrow" w:hAnsi="Arial Narrow"/>
        </w:rPr>
        <w:t xml:space="preserve"> </w:t>
      </w:r>
      <w:r w:rsidRPr="00314B9B">
        <w:rPr>
          <w:rFonts w:ascii="Arial Narrow" w:hAnsi="Arial Narrow"/>
          <w:color w:val="1A1A1A"/>
        </w:rPr>
        <w:t>Every commercial AI inference processed through a cloud API is already metered and billed. We add a fraction of a penny to that existing transaction, collected upstream, automatically, at the infrastructure layer.</w:t>
      </w:r>
      <w:r w:rsidR="0098440F">
        <w:rPr>
          <w:rFonts w:ascii="Arial Narrow" w:hAnsi="Arial Narrow"/>
        </w:rPr>
        <w:t xml:space="preserve"> </w:t>
      </w:r>
      <w:r w:rsidRPr="00314B9B">
        <w:rPr>
          <w:rFonts w:ascii="Arial Narrow" w:hAnsi="Arial Narrow"/>
          <w:color w:val="1A1A1A"/>
        </w:rPr>
        <w:t>No new compliance architecture. No new bureaucracy</w:t>
      </w:r>
    </w:p>
    <w:p w14:paraId="466C9F49" w14:textId="54B3FC21" w:rsidR="00314B9B" w:rsidRPr="007C11A3" w:rsidRDefault="00314B9B" w:rsidP="00314B9B">
      <w:pPr>
        <w:spacing w:before="60" w:after="60"/>
        <w:rPr>
          <w:rFonts w:ascii="Arial Narrow" w:hAnsi="Arial Narrow"/>
        </w:rPr>
      </w:pPr>
      <w:r w:rsidRPr="007C11A3">
        <w:rPr>
          <w:rFonts w:ascii="Arial Narrow" w:hAnsi="Arial Narrow"/>
          <w:color w:val="1A1A1A"/>
        </w:rPr>
        <w:t>Why not corporate taxes? Corporate taxes hit profit after the fact. This fee is assessed at the point of displacement. Precision economics, not blunt redistribution.</w:t>
      </w:r>
      <w:r w:rsidR="007C11A3" w:rsidRPr="007C11A3">
        <w:rPr>
          <w:rFonts w:ascii="Arial Narrow" w:hAnsi="Arial Narrow"/>
        </w:rPr>
        <w:t xml:space="preserve"> </w:t>
      </w:r>
      <w:r w:rsidRPr="007C11A3">
        <w:rPr>
          <w:rFonts w:ascii="Arial Narrow" w:hAnsi="Arial Narrow"/>
          <w:color w:val="1A1A1A"/>
        </w:rPr>
        <w:t>Revenue scales with AI adoption. The more automation displaces labor, the more the fund grows.</w:t>
      </w:r>
    </w:p>
    <w:p w14:paraId="78222FA8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THE AI DIVIDEND</w:t>
      </w:r>
    </w:p>
    <w:p w14:paraId="3C7C934B" w14:textId="10053FE8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A monthly income floor, not a handout</w:t>
      </w:r>
      <w:r w:rsidR="007C11A3">
        <w:rPr>
          <w:rFonts w:ascii="Arial Narrow" w:hAnsi="Arial Narrow"/>
          <w:color w:val="1A1A1A"/>
        </w:rPr>
        <w:t xml:space="preserve">. </w:t>
      </w:r>
      <w:r w:rsidRPr="00314B9B">
        <w:rPr>
          <w:rFonts w:ascii="Arial Narrow" w:hAnsi="Arial Narrow"/>
          <w:color w:val="1A1A1A"/>
        </w:rPr>
        <w:t>Proceeds flow to a sovereign fund modeled on the Alaska Permanent Fund, which distributes a monthly AI Dividend to eligible Americans.</w:t>
      </w:r>
    </w:p>
    <w:p w14:paraId="122B6E9E" w14:textId="344FD077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At maturity: $3,000/month, tax-free, for individuals earning under $80K. Phases out gradually to $120K. No cliff effects. Each adult receives their own payment</w:t>
      </w:r>
      <w:r w:rsidR="007E025A">
        <w:rPr>
          <w:rFonts w:ascii="Arial Narrow" w:hAnsi="Arial Narrow"/>
          <w:color w:val="1A1A1A"/>
        </w:rPr>
        <w:t>.</w:t>
      </w:r>
    </w:p>
    <w:p w14:paraId="273F4E69" w14:textId="77777777" w:rsidR="00314B9B" w:rsidRPr="00314B9B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Social Security: No cuts. Ever. Seniors below the $3,000 floor receive a top-up only. Earned benefits remain fully intact.</w:t>
      </w:r>
    </w:p>
    <w:p w14:paraId="083355A5" w14:textId="77777777" w:rsidR="0098440F" w:rsidRDefault="00314B9B" w:rsidP="00314B9B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Year 1: Launches at $2,000/month for the under-$50K cohort. Scales to full maturity by Year 4 as inference volume and fund growth allow.</w:t>
      </w:r>
    </w:p>
    <w:p w14:paraId="0A14D64B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OBJECTIONS, ANSWERED</w:t>
      </w:r>
    </w:p>
    <w:p w14:paraId="5C6DC367" w14:textId="5AD67885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"People will stop working." </w:t>
      </w:r>
      <w:r w:rsidRPr="00314B9B">
        <w:rPr>
          <w:rFonts w:ascii="Arial Narrow" w:hAnsi="Arial Narrow"/>
          <w:color w:val="1A1A1A"/>
        </w:rPr>
        <w:t xml:space="preserve">Every UBI-style pilot run shows no work reduction, </w:t>
      </w:r>
      <w:r w:rsidR="007C11A3">
        <w:rPr>
          <w:rFonts w:ascii="Arial Narrow" w:hAnsi="Arial Narrow"/>
          <w:color w:val="1A1A1A"/>
        </w:rPr>
        <w:t>&amp;</w:t>
      </w:r>
      <w:r w:rsidRPr="00314B9B">
        <w:rPr>
          <w:rFonts w:ascii="Arial Narrow" w:hAnsi="Arial Narrow"/>
          <w:color w:val="1A1A1A"/>
        </w:rPr>
        <w:t xml:space="preserve"> higher entrepreneurship</w:t>
      </w:r>
    </w:p>
    <w:p w14:paraId="79EE1D2F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"It will cause inflation." </w:t>
      </w:r>
      <w:r w:rsidRPr="00314B9B">
        <w:rPr>
          <w:rFonts w:ascii="Arial Narrow" w:hAnsi="Arial Narrow"/>
          <w:color w:val="1A1A1A"/>
        </w:rPr>
        <w:t>Alaska has run a cash dividend for 40 years with near-zero CPI impact. The only real risk is housing, addressed directly through Land Value Tax, YIMBY reform, and rent spike caps.</w:t>
      </w:r>
    </w:p>
    <w:p w14:paraId="3EE27AF3" w14:textId="70DA6A0B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"Corporations will flee." </w:t>
      </w:r>
      <w:r w:rsidRPr="00314B9B">
        <w:rPr>
          <w:rFonts w:ascii="Arial Narrow" w:hAnsi="Arial Narrow"/>
          <w:color w:val="1A1A1A"/>
        </w:rPr>
        <w:t>Economically difficult to avoid at scale. Open-source and on-premise models are excluded by design. Exiting the U.S. market means forfeiting its largest customer base.</w:t>
      </w:r>
    </w:p>
    <w:p w14:paraId="1193A541" w14:textId="1E18366D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"This is socialism." </w:t>
      </w:r>
      <w:r w:rsidRPr="00314B9B">
        <w:rPr>
          <w:rFonts w:ascii="Arial Narrow" w:hAnsi="Arial Narrow"/>
          <w:color w:val="1A1A1A"/>
        </w:rPr>
        <w:t xml:space="preserve">Alaska </w:t>
      </w:r>
      <w:r w:rsidR="007C11A3">
        <w:rPr>
          <w:rFonts w:ascii="Arial Narrow" w:hAnsi="Arial Narrow"/>
          <w:color w:val="1A1A1A"/>
        </w:rPr>
        <w:t xml:space="preserve">has </w:t>
      </w:r>
      <w:r w:rsidRPr="00314B9B">
        <w:rPr>
          <w:rFonts w:ascii="Arial Narrow" w:hAnsi="Arial Narrow"/>
          <w:color w:val="1A1A1A"/>
        </w:rPr>
        <w:t xml:space="preserve">paid dividends from shared natural resources for four decades. </w:t>
      </w:r>
      <w:r w:rsidR="007C11A3">
        <w:rPr>
          <w:color w:val="1A1A1A"/>
        </w:rPr>
        <w:t xml:space="preserve">No worker taxes. No wealth </w:t>
      </w:r>
      <w:r w:rsidR="007C11A3">
        <w:rPr>
          <w:color w:val="1A1A1A"/>
        </w:rPr>
        <w:t>seizure. No nationalization. The market funds its own stability layer</w:t>
      </w:r>
    </w:p>
    <w:p w14:paraId="68377472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"Why not just tax corporations?" </w:t>
      </w:r>
      <w:r w:rsidRPr="00314B9B">
        <w:rPr>
          <w:rFonts w:ascii="Arial Narrow" w:hAnsi="Arial Narrow"/>
          <w:color w:val="1A1A1A"/>
        </w:rPr>
        <w:t>Corporate taxes lag automation decisions by years and invite accounting manipulation. This fee prices labor displacement at the moment it occurs: precise, automatic, unavoidable.</w:t>
      </w:r>
    </w:p>
    <w:p w14:paraId="327B1E58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WHAT THE EVIDENCE SHOWS</w:t>
      </w:r>
    </w:p>
    <w:p w14:paraId="3847E325" w14:textId="534271A1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Alaska Permanent Fund (40 years): </w:t>
      </w:r>
      <w:r w:rsidRPr="00314B9B">
        <w:rPr>
          <w:rFonts w:ascii="Arial Narrow" w:hAnsi="Arial Narrow"/>
          <w:color w:val="1A1A1A"/>
        </w:rPr>
        <w:t xml:space="preserve">No inflation spike, stable prices, stronger household resilience. </w:t>
      </w:r>
    </w:p>
    <w:p w14:paraId="38E1DFBA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Stockton SEED / Kenya GiveDirectly: </w:t>
      </w:r>
      <w:r w:rsidRPr="00314B9B">
        <w:rPr>
          <w:rFonts w:ascii="Arial Narrow" w:hAnsi="Arial Narrow"/>
          <w:color w:val="1A1A1A"/>
        </w:rPr>
        <w:t>No reduction in work. Increased entrepreneurship, improved health outcomes, higher family stability.</w:t>
      </w:r>
    </w:p>
    <w:p w14:paraId="4C50C1E1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U.S. Child Tax Credit (2021): </w:t>
      </w:r>
      <w:r w:rsidRPr="00314B9B">
        <w:rPr>
          <w:rFonts w:ascii="Arial Narrow" w:hAnsi="Arial Narrow"/>
          <w:color w:val="1A1A1A"/>
        </w:rPr>
        <w:t>26% reduction in child poverty. Highest birth intentions in 15 years, strongest among adults 18 to 29.</w:t>
      </w:r>
    </w:p>
    <w:p w14:paraId="512AB060" w14:textId="370E00A9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b/>
          <w:bCs/>
          <w:color w:val="1F6B75"/>
        </w:rPr>
        <w:t xml:space="preserve">South Korea baby bonus data: </w:t>
      </w:r>
      <w:r w:rsidRPr="00314B9B">
        <w:rPr>
          <w:rFonts w:ascii="Arial Narrow" w:hAnsi="Arial Narrow"/>
          <w:color w:val="1A1A1A"/>
        </w:rPr>
        <w:t xml:space="preserve">10% income increase correlates with 0.4–0.6% fertility increase. </w:t>
      </w:r>
    </w:p>
    <w:p w14:paraId="6DBD3255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MACRO OUTCOMES</w:t>
      </w:r>
    </w:p>
    <w:p w14:paraId="0E40D075" w14:textId="2F3C1EB3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Consumer spending in the bottom 60% rises 8–12%, producing a 1.5–2.1% annual GDP lift. Fewer ER visits. Lower property crime. Local economies regenerate. The system is counter-cyclical: when layoffs increase, AI adoption accelerates, which grows the fund.</w:t>
      </w:r>
    </w:p>
    <w:p w14:paraId="6789C96E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REVENUE SENSITIVITY</w:t>
      </w:r>
    </w:p>
    <w:p w14:paraId="2C017241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That insurance premium — a fraction of a penny per inference — scales automatically with actual AI usage. The revenue math:</w:t>
      </w:r>
    </w:p>
    <w:p w14:paraId="4E88F3AA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Example: A firm replaces 100 analysts with AI, generating 10M daily inferences. At the baseline fee, that flows ~$3,300/day into the fund while payroll drops $8–12M/year. Scaled economy-wide, the math becomes visible.</w:t>
      </w:r>
    </w:p>
    <w:tbl>
      <w:tblPr>
        <w:tblW w:w="4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2"/>
        <w:gridCol w:w="1147"/>
        <w:gridCol w:w="1260"/>
        <w:gridCol w:w="1440"/>
      </w:tblGrid>
      <w:tr w:rsidR="007C11A3" w14:paraId="58560614" w14:textId="77777777" w:rsidTr="007C11A3">
        <w:tc>
          <w:tcPr>
            <w:tcW w:w="1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F86D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F4F4E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b/>
                <w:bCs/>
                <w:color w:val="FFFFFF"/>
                <w:sz w:val="18"/>
                <w:szCs w:val="18"/>
              </w:rPr>
              <w:t>Growth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237C8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b/>
                <w:bCs/>
                <w:color w:val="FFFFFF"/>
                <w:sz w:val="18"/>
                <w:szCs w:val="18"/>
              </w:rPr>
              <w:t>Full $3K Floor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2C256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b/>
                <w:bCs/>
                <w:color w:val="FFFFFF"/>
                <w:sz w:val="18"/>
                <w:szCs w:val="18"/>
              </w:rPr>
              <w:t>2035 Revenue</w:t>
            </w:r>
          </w:p>
        </w:tc>
      </w:tr>
      <w:tr w:rsidR="007C11A3" w14:paraId="33EDDC87" w14:textId="77777777" w:rsidTr="007C11A3">
        <w:tc>
          <w:tcPr>
            <w:tcW w:w="1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06E0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Conservative</w:t>
            </w:r>
          </w:p>
        </w:tc>
        <w:tc>
          <w:tcPr>
            <w:tcW w:w="1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8C8DF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30% CAGR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D279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Year 7 (2033)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D6663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~$12–15T</w:t>
            </w:r>
          </w:p>
        </w:tc>
      </w:tr>
      <w:tr w:rsidR="007C11A3" w14:paraId="4BA31C6E" w14:textId="77777777" w:rsidTr="007C11A3">
        <w:tc>
          <w:tcPr>
            <w:tcW w:w="1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1E47C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Moderate</w:t>
            </w:r>
          </w:p>
        </w:tc>
        <w:tc>
          <w:tcPr>
            <w:tcW w:w="1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40C9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40% CAGR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D53C1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Year 4 (2030)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3132B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~$21–22T</w:t>
            </w:r>
          </w:p>
        </w:tc>
      </w:tr>
      <w:tr w:rsidR="007C11A3" w14:paraId="59437DC1" w14:textId="77777777" w:rsidTr="007C11A3">
        <w:tc>
          <w:tcPr>
            <w:tcW w:w="1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6908F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Aggressive</w:t>
            </w:r>
          </w:p>
        </w:tc>
        <w:tc>
          <w:tcPr>
            <w:tcW w:w="1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4ADAC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50% CAGR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74C4B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Year 3 (2029)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6A48E" w14:textId="77777777" w:rsidR="0098440F" w:rsidRPr="00623D54" w:rsidRDefault="0098440F" w:rsidP="00634FEB">
            <w:pPr>
              <w:jc w:val="center"/>
              <w:rPr>
                <w:rFonts w:ascii="Arial Narrow" w:hAnsi="Arial Narrow"/>
              </w:rPr>
            </w:pPr>
            <w:r w:rsidRPr="00623D54">
              <w:rPr>
                <w:rFonts w:ascii="Arial Narrow" w:hAnsi="Arial Narrow"/>
                <w:color w:val="1A1A1A"/>
                <w:sz w:val="18"/>
                <w:szCs w:val="18"/>
              </w:rPr>
              <w:t>~$35–40T</w:t>
            </w:r>
          </w:p>
        </w:tc>
      </w:tr>
    </w:tbl>
    <w:p w14:paraId="34762536" w14:textId="77777777" w:rsidR="0019501E" w:rsidRPr="007C11A3" w:rsidRDefault="00000000">
      <w:pPr>
        <w:spacing w:before="60" w:after="60"/>
        <w:rPr>
          <w:sz w:val="16"/>
          <w:szCs w:val="16"/>
        </w:rPr>
      </w:pPr>
      <w:r w:rsidRPr="007C11A3">
        <w:rPr>
          <w:i/>
          <w:iCs/>
          <w:color w:val="1A1A1A"/>
          <w:sz w:val="16"/>
          <w:szCs w:val="16"/>
        </w:rPr>
        <w:t>Open-source and on-premise models excluded. Only commercial cloud API usage in scope. Viability holds under every scenario.</w:t>
      </w:r>
    </w:p>
    <w:p w14:paraId="337E4A1B" w14:textId="77777777" w:rsidR="0019501E" w:rsidRDefault="00000000">
      <w:pPr>
        <w:shd w:val="clear" w:color="auto" w:fill="1F6B75"/>
        <w:spacing w:before="160" w:after="80"/>
      </w:pPr>
      <w:r>
        <w:rPr>
          <w:b/>
          <w:bCs/>
          <w:color w:val="FFFFFF"/>
          <w:sz w:val="22"/>
          <w:szCs w:val="22"/>
        </w:rPr>
        <w:t>CONVERGENCE — APRIL 2026</w:t>
      </w:r>
    </w:p>
    <w:p w14:paraId="0EEDBE36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OpenAI's April 6 industrial policy document calls for a Public Wealth Fund giving every American a stake in AI growth, modeled on Alaska's Permanent Fund. Elon Musk has floated 'universal high income' funded by AI productivity. Nobel Laureate Joseph Stiglitz warns unmanaged AI will deepen inequality.</w:t>
      </w:r>
    </w:p>
    <w:p w14:paraId="51A6CD45" w14:textId="77777777" w:rsidR="0019501E" w:rsidRPr="00314B9B" w:rsidRDefault="00000000">
      <w:pPr>
        <w:spacing w:before="60" w:after="60"/>
        <w:rPr>
          <w:rFonts w:ascii="Arial Narrow" w:hAnsi="Arial Narrow"/>
        </w:rPr>
      </w:pPr>
      <w:r w:rsidRPr="00314B9B">
        <w:rPr>
          <w:rFonts w:ascii="Arial Narrow" w:hAnsi="Arial Narrow"/>
          <w:color w:val="1A1A1A"/>
        </w:rPr>
        <w:t>This framework has been publicly documented on GitHub since November 2025 — with full collection mechanics, Ohio pilot design, and economic modeling.</w:t>
      </w:r>
    </w:p>
    <w:p w14:paraId="3AB45BF2" w14:textId="54B7DD75" w:rsidR="0098440F" w:rsidRPr="007C11A3" w:rsidRDefault="00000000" w:rsidP="007C11A3">
      <w:pPr>
        <w:spacing w:before="60" w:after="60"/>
        <w:rPr>
          <w:rFonts w:ascii="Arial Narrow" w:hAnsi="Arial Narrow"/>
        </w:rPr>
        <w:sectPr w:rsidR="0098440F" w:rsidRPr="007C11A3" w:rsidSect="007C11A3">
          <w:type w:val="continuous"/>
          <w:pgSz w:w="12240" w:h="15840"/>
          <w:pgMar w:top="720" w:right="720" w:bottom="720" w:left="720" w:header="708" w:footer="708" w:gutter="0"/>
          <w:cols w:num="2" w:space="720"/>
          <w:docGrid w:linePitch="360"/>
        </w:sectPr>
      </w:pPr>
      <w:r w:rsidRPr="00314B9B">
        <w:rPr>
          <w:rFonts w:ascii="Arial Narrow" w:hAnsi="Arial Narrow"/>
          <w:b/>
          <w:bCs/>
          <w:color w:val="1A1A1A"/>
        </w:rPr>
        <w:t>OpenAI's sketch identifies the destination. Stability Capitalism provides the map</w:t>
      </w:r>
    </w:p>
    <w:p w14:paraId="1B0E584C" w14:textId="77777777" w:rsidR="0019501E" w:rsidRPr="007C11A3" w:rsidRDefault="0019501E">
      <w:pPr>
        <w:spacing w:before="120"/>
        <w:rPr>
          <w:sz w:val="18"/>
          <w:szCs w:val="18"/>
        </w:rPr>
      </w:pPr>
    </w:p>
    <w:p w14:paraId="105E16BB" w14:textId="77777777" w:rsidR="0019501E" w:rsidRDefault="00000000">
      <w:pPr>
        <w:shd w:val="clear" w:color="auto" w:fill="1F6B75"/>
        <w:spacing w:before="80" w:after="40"/>
        <w:jc w:val="center"/>
      </w:pPr>
      <w:r>
        <w:rPr>
          <w:i/>
          <w:iCs/>
          <w:color w:val="FFFFFF"/>
        </w:rPr>
        <w:t>"We only need a tiny piece of AI to build the foundation of the future."</w:t>
      </w:r>
    </w:p>
    <w:p w14:paraId="049AC37A" w14:textId="77777777" w:rsidR="0019501E" w:rsidRDefault="00000000">
      <w:pPr>
        <w:shd w:val="clear" w:color="auto" w:fill="1F6B75"/>
        <w:spacing w:after="80"/>
        <w:jc w:val="center"/>
      </w:pPr>
      <w:r>
        <w:rPr>
          <w:color w:val="E8F4F6"/>
          <w:sz w:val="16"/>
          <w:szCs w:val="16"/>
        </w:rPr>
        <w:t>Renee K. McInerney, PMP, CSM  |  MacAisling Corp.  |  renee.mc@macaisling.com  |  github.com/macaisling  |  raeosun.substack.com</w:t>
      </w:r>
    </w:p>
    <w:p w14:paraId="4049D3FF" w14:textId="77777777" w:rsidR="0019501E" w:rsidRDefault="00000000">
      <w:pPr>
        <w:shd w:val="clear" w:color="auto" w:fill="1F6B75"/>
        <w:spacing w:after="100"/>
        <w:jc w:val="center"/>
      </w:pPr>
      <w:r>
        <w:rPr>
          <w:i/>
          <w:iCs/>
          <w:color w:val="AADDDD"/>
          <w:sz w:val="15"/>
          <w:szCs w:val="15"/>
        </w:rPr>
        <w:t>Full white paper &amp; Ohio pilot appendix available upon request.</w:t>
      </w:r>
    </w:p>
    <w:sectPr w:rsidR="0019501E" w:rsidSect="007C11A3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1D071" w14:textId="77777777" w:rsidR="0097161D" w:rsidRDefault="0097161D" w:rsidP="0098440F">
      <w:r>
        <w:separator/>
      </w:r>
    </w:p>
  </w:endnote>
  <w:endnote w:type="continuationSeparator" w:id="0">
    <w:p w14:paraId="5822BA64" w14:textId="77777777" w:rsidR="0097161D" w:rsidRDefault="0097161D" w:rsidP="00984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B494" w14:textId="77777777" w:rsidR="0097161D" w:rsidRDefault="0097161D" w:rsidP="0098440F">
      <w:r>
        <w:separator/>
      </w:r>
    </w:p>
  </w:footnote>
  <w:footnote w:type="continuationSeparator" w:id="0">
    <w:p w14:paraId="4E7E59CC" w14:textId="77777777" w:rsidR="0097161D" w:rsidRDefault="0097161D" w:rsidP="00984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522A0"/>
    <w:multiLevelType w:val="hybridMultilevel"/>
    <w:tmpl w:val="132E094A"/>
    <w:lvl w:ilvl="0" w:tplc="DEC829BC">
      <w:start w:val="1"/>
      <w:numFmt w:val="bullet"/>
      <w:lvlText w:val="●"/>
      <w:lvlJc w:val="left"/>
      <w:pPr>
        <w:ind w:left="720" w:hanging="360"/>
      </w:pPr>
    </w:lvl>
    <w:lvl w:ilvl="1" w:tplc="842C2942">
      <w:start w:val="1"/>
      <w:numFmt w:val="bullet"/>
      <w:lvlText w:val="○"/>
      <w:lvlJc w:val="left"/>
      <w:pPr>
        <w:ind w:left="1440" w:hanging="360"/>
      </w:pPr>
    </w:lvl>
    <w:lvl w:ilvl="2" w:tplc="4DA8BA2E">
      <w:start w:val="1"/>
      <w:numFmt w:val="bullet"/>
      <w:lvlText w:val="■"/>
      <w:lvlJc w:val="left"/>
      <w:pPr>
        <w:ind w:left="2160" w:hanging="360"/>
      </w:pPr>
    </w:lvl>
    <w:lvl w:ilvl="3" w:tplc="1B00168E">
      <w:start w:val="1"/>
      <w:numFmt w:val="bullet"/>
      <w:lvlText w:val="●"/>
      <w:lvlJc w:val="left"/>
      <w:pPr>
        <w:ind w:left="2880" w:hanging="360"/>
      </w:pPr>
    </w:lvl>
    <w:lvl w:ilvl="4" w:tplc="A484EDCA">
      <w:start w:val="1"/>
      <w:numFmt w:val="bullet"/>
      <w:lvlText w:val="○"/>
      <w:lvlJc w:val="left"/>
      <w:pPr>
        <w:ind w:left="3600" w:hanging="360"/>
      </w:pPr>
    </w:lvl>
    <w:lvl w:ilvl="5" w:tplc="E104F65A">
      <w:start w:val="1"/>
      <w:numFmt w:val="bullet"/>
      <w:lvlText w:val="■"/>
      <w:lvlJc w:val="left"/>
      <w:pPr>
        <w:ind w:left="4320" w:hanging="360"/>
      </w:pPr>
    </w:lvl>
    <w:lvl w:ilvl="6" w:tplc="8E12D448">
      <w:start w:val="1"/>
      <w:numFmt w:val="bullet"/>
      <w:lvlText w:val="●"/>
      <w:lvlJc w:val="left"/>
      <w:pPr>
        <w:ind w:left="5040" w:hanging="360"/>
      </w:pPr>
    </w:lvl>
    <w:lvl w:ilvl="7" w:tplc="7F2083B6">
      <w:start w:val="1"/>
      <w:numFmt w:val="bullet"/>
      <w:lvlText w:val="●"/>
      <w:lvlJc w:val="left"/>
      <w:pPr>
        <w:ind w:left="5760" w:hanging="360"/>
      </w:pPr>
    </w:lvl>
    <w:lvl w:ilvl="8" w:tplc="695A0002">
      <w:start w:val="1"/>
      <w:numFmt w:val="bullet"/>
      <w:lvlText w:val="●"/>
      <w:lvlJc w:val="left"/>
      <w:pPr>
        <w:ind w:left="6480" w:hanging="360"/>
      </w:pPr>
    </w:lvl>
  </w:abstractNum>
  <w:num w:numId="1" w16cid:durableId="902645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01E"/>
    <w:rsid w:val="0019501E"/>
    <w:rsid w:val="00314B9B"/>
    <w:rsid w:val="006C39DA"/>
    <w:rsid w:val="007C11A3"/>
    <w:rsid w:val="007E025A"/>
    <w:rsid w:val="008D1FA4"/>
    <w:rsid w:val="0097161D"/>
    <w:rsid w:val="0098440F"/>
    <w:rsid w:val="00B7582F"/>
    <w:rsid w:val="00D5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D119"/>
  <w15:docId w15:val="{AFE23506-0AEC-4265-BF1F-FDF44CFA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4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40F"/>
  </w:style>
  <w:style w:type="paragraph" w:styleId="Footer">
    <w:name w:val="footer"/>
    <w:basedOn w:val="Normal"/>
    <w:link w:val="FooterChar"/>
    <w:uiPriority w:val="99"/>
    <w:unhideWhenUsed/>
    <w:rsid w:val="00984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Renee McInerney</cp:lastModifiedBy>
  <cp:revision>4</cp:revision>
  <dcterms:created xsi:type="dcterms:W3CDTF">2026-04-18T14:03:00Z</dcterms:created>
  <dcterms:modified xsi:type="dcterms:W3CDTF">2026-04-18T14:35:00Z</dcterms:modified>
</cp:coreProperties>
</file>