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rFonts w:ascii="Arial" w:cs="Arial" w:eastAsia="Arial" w:hAnsi="Arial"/>
          <w:b/>
          <w:bCs/>
          <w:color w:val="595959"/>
          <w:sz w:val="24"/>
          <w:szCs w:val="24"/>
        </w:rPr>
        <w:t xml:space="preserve">INFORME ACADÉMICO</w:t>
      </w:r>
    </w:p>
    <w:p>
      <w:pPr>
        <w:spacing w:after="500" w:line="360"/>
        <w:jc w:val="center"/>
      </w:pPr>
      <w:r>
        <w:rPr>
          <w:rFonts w:ascii="Arial" w:cs="Arial" w:eastAsia="Arial" w:hAnsi="Arial"/>
          <w:b/>
          <w:bCs/>
          <w:color w:val="1F3864"/>
          <w:sz w:val="38"/>
          <w:szCs w:val="38"/>
        </w:rPr>
        <w:t xml:space="preserve">Seguridad e Higiene Laboral: análisis de la accidentabilidad en la industria de Misiones y su relación con el sistema de ART (2021-2025)</w:t>
      </w:r>
    </w:p>
    <w:p>
      <w:pPr>
        <w:pBdr>
          <w:top w:val="single" w:color="1F3864" w:sz="8" w:space="8"/>
        </w:pBdr>
        <w:spacing w:after="500"/>
        <w:jc w:val="center"/>
      </w:pPr>
    </w:p>
    <w:p>
      <w:pPr>
        <w:spacing w:after="200"/>
        <w:jc w:val="center"/>
      </w:pPr>
      <w:r>
        <w:rPr>
          <w:rFonts w:ascii="Arial" w:cs="Arial" w:eastAsia="Arial" w:hAnsi="Arial"/>
          <w:b/>
          <w:bCs/>
          <w:sz w:val="26"/>
          <w:szCs w:val="26"/>
        </w:rPr>
        <w:t xml:space="preserve">Carrera: </w:t>
      </w:r>
      <w:r>
        <w:rPr>
          <w:rFonts w:ascii="Arial" w:cs="Arial" w:eastAsia="Arial" w:hAnsi="Arial"/>
          <w:sz w:val="26"/>
          <w:szCs w:val="26"/>
        </w:rPr>
        <w:t xml:space="preserve">Seguridad e Higiene Laboral</w:t>
      </w:r>
    </w:p>
    <w:p>
      <w:pPr>
        <w:spacing w:after="200"/>
        <w:jc w:val="center"/>
      </w:pPr>
      <w:r>
        <w:rPr>
          <w:rFonts w:ascii="Arial" w:cs="Arial" w:eastAsia="Arial" w:hAnsi="Arial"/>
          <w:b/>
          <w:bCs/>
          <w:sz w:val="26"/>
          <w:szCs w:val="26"/>
        </w:rPr>
        <w:t xml:space="preserve">Materia: </w:t>
      </w:r>
      <w:r>
        <w:rPr>
          <w:rFonts w:ascii="Arial" w:cs="Arial" w:eastAsia="Arial" w:hAnsi="Arial"/>
          <w:sz w:val="26"/>
          <w:szCs w:val="26"/>
          <w:highlight w:val="yellow"/>
          <w:highlightCs w:val="yellow"/>
        </w:rPr>
        <w:t xml:space="preserve">[Completar materia]</w:t>
      </w:r>
    </w:p>
    <w:p>
      <w:pPr>
        <w:spacing w:after="200"/>
        <w:jc w:val="center"/>
      </w:pPr>
      <w:r>
        <w:rPr>
          <w:rFonts w:ascii="Arial" w:cs="Arial" w:eastAsia="Arial" w:hAnsi="Arial"/>
          <w:b/>
          <w:bCs/>
          <w:sz w:val="26"/>
          <w:szCs w:val="26"/>
        </w:rPr>
        <w:t xml:space="preserve">Estudiante: </w:t>
      </w:r>
      <w:r>
        <w:rPr>
          <w:rFonts w:ascii="Arial" w:cs="Arial" w:eastAsia="Arial" w:hAnsi="Arial"/>
          <w:sz w:val="26"/>
          <w:szCs w:val="26"/>
          <w:highlight w:val="yellow"/>
          <w:highlightCs w:val="yellow"/>
        </w:rPr>
        <w:t xml:space="preserve">[Completar nombre y apellido]</w:t>
      </w:r>
    </w:p>
    <w:p>
      <w:pPr>
        <w:spacing w:after="200"/>
        <w:jc w:val="center"/>
      </w:pPr>
      <w:r>
        <w:rPr>
          <w:rFonts w:ascii="Arial" w:cs="Arial" w:eastAsia="Arial" w:hAnsi="Arial"/>
          <w:b/>
          <w:bCs/>
          <w:sz w:val="26"/>
          <w:szCs w:val="26"/>
        </w:rPr>
        <w:t xml:space="preserve">Institución: </w:t>
      </w:r>
      <w:r>
        <w:rPr>
          <w:rFonts w:ascii="Arial" w:cs="Arial" w:eastAsia="Arial" w:hAnsi="Arial"/>
          <w:sz w:val="26"/>
          <w:szCs w:val="26"/>
          <w:highlight w:val="yellow"/>
          <w:highlightCs w:val="yellow"/>
        </w:rPr>
        <w:t xml:space="preserve">[Completar institución]</w:t>
      </w:r>
    </w:p>
    <w:p>
      <w:pPr>
        <w:spacing w:after="200"/>
        <w:jc w:val="center"/>
      </w:pPr>
      <w:r>
        <w:rPr>
          <w:rFonts w:ascii="Arial" w:cs="Arial" w:eastAsia="Arial" w:hAnsi="Arial"/>
          <w:b/>
          <w:bCs/>
          <w:sz w:val="26"/>
          <w:szCs w:val="26"/>
        </w:rPr>
        <w:t xml:space="preserve">Fecha: </w:t>
      </w:r>
      <w:r>
        <w:rPr>
          <w:rFonts w:ascii="Arial" w:cs="Arial" w:eastAsia="Arial" w:hAnsi="Arial"/>
          <w:sz w:val="26"/>
          <w:szCs w:val="26"/>
          <w:highlight w:val="yellow"/>
          <w:highlightCs w:val="yellow"/>
        </w:rPr>
        <w:t xml:space="preserve">[Completar fecha de entrega]</w:t>
      </w:r>
    </w:p>
    <w:p>
      <w:pPr>
        <w:spacing w:before="900"/>
        <w:jc w:val="center"/>
      </w:pPr>
      <w:r>
        <w:rPr>
          <w:rFonts w:ascii="Arial" w:cs="Arial" w:eastAsia="Arial" w:hAnsi="Arial"/>
          <w:i/>
          <w:iCs/>
          <w:color w:val="7F7F7F"/>
          <w:sz w:val="18"/>
          <w:szCs w:val="18"/>
        </w:rPr>
        <w:t xml:space="preserve">Los campos resaltados deben completarse: no fueron provistos.</w:t>
      </w:r>
    </w:p>
    <w:p>
      <w:pPr>
        <w:sectPr>
          <w:pgSz w:w="11906" w:h="16838" w:orient="portrait"/>
          <w:pgMar w:top="1440" w:right="1440" w:bottom="1440" w:left="1440" w:header="708" w:footer="708" w:gutter="0"/>
          <w:pgNumType/>
          <w:docGrid w:linePitch="360"/>
        </w:sectPr>
      </w:pPr>
    </w:p>
    <w:p>
      <w:pPr>
        <w:spacing w:after="200"/>
      </w:pPr>
      <w:r>
        <w:rPr>
          <w:rFonts w:ascii="Arial" w:cs="Arial" w:eastAsia="Arial" w:hAnsi="Arial"/>
          <w:b/>
          <w:bCs/>
          <w:color w:val="1F386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60" w:before="60"/>
        <w:jc w:val="left"/>
      </w:pPr>
      <w:r>
        <w:rPr>
          <w:rFonts w:ascii="Arial" w:cs="Arial" w:eastAsia="Arial" w:hAnsi="Arial"/>
          <w:i/>
          <w:iCs/>
          <w:color w:val="404040"/>
          <w:sz w:val="20"/>
          <w:szCs w:val="20"/>
        </w:rPr>
        <w:t xml:space="preserve">Si el índice aparece vacío, hacer clic derecho sobre él y elegir «Actualizar campo» (o aceptar la actualización al abrir el archivo).</w:t>
      </w:r>
    </w:p>
    <w:p>
      <w:r>
        <w:br w:type="page"/>
      </w:r>
    </w:p>
    <w:p>
      <w:pPr>
        <w:pStyle w:val="Heading1"/>
        <w:spacing w:after="160" w:before="360"/>
      </w:pPr>
      <w:r>
        <w:rPr>
          <w:rFonts w:ascii="Arial" w:cs="Arial" w:eastAsia="Arial" w:hAnsi="Arial"/>
          <w:b/>
          <w:bCs/>
          <w:color w:val="1F3864"/>
          <w:sz w:val="30"/>
          <w:szCs w:val="30"/>
        </w:rPr>
        <w:t xml:space="preserve">1. Introducción</w:t>
      </w:r>
    </w:p>
    <w:p>
      <w:pPr>
        <w:spacing w:after="120" w:line="300"/>
        <w:jc w:val="both"/>
      </w:pPr>
      <w:r>
        <w:rPr>
          <w:rFonts w:ascii="Arial" w:cs="Arial" w:eastAsia="Arial" w:hAnsi="Arial"/>
          <w:sz w:val="22"/>
          <w:szCs w:val="22"/>
        </w:rPr>
        <w:t xml:space="preserve">La Seguridad e Higiene Laboral tiene como finalidad prevenir accidentes de trabajo y enfermedades profesionales mediante la identificación de peligros, la evaluación de riesgos y la adopción de medidas de control. En la Argentina, la Ley 24.557 sobre Riesgos del Trabajo establece entre sus objetivos fundamentales la reducción de la siniestralidad a través de la prevención de los riesgos derivados del trabajo (art. 1, ap. 2, inc. a) [12]. Esa ley atribuye además obligaciones de prevención a las Aseguradoras de Riesgos del Trabajo (ART), a los empleadores y a los trabajadores (art. 4, ap. 1) [10].</w:t>
      </w:r>
    </w:p>
    <w:p>
      <w:pPr>
        <w:spacing w:after="120" w:line="300"/>
        <w:jc w:val="both"/>
      </w:pPr>
      <w:r>
        <w:rPr>
          <w:rFonts w:ascii="Arial" w:cs="Arial" w:eastAsia="Arial" w:hAnsi="Arial"/>
          <w:sz w:val="22"/>
          <w:szCs w:val="22"/>
        </w:rPr>
        <w:t xml:space="preserve">El presente informe estudia la accidentabilidad laboral vinculada a la industria de la provincia de Misiones y su relación con el sistema de ART durante 2021-2025. Se eligió Misiones por ser el ámbito geográfico definido en la consigna del trabajo, y la industria manufacturera por ser el nivel de agregación sectorial para el cual se dispone de referencias nacionales en el material de partida. La actividad de papel y celulosa se incorpora como caso de interés técnico.</w:t>
      </w:r>
    </w:p>
    <w:p>
      <w:pPr>
        <w:spacing w:after="120" w:line="300"/>
        <w:jc w:val="both"/>
      </w:pPr>
      <w:r>
        <w:rPr>
          <w:rFonts w:ascii="Arial" w:cs="Arial" w:eastAsia="Arial" w:hAnsi="Arial"/>
          <w:b/>
          <w:bCs/>
          <w:sz w:val="22"/>
          <w:szCs w:val="22"/>
        </w:rPr>
        <w:t xml:space="preserve">Aclaración central:</w:t>
      </w:r>
      <w:r>
        <w:rPr>
          <w:rFonts w:ascii="Arial" w:cs="Arial" w:eastAsia="Arial" w:hAnsi="Arial"/>
          <w:sz w:val="22"/>
          <w:szCs w:val="22"/>
        </w:rPr>
        <w:t xml:space="preserve"> no se dispone, en el material utilizado ni en la consulta realizada, de estadísticas específicas de accidentabilidad del subsector papel y celulosa ni de la industria manufacturera de Misiones. Por ello, el análisis de riesgos de ese subsector es de carácter técnico y conceptual, y no estadístico.</w:t>
      </w:r>
    </w:p>
    <w:p>
      <w:pPr>
        <w:pStyle w:val="Heading1"/>
        <w:spacing w:after="160" w:before="360"/>
      </w:pPr>
      <w:r>
        <w:rPr>
          <w:rFonts w:ascii="Arial" w:cs="Arial" w:eastAsia="Arial" w:hAnsi="Arial"/>
          <w:b/>
          <w:bCs/>
          <w:color w:val="1F3864"/>
          <w:sz w:val="30"/>
          <w:szCs w:val="30"/>
        </w:rPr>
        <w:t xml:space="preserve">2. Planteamiento del problema</w:t>
      </w:r>
    </w:p>
    <w:p>
      <w:pPr>
        <w:spacing w:after="120" w:line="300"/>
        <w:jc w:val="both"/>
      </w:pPr>
      <w:r>
        <w:rPr>
          <w:rFonts w:ascii="Arial" w:cs="Arial" w:eastAsia="Arial" w:hAnsi="Arial"/>
          <w:sz w:val="22"/>
          <w:szCs w:val="22"/>
        </w:rPr>
        <w:t xml:space="preserve">Evaluar la accidentabilidad exige series homogéneas, desagregadas por provincia, sector y actividad económica, expresadas en índices que consideren la población cubierta. La información pública disponible tiene limitaciones: los informes nacionales de la SRT presentan totales del sistema y de unidades productivas [1][2], y las cifras provinciales halladas en el material de partida no pudieron vincularse a un informe primario ni a una definición de categoría verificable.</w:t>
      </w:r>
    </w:p>
    <w:p>
      <w:pPr>
        <w:spacing w:after="120" w:line="300"/>
        <w:jc w:val="both"/>
      </w:pPr>
      <w:r>
        <w:rPr>
          <w:rFonts w:ascii="Arial" w:cs="Arial" w:eastAsia="Arial" w:hAnsi="Arial"/>
          <w:sz w:val="22"/>
          <w:szCs w:val="22"/>
        </w:rPr>
        <w:t xml:space="preserve">Con esas limitaciones, el problema de investigación se formula como interrogante abierto:</w:t>
      </w:r>
    </w:p>
    <w:p>
      <w:pPr>
        <w:spacing w:after="120" w:line="300"/>
        <w:jc w:val="both"/>
      </w:pPr>
      <w:r>
        <w:rPr>
          <w:rFonts w:ascii="Arial" w:cs="Arial" w:eastAsia="Arial" w:hAnsi="Arial"/>
          <w:i/>
          <w:iCs/>
          <w:sz w:val="22"/>
          <w:szCs w:val="22"/>
        </w:rPr>
        <w:t xml:space="preserve">¿Qué indicadores de accidentabilidad de Misiones están documentados para 2021-2025, en qué medida son comparables con las referencias nacionales de la industria manufacturera y qué puede afirmarse, sobre esa base, acerca de la relación entre prevención, siniestralidad y funcionamiento del sistema de ART?</w:t>
      </w:r>
    </w:p>
    <w:p>
      <w:pPr>
        <w:pStyle w:val="Heading1"/>
        <w:spacing w:after="160" w:before="360"/>
      </w:pPr>
      <w:r>
        <w:rPr>
          <w:rFonts w:ascii="Arial" w:cs="Arial" w:eastAsia="Arial" w:hAnsi="Arial"/>
          <w:b/>
          <w:bCs/>
          <w:color w:val="1F3864"/>
          <w:sz w:val="30"/>
          <w:szCs w:val="30"/>
        </w:rPr>
        <w:t xml:space="preserve">3. Objetivos</w:t>
      </w:r>
    </w:p>
    <w:p>
      <w:pPr>
        <w:pStyle w:val="Heading2"/>
        <w:spacing w:after="120" w:before="240"/>
      </w:pPr>
      <w:r>
        <w:rPr>
          <w:rFonts w:ascii="Arial" w:cs="Arial" w:eastAsia="Arial" w:hAnsi="Arial"/>
          <w:b/>
          <w:bCs/>
          <w:color w:val="2F5496"/>
          <w:sz w:val="25"/>
          <w:szCs w:val="25"/>
        </w:rPr>
        <w:t xml:space="preserve">3.1. Objetivo general</w:t>
      </w:r>
    </w:p>
    <w:p>
      <w:pPr>
        <w:spacing w:after="120" w:line="300"/>
        <w:jc w:val="both"/>
      </w:pPr>
      <w:r>
        <w:rPr>
          <w:rFonts w:ascii="Arial" w:cs="Arial" w:eastAsia="Arial" w:hAnsi="Arial"/>
          <w:sz w:val="22"/>
          <w:szCs w:val="22"/>
        </w:rPr>
        <w:t xml:space="preserve">Analizar la accidentabilidad laboral en Misiones durante 2021-2025, contextualizarla con las estadísticas nacionales de la industria manufacturera y estudiar la relación entre prevención, siniestralidad y funcionamiento del sistema de ART.</w:t>
      </w:r>
    </w:p>
    <w:p>
      <w:pPr>
        <w:pStyle w:val="Heading2"/>
        <w:spacing w:after="120" w:before="240"/>
      </w:pPr>
      <w:r>
        <w:rPr>
          <w:rFonts w:ascii="Arial" w:cs="Arial" w:eastAsia="Arial" w:hAnsi="Arial"/>
          <w:b/>
          <w:bCs/>
          <w:color w:val="2F5496"/>
          <w:sz w:val="25"/>
          <w:szCs w:val="25"/>
        </w:rPr>
        <w:t xml:space="preserve">3.2. Objetivos específicos</w:t>
      </w:r>
    </w:p>
    <w:p>
      <w:pPr>
        <w:pStyle w:val="ListParagraph"/>
        <w:numPr>
          <w:ilvl w:val="0"/>
          <w:numId w:val="2"/>
        </w:numPr>
        <w:spacing w:after="80" w:line="290"/>
        <w:jc w:val="left"/>
      </w:pPr>
      <w:r>
        <w:rPr>
          <w:rFonts w:ascii="Arial" w:cs="Arial" w:eastAsia="Arial" w:hAnsi="Arial"/>
          <w:sz w:val="22"/>
          <w:szCs w:val="22"/>
        </w:rPr>
        <w:t xml:space="preserve">Describir la evolución de los indicadores disponibles de accidentabilidad en Misiones.</w:t>
      </w:r>
    </w:p>
    <w:p>
      <w:pPr>
        <w:pStyle w:val="ListParagraph"/>
        <w:numPr>
          <w:ilvl w:val="0"/>
          <w:numId w:val="2"/>
        </w:numPr>
        <w:spacing w:after="80" w:line="290"/>
        <w:jc w:val="left"/>
      </w:pPr>
      <w:r>
        <w:rPr>
          <w:rFonts w:ascii="Arial" w:cs="Arial" w:eastAsia="Arial" w:hAnsi="Arial"/>
          <w:sz w:val="22"/>
          <w:szCs w:val="22"/>
        </w:rPr>
        <w:t xml:space="preserve">Comparar los datos provinciales con referencias nacionales de la industria manufacturera.</w:t>
      </w:r>
    </w:p>
    <w:p>
      <w:pPr>
        <w:pStyle w:val="ListParagraph"/>
        <w:numPr>
          <w:ilvl w:val="0"/>
          <w:numId w:val="2"/>
        </w:numPr>
        <w:spacing w:after="80" w:line="290"/>
        <w:jc w:val="left"/>
      </w:pPr>
      <w:r>
        <w:rPr>
          <w:rFonts w:ascii="Arial" w:cs="Arial" w:eastAsia="Arial" w:hAnsi="Arial"/>
          <w:sz w:val="22"/>
          <w:szCs w:val="22"/>
        </w:rPr>
        <w:t xml:space="preserve">Explicar el funcionamiento del sistema ART.</w:t>
      </w:r>
    </w:p>
    <w:p>
      <w:pPr>
        <w:pStyle w:val="ListParagraph"/>
        <w:numPr>
          <w:ilvl w:val="0"/>
          <w:numId w:val="2"/>
        </w:numPr>
        <w:spacing w:after="80" w:line="290"/>
        <w:jc w:val="left"/>
      </w:pPr>
      <w:r>
        <w:rPr>
          <w:rFonts w:ascii="Arial" w:cs="Arial" w:eastAsia="Arial" w:hAnsi="Arial"/>
          <w:sz w:val="22"/>
          <w:szCs w:val="22"/>
        </w:rPr>
        <w:t xml:space="preserve">Analizar la composición de la cuota y los factores que influyen en las alícuotas.</w:t>
      </w:r>
    </w:p>
    <w:p>
      <w:pPr>
        <w:pStyle w:val="ListParagraph"/>
        <w:numPr>
          <w:ilvl w:val="0"/>
          <w:numId w:val="2"/>
        </w:numPr>
        <w:spacing w:after="80" w:line="290"/>
        <w:jc w:val="left"/>
      </w:pPr>
      <w:r>
        <w:rPr>
          <w:rFonts w:ascii="Arial" w:cs="Arial" w:eastAsia="Arial" w:hAnsi="Arial"/>
          <w:sz w:val="22"/>
          <w:szCs w:val="22"/>
        </w:rPr>
        <w:t xml:space="preserve">Identificar riesgos laborales característicos de la industria de papel y celulosa.</w:t>
      </w:r>
    </w:p>
    <w:p>
      <w:pPr>
        <w:pStyle w:val="ListParagraph"/>
        <w:numPr>
          <w:ilvl w:val="0"/>
          <w:numId w:val="2"/>
        </w:numPr>
        <w:spacing w:after="80" w:line="290"/>
        <w:jc w:val="left"/>
      </w:pPr>
      <w:r>
        <w:rPr>
          <w:rFonts w:ascii="Arial" w:cs="Arial" w:eastAsia="Arial" w:hAnsi="Arial"/>
          <w:sz w:val="22"/>
          <w:szCs w:val="22"/>
        </w:rPr>
        <w:t xml:space="preserve">Examinar la normativa relevante del período 2021-2025.</w:t>
      </w:r>
    </w:p>
    <w:p>
      <w:pPr>
        <w:pStyle w:val="ListParagraph"/>
        <w:numPr>
          <w:ilvl w:val="0"/>
          <w:numId w:val="2"/>
        </w:numPr>
        <w:spacing w:after="80" w:line="290"/>
        <w:jc w:val="left"/>
      </w:pPr>
      <w:r>
        <w:rPr>
          <w:rFonts w:ascii="Arial" w:cs="Arial" w:eastAsia="Arial" w:hAnsi="Arial"/>
          <w:sz w:val="22"/>
          <w:szCs w:val="22"/>
        </w:rPr>
        <w:t xml:space="preserve">Reconocer las limitaciones estadísticas y proponer líneas de mejora para la prevención.</w:t>
      </w:r>
    </w:p>
    <w:p>
      <w:pPr>
        <w:pStyle w:val="Heading1"/>
        <w:spacing w:after="160" w:before="360"/>
      </w:pPr>
      <w:r>
        <w:rPr>
          <w:rFonts w:ascii="Arial" w:cs="Arial" w:eastAsia="Arial" w:hAnsi="Arial"/>
          <w:b/>
          <w:bCs/>
          <w:color w:val="1F3864"/>
          <w:sz w:val="30"/>
          <w:szCs w:val="30"/>
        </w:rPr>
        <w:t xml:space="preserve">4. Metodología</w:t>
      </w:r>
    </w:p>
    <w:p>
      <w:pPr>
        <w:spacing w:after="120" w:line="300"/>
        <w:jc w:val="both"/>
      </w:pPr>
      <w:r>
        <w:rPr>
          <w:rFonts w:ascii="Arial" w:cs="Arial" w:eastAsia="Arial" w:hAnsi="Arial"/>
          <w:sz w:val="22"/>
          <w:szCs w:val="22"/>
        </w:rPr>
        <w:t xml:space="preserve">El trabajo es una </w:t>
      </w:r>
      <w:r>
        <w:rPr>
          <w:rFonts w:ascii="Arial" w:cs="Arial" w:eastAsia="Arial" w:hAnsi="Arial"/>
          <w:b/>
          <w:bCs/>
          <w:sz w:val="22"/>
          <w:szCs w:val="22"/>
        </w:rPr>
        <w:t xml:space="preserve">investigación documental y descriptiva</w:t>
      </w:r>
      <w:r>
        <w:rPr>
          <w:rFonts w:ascii="Arial" w:cs="Arial" w:eastAsia="Arial" w:hAnsi="Arial"/>
          <w:sz w:val="22"/>
          <w:szCs w:val="22"/>
        </w:rPr>
        <w:t xml:space="preserve">, basada en fuentes secundarias: estadísticas oficiales de la SRT, normativa publicada en el Boletín Oficial y en argentina.gob.ar, y fuentes especializadas de apoyo, identificadas como tales en la bibliografía. No se realizaron relevamientos de campo ni entrevistas.</w:t>
      </w:r>
    </w:p>
    <w:p>
      <w:pPr>
        <w:spacing w:after="120" w:line="300"/>
        <w:jc w:val="both"/>
      </w:pPr>
      <w:r>
        <w:rPr>
          <w:rFonts w:ascii="Arial" w:cs="Arial" w:eastAsia="Arial" w:hAnsi="Arial"/>
          <w:b/>
          <w:bCs/>
          <w:sz w:val="22"/>
          <w:szCs w:val="22"/>
        </w:rPr>
        <w:t xml:space="preserve">Sobre el material de partida.</w:t>
      </w:r>
      <w:r>
        <w:rPr>
          <w:rFonts w:ascii="Arial" w:cs="Arial" w:eastAsia="Arial" w:hAnsi="Arial"/>
          <w:sz w:val="22"/>
          <w:szCs w:val="22"/>
        </w:rPr>
        <w:t xml:space="preserve"> La consigna transcribe cifras y una lista de normas provenientes de una investigación documental previa. Ese documento no estuvo disponible como archivo, por lo que las fuentes primarias de dichas cifras no fueron individualizadas. Se las utiliza como «cifras de referencia» y se rotulan como tales. La consulta adicional se realizó el 30/09/2026.</w:t>
      </w:r>
    </w:p>
    <w:p>
      <w:pPr>
        <w:spacing w:after="120" w:line="300"/>
        <w:jc w:val="both"/>
      </w:pPr>
      <w:r>
        <w:rPr>
          <w:rFonts w:ascii="Arial" w:cs="Arial" w:eastAsia="Arial" w:hAnsi="Arial"/>
          <w:b/>
          <w:bCs/>
          <w:sz w:val="22"/>
          <w:szCs w:val="22"/>
        </w:rPr>
        <w:t xml:space="preserve">Criterios de comparación.</w:t>
      </w:r>
      <w:r>
        <w:rPr>
          <w:rFonts w:ascii="Arial" w:cs="Arial" w:eastAsia="Arial" w:hAnsi="Arial"/>
          <w:sz w:val="22"/>
          <w:szCs w:val="22"/>
        </w:rPr>
        <w:t xml:space="preserve"> Solo se comparan cifras cuando coinciden el ámbito geográfico, el período, la categoría estadística y el universo. Cuando esto no puede verificarse, se presentan las cifras sin calcular tendencias.</w:t>
      </w:r>
    </w:p>
    <w:p>
      <w:pPr>
        <w:spacing w:after="120" w:line="300"/>
        <w:jc w:val="both"/>
      </w:pPr>
      <w:r>
        <w:rPr>
          <w:rFonts w:ascii="Arial" w:cs="Arial" w:eastAsia="Arial" w:hAnsi="Arial"/>
          <w:sz w:val="22"/>
          <w:szCs w:val="22"/>
        </w:rPr>
        <w:t xml:space="preserve">Datos faltantes. No se imputan ni se estiman: se consignan como «No disponible». Normas. Cada norma se clasificó como verificada (existencia y contenido confirmados en fuente oficial), parcialmente verificada o pendiente de verificación; a estas últimas no se les atribuye contenido ni efectos.</w:t>
      </w:r>
    </w:p>
    <w:p>
      <w:pPr>
        <w:pStyle w:val="Heading1"/>
        <w:spacing w:after="160" w:before="360"/>
      </w:pPr>
      <w:r>
        <w:rPr>
          <w:rFonts w:ascii="Arial" w:cs="Arial" w:eastAsia="Arial" w:hAnsi="Arial"/>
          <w:b/>
          <w:bCs/>
          <w:color w:val="1F3864"/>
          <w:sz w:val="30"/>
          <w:szCs w:val="30"/>
        </w:rPr>
        <w:t xml:space="preserve">5. Marco teórico: accidentabilidad laboral</w:t>
      </w:r>
    </w:p>
    <w:p>
      <w:pPr>
        <w:spacing w:after="120" w:line="300"/>
        <w:jc w:val="both"/>
      </w:pPr>
      <w:r>
        <w:rPr>
          <w:rFonts w:ascii="Arial" w:cs="Arial" w:eastAsia="Arial" w:hAnsi="Arial"/>
          <w:sz w:val="22"/>
          <w:szCs w:val="22"/>
        </w:rPr>
        <w:t xml:space="preserve">Los informes de la SRT clasifican los casos en categorías como casos notificados, accidentes de trabajo (AT), enfermedades profesionales (EP), accidentes in itinere, reingresos y casos con secuelas incapacitantes, e informan el índice de incidencia como casos cada mil trabajadores cubiertos [1][2]. A continuación se ofrecen definiciones conceptuales.</w:t>
      </w:r>
    </w:p>
    <w:p>
      <w:pPr>
        <w:keepNext/>
        <w:spacing w:after="80" w:before="160"/>
        <w:jc w:val="left"/>
      </w:pPr>
      <w:r>
        <w:rPr>
          <w:rFonts w:ascii="Arial" w:cs="Arial" w:eastAsia="Arial" w:hAnsi="Arial"/>
          <w:b/>
          <w:bCs/>
          <w:sz w:val="19"/>
          <w:szCs w:val="19"/>
        </w:rPr>
        <w:t xml:space="preserve">Tabla 1. Conceptos básicos de accidentabilidad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Término</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Definición conceptual</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Observación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Accidente de trabajo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Evento que lesiona al trabajador por el hecho o en ocasión del trabajo.</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Definición legal a contrastar con el texto de la Ley 24.557 (artículo no verificado en esta consulta).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Enfermedad profesional</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Afección originada por la exposición a agentes de riesgo presentes en el trabajo.</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Su reconocimiento depende del régimen de listado vigente; no analizado aquí.</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Accidente in itinere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Ocurrido en el trayecto entre el domicilio y el lugar de trabajo.</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Los informes de la SRT lo informan como categoría separada [1][2].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Reingreso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Nueva atención o tratamiento de un caso ya registrado.</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Categoría separada en los informes de la SRT [1].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 notificado</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 comunicado a las ART.</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Es la base del «total de casos notificados» [1][2].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 con días de baja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 que generó días de incapacidad laboral temporaria.</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El informe de 2025 agrupa «con días de baja o secuelas incapacitantes» [2].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Secuela incapacitante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Consecuencia permanente que reduce la capacidad laboral.</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Se informa como categoría de casos [1][2].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Índice de incidencia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por cada mil trabajadores cubiertos.</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Ejemplo oficial: 38,4 AT y EP cada mil trabajadores cubiertos en 2017 [1].</w:t>
            </w:r>
          </w:p>
        </w:tc>
      </w:tr>
    </w:tbl>
    <w:p>
      <w:pPr>
        <w:spacing w:after="160" w:before="60"/>
        <w:jc w:val="left"/>
      </w:pPr>
      <w:r>
        <w:rPr>
          <w:rFonts w:ascii="Arial" w:cs="Arial" w:eastAsia="Arial" w:hAnsi="Arial"/>
          <w:i/>
          <w:iCs/>
          <w:color w:val="404040"/>
          <w:sz w:val="20"/>
          <w:szCs w:val="20"/>
        </w:rPr>
        <w:t xml:space="preserve">Nota: el glosario oficial de la SRT no pudo consultarse como documento independiente; las definiciones son conceptuales y las categorías estadísticas se observaron en [1] y [2].</w:t>
      </w:r>
    </w:p>
    <w:p>
      <w:pPr>
        <w:pStyle w:val="Heading2"/>
        <w:spacing w:after="120" w:before="240"/>
      </w:pPr>
      <w:r>
        <w:rPr>
          <w:rFonts w:ascii="Arial" w:cs="Arial" w:eastAsia="Arial" w:hAnsi="Arial"/>
          <w:b/>
          <w:bCs/>
          <w:color w:val="2F5496"/>
          <w:sz w:val="25"/>
          <w:szCs w:val="25"/>
        </w:rPr>
        <w:t xml:space="preserve">5.1. Por qué no deben compararse cantidades absolutas</w:t>
      </w:r>
    </w:p>
    <w:p>
      <w:pPr>
        <w:pStyle w:val="ListParagraph"/>
        <w:numPr>
          <w:ilvl w:val="0"/>
          <w:numId w:val="2"/>
        </w:numPr>
        <w:spacing w:after="80" w:line="290"/>
        <w:jc w:val="left"/>
      </w:pPr>
      <w:r>
        <w:rPr>
          <w:rFonts w:ascii="Arial" w:cs="Arial" w:eastAsia="Arial" w:hAnsi="Arial"/>
          <w:b/>
          <w:bCs/>
          <w:sz w:val="22"/>
          <w:szCs w:val="22"/>
        </w:rPr>
        <w:t xml:space="preserve">Población cubierta:</w:t>
      </w:r>
      <w:r>
        <w:rPr>
          <w:rFonts w:ascii="Arial" w:cs="Arial" w:eastAsia="Arial" w:hAnsi="Arial"/>
          <w:sz w:val="22"/>
          <w:szCs w:val="22"/>
        </w:rPr>
        <w:t xml:space="preserve"> un mayor número de casos puede reflejar más trabajadores cubiertos y no un mayor riesgo. Por eso se usan índices por mil trabajadores cubiertos [1].</w:t>
      </w:r>
    </w:p>
    <w:p>
      <w:pPr>
        <w:pStyle w:val="ListParagraph"/>
        <w:numPr>
          <w:ilvl w:val="0"/>
          <w:numId w:val="2"/>
        </w:numPr>
        <w:spacing w:after="80" w:line="290"/>
        <w:jc w:val="left"/>
      </w:pPr>
      <w:r>
        <w:rPr>
          <w:rFonts w:ascii="Arial" w:cs="Arial" w:eastAsia="Arial" w:hAnsi="Arial"/>
          <w:b/>
          <w:bCs/>
          <w:sz w:val="22"/>
          <w:szCs w:val="22"/>
        </w:rPr>
        <w:t xml:space="preserve">Períodos:</w:t>
      </w:r>
      <w:r>
        <w:rPr>
          <w:rFonts w:ascii="Arial" w:cs="Arial" w:eastAsia="Arial" w:hAnsi="Arial"/>
          <w:sz w:val="22"/>
          <w:szCs w:val="22"/>
        </w:rPr>
        <w:t xml:space="preserve"> un acumulado parcial (por ejemplo, enero-septiembre) no equivale a un año completo.</w:t>
      </w:r>
    </w:p>
    <w:p>
      <w:pPr>
        <w:pStyle w:val="ListParagraph"/>
        <w:numPr>
          <w:ilvl w:val="0"/>
          <w:numId w:val="2"/>
        </w:numPr>
        <w:spacing w:after="80" w:line="290"/>
        <w:jc w:val="left"/>
      </w:pPr>
      <w:r>
        <w:rPr>
          <w:rFonts w:ascii="Arial" w:cs="Arial" w:eastAsia="Arial" w:hAnsi="Arial"/>
          <w:b/>
          <w:bCs/>
          <w:sz w:val="22"/>
          <w:szCs w:val="22"/>
        </w:rPr>
        <w:t xml:space="preserve">Categorías:</w:t>
      </w:r>
      <w:r>
        <w:rPr>
          <w:rFonts w:ascii="Arial" w:cs="Arial" w:eastAsia="Arial" w:hAnsi="Arial"/>
          <w:sz w:val="22"/>
          <w:szCs w:val="22"/>
        </w:rPr>
        <w:t xml:space="preserve"> «casos notificados», «casos con baja» y «AT y EP» son universos distintos; incluir o no los in itinere también modifica el total [2].</w:t>
      </w:r>
    </w:p>
    <w:p>
      <w:pPr>
        <w:pStyle w:val="ListParagraph"/>
        <w:numPr>
          <w:ilvl w:val="0"/>
          <w:numId w:val="2"/>
        </w:numPr>
        <w:spacing w:after="80" w:line="290"/>
        <w:jc w:val="left"/>
      </w:pPr>
      <w:r>
        <w:rPr>
          <w:rFonts w:ascii="Arial" w:cs="Arial" w:eastAsia="Arial" w:hAnsi="Arial"/>
          <w:b/>
          <w:bCs/>
          <w:sz w:val="22"/>
          <w:szCs w:val="22"/>
        </w:rPr>
        <w:t xml:space="preserve">Criterios estadísticos:</w:t>
      </w:r>
      <w:r>
        <w:rPr>
          <w:rFonts w:ascii="Arial" w:cs="Arial" w:eastAsia="Arial" w:hAnsi="Arial"/>
          <w:sz w:val="22"/>
          <w:szCs w:val="22"/>
        </w:rPr>
        <w:t xml:space="preserve"> el informe provisorio de 2025 señala que los casos de COVID-19 se excluyeron hasta el 31/12/2023 y, desde enero de 2024, se clasifican dentro de las enfermedades infecciosas y parasitarias del CIE-10 [2]. Este cambio metodológico limita la comparación entre series que cruzan esa fecha.</w:t>
      </w:r>
    </w:p>
    <w:p>
      <w:pPr>
        <w:pStyle w:val="Heading1"/>
        <w:spacing w:after="160" w:before="360"/>
      </w:pPr>
      <w:r>
        <w:rPr>
          <w:rFonts w:ascii="Arial" w:cs="Arial" w:eastAsia="Arial" w:hAnsi="Arial"/>
          <w:b/>
          <w:bCs/>
          <w:color w:val="1F3864"/>
          <w:sz w:val="30"/>
          <w:szCs w:val="30"/>
        </w:rPr>
        <w:t xml:space="preserve">6. Estadísticas de Misiones 2021-2025</w:t>
      </w:r>
    </w:p>
    <w:p>
      <w:pPr>
        <w:spacing w:after="120" w:line="300"/>
        <w:jc w:val="both"/>
      </w:pPr>
      <w:r>
        <w:rPr>
          <w:rFonts w:ascii="Arial" w:cs="Arial" w:eastAsia="Arial" w:hAnsi="Arial"/>
          <w:sz w:val="22"/>
          <w:szCs w:val="22"/>
        </w:rPr>
        <w:t xml:space="preserve">Las siguientes cifras provienen del material de partida. </w:t>
      </w:r>
      <w:r>
        <w:rPr>
          <w:rFonts w:ascii="Arial" w:cs="Arial" w:eastAsia="Arial" w:hAnsi="Arial"/>
          <w:b/>
          <w:bCs/>
          <w:sz w:val="22"/>
          <w:szCs w:val="22"/>
        </w:rPr>
        <w:t xml:space="preserve">No se logró localizar el informe primario de cada cifra ni confirmar la categoría estadística que representan</w:t>
      </w:r>
      <w:r>
        <w:rPr>
          <w:rFonts w:ascii="Arial" w:cs="Arial" w:eastAsia="Arial" w:hAnsi="Arial"/>
          <w:sz w:val="22"/>
          <w:szCs w:val="22"/>
        </w:rPr>
        <w:t xml:space="preserve"> (casos notificados, casos con baja u otra). Se presentan como cifras de referencia [M].</w:t>
      </w:r>
    </w:p>
    <w:p>
      <w:pPr>
        <w:keepNext/>
        <w:spacing w:after="80" w:before="160"/>
        <w:jc w:val="left"/>
      </w:pPr>
      <w:r>
        <w:rPr>
          <w:rFonts w:ascii="Arial" w:cs="Arial" w:eastAsia="Arial" w:hAnsi="Arial"/>
          <w:b/>
          <w:bCs/>
          <w:sz w:val="19"/>
          <w:szCs w:val="19"/>
        </w:rPr>
        <w:t xml:space="preserve">Tabla 2. Cifras de referencia de Misiones (fuente primaria no verificada)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400"/>
        <w:gridCol w:w="2726"/>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Período</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Indicador según el material</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Cifra</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Verificación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Enero-junio 2022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3.642</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parcial.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Enero-junio 2023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4.031</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parcial.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Año 2024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(«según la cifra citada»)</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5.258</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anual.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Enero-septiembre 2025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(«según la cifra citada»)</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5.525</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parcial.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Enero-septiembre 2024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de mujeres trabajadoras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829</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parcial.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Enero-septiembre 2025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de mujeres trabajadoras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986</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parcial.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base no especificado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Variación informada de casos con días de baja</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6,9%</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Se desconoce el período de comparación.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Enero-septiembre 2025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Secuelas incapacitantes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856</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parcial. Categoría no verificada.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Período base no especificado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Variación informada de secuelas incapacitantes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28,3%</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Se desconoce el período de comparación.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2021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Cualquier indicador de Misiones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c>
          <w:tcPr>
            <w:tcW w:type="dxa" w:w="2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Sin dato en el material.</w:t>
            </w:r>
          </w:p>
        </w:tc>
      </w:tr>
    </w:tbl>
    <w:p>
      <w:pPr>
        <w:pStyle w:val="Heading2"/>
        <w:spacing w:after="120" w:before="240"/>
      </w:pPr>
      <w:r>
        <w:rPr>
          <w:rFonts w:ascii="Arial" w:cs="Arial" w:eastAsia="Arial" w:hAnsi="Arial"/>
          <w:b/>
          <w:bCs/>
          <w:color w:val="2F5496"/>
          <w:sz w:val="25"/>
          <w:szCs w:val="25"/>
        </w:rPr>
        <w:t xml:space="preserve">6.1. Qué puede y qué no puede afirmarse</w:t>
      </w:r>
    </w:p>
    <w:p>
      <w:pPr>
        <w:pStyle w:val="ListParagraph"/>
        <w:numPr>
          <w:ilvl w:val="0"/>
          <w:numId w:val="2"/>
        </w:numPr>
        <w:spacing w:after="80" w:line="290"/>
        <w:jc w:val="left"/>
      </w:pPr>
      <w:r>
        <w:rPr>
          <w:rFonts w:ascii="Arial" w:cs="Arial" w:eastAsia="Arial" w:hAnsi="Arial"/>
          <w:sz w:val="22"/>
          <w:szCs w:val="22"/>
        </w:rPr>
        <w:t xml:space="preserve">Los pares de períodos equivalentes son enero-junio 2022 con 2023, y enero-septiembre 2024 con 2025 (mujeres). Aun así, al no poder confirmar la categoría ni la fuente, </w:t>
      </w:r>
      <w:r>
        <w:rPr>
          <w:rFonts w:ascii="Arial" w:cs="Arial" w:eastAsia="Arial" w:hAnsi="Arial"/>
          <w:b/>
          <w:bCs/>
          <w:sz w:val="22"/>
          <w:szCs w:val="22"/>
        </w:rPr>
        <w:t xml:space="preserve">no se calculan variaciones ni tendencias</w:t>
      </w:r>
      <w:r>
        <w:rPr>
          <w:rFonts w:ascii="Arial" w:cs="Arial" w:eastAsia="Arial" w:hAnsi="Arial"/>
          <w:sz w:val="22"/>
          <w:szCs w:val="22"/>
        </w:rPr>
        <w:t xml:space="preserve">.</w:t>
      </w:r>
    </w:p>
    <w:p>
      <w:pPr>
        <w:pStyle w:val="ListParagraph"/>
        <w:numPr>
          <w:ilvl w:val="0"/>
          <w:numId w:val="2"/>
        </w:numPr>
        <w:spacing w:after="80" w:line="290"/>
        <w:jc w:val="left"/>
      </w:pPr>
      <w:r>
        <w:rPr>
          <w:rFonts w:ascii="Arial" w:cs="Arial" w:eastAsia="Arial" w:hAnsi="Arial"/>
          <w:sz w:val="22"/>
          <w:szCs w:val="22"/>
        </w:rPr>
        <w:t xml:space="preserve">La cifra de enero-septiembre 2025 (5.525) es superior a la de todo 2024 (5.258), aunque cubre nueve meses. Podría deberse a un aumento real, a categorías o criterios distintos, o a que las cifras provienen de fuentes diferentes. </w:t>
      </w:r>
      <w:r>
        <w:rPr>
          <w:rFonts w:ascii="Arial" w:cs="Arial" w:eastAsia="Arial" w:hAnsi="Arial"/>
          <w:b/>
          <w:bCs/>
          <w:sz w:val="22"/>
          <w:szCs w:val="22"/>
        </w:rPr>
        <w:t xml:space="preserve">El material no permite resolver esta contradicción aparente</w:t>
      </w:r>
      <w:r>
        <w:rPr>
          <w:rFonts w:ascii="Arial" w:cs="Arial" w:eastAsia="Arial" w:hAnsi="Arial"/>
          <w:sz w:val="22"/>
          <w:szCs w:val="22"/>
        </w:rPr>
        <w:t xml:space="preserve"> y por eso no se interpreta.</w:t>
      </w:r>
    </w:p>
    <w:p>
      <w:pPr>
        <w:pStyle w:val="ListParagraph"/>
        <w:numPr>
          <w:ilvl w:val="0"/>
          <w:numId w:val="2"/>
        </w:numPr>
        <w:spacing w:after="80" w:line="290"/>
        <w:jc w:val="left"/>
      </w:pPr>
      <w:r>
        <w:rPr>
          <w:rFonts w:ascii="Arial" w:cs="Arial" w:eastAsia="Arial" w:hAnsi="Arial"/>
          <w:sz w:val="22"/>
          <w:szCs w:val="22"/>
        </w:rPr>
        <w:t xml:space="preserve">Las variaciones de 6,9% y 28,3% se reproducen tal como fueron informadas. No se conoce su período base, por lo que no deben usarse para inferir causas.</w:t>
      </w:r>
    </w:p>
    <w:p>
      <w:pPr>
        <w:pStyle w:val="ListParagraph"/>
        <w:numPr>
          <w:ilvl w:val="0"/>
          <w:numId w:val="2"/>
        </w:numPr>
        <w:spacing w:after="80" w:line="290"/>
        <w:jc w:val="left"/>
      </w:pPr>
      <w:r>
        <w:rPr>
          <w:rFonts w:ascii="Arial" w:cs="Arial" w:eastAsia="Arial" w:hAnsi="Arial"/>
          <w:sz w:val="22"/>
          <w:szCs w:val="22"/>
        </w:rPr>
        <w:t xml:space="preserve">No existe en el material una serie anual completa y homogénea para 2021-2025 en Misiones. No hay dato anual de Misiones para 2021, 2022 ni 2023 (solo parciales de 2022 y 2023 en el material) ni cifra anual completa para 2025.</w:t>
      </w:r>
    </w:p>
    <w:p>
      <w:pPr>
        <w:pStyle w:val="ListParagraph"/>
        <w:numPr>
          <w:ilvl w:val="0"/>
          <w:numId w:val="2"/>
        </w:numPr>
        <w:spacing w:after="80" w:line="290"/>
        <w:jc w:val="left"/>
      </w:pPr>
      <w:r>
        <w:rPr>
          <w:rFonts w:ascii="Arial" w:cs="Arial" w:eastAsia="Arial" w:hAnsi="Arial"/>
          <w:sz w:val="22"/>
          <w:szCs w:val="22"/>
        </w:rPr>
        <w:t xml:space="preserve">Ninguna de estas cifras corresponde a la industria manufacturera de Misiones ni a papel y celulosa: el material no las desagrega por sector.</w:t>
      </w:r>
    </w:p>
    <w:p>
      <w:pPr>
        <w:pStyle w:val="Heading1"/>
        <w:spacing w:after="160" w:before="360"/>
      </w:pPr>
      <w:r>
        <w:rPr>
          <w:rFonts w:ascii="Arial" w:cs="Arial" w:eastAsia="Arial" w:hAnsi="Arial"/>
          <w:b/>
          <w:bCs/>
          <w:color w:val="1F3864"/>
          <w:sz w:val="30"/>
          <w:szCs w:val="30"/>
        </w:rPr>
        <w:t xml:space="preserve">7. Contexto nacional: industria manufacturera</w:t>
      </w:r>
    </w:p>
    <w:p>
      <w:pPr>
        <w:spacing w:after="120" w:line="300"/>
        <w:jc w:val="both"/>
      </w:pPr>
      <w:r>
        <w:rPr>
          <w:rFonts w:ascii="Arial" w:cs="Arial" w:eastAsia="Arial" w:hAnsi="Arial"/>
          <w:sz w:val="22"/>
          <w:szCs w:val="22"/>
        </w:rPr>
        <w:t xml:space="preserve">Las cifras siguientes son </w:t>
      </w:r>
      <w:r>
        <w:rPr>
          <w:rFonts w:ascii="Arial" w:cs="Arial" w:eastAsia="Arial" w:hAnsi="Arial"/>
          <w:b/>
          <w:bCs/>
          <w:sz w:val="22"/>
          <w:szCs w:val="22"/>
        </w:rPr>
        <w:t xml:space="preserve">nacionales</w:t>
      </w:r>
      <w:r>
        <w:rPr>
          <w:rFonts w:ascii="Arial" w:cs="Arial" w:eastAsia="Arial" w:hAnsi="Arial"/>
          <w:sz w:val="22"/>
          <w:szCs w:val="22"/>
        </w:rPr>
        <w:t xml:space="preserve"> y corresponden al conjunto de la industria manufacturera. No son cifras de Misiones ni del subsector papel y celulosa. Provienen del material de partida [M]; su fuente primaria no fue individualizada.</w:t>
      </w:r>
    </w:p>
    <w:p>
      <w:pPr>
        <w:keepNext/>
        <w:spacing w:after="80" w:before="160"/>
        <w:jc w:val="left"/>
      </w:pPr>
      <w:r>
        <w:rPr>
          <w:rFonts w:ascii="Arial" w:cs="Arial" w:eastAsia="Arial" w:hAnsi="Arial"/>
          <w:b/>
          <w:bCs/>
          <w:sz w:val="19"/>
          <w:szCs w:val="19"/>
        </w:rPr>
        <w:t xml:space="preserve">Tabla 3. Industria manufacturera, total nacional (material de partida)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Indicador</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2021</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2022</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2024</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Índice de incidencia (casos por mil trabajadores)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59,5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61,7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52,7</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Fallecidos por AT y EP</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notificados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75.110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82.967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Casos con baja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67.134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72.708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Trabajadores cubiertos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1.128.258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1.178.397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Duración media de bajas (días)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37,4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r>
    </w:tbl>
    <w:p>
      <w:pPr>
        <w:spacing w:after="160" w:before="60"/>
        <w:jc w:val="left"/>
      </w:pPr>
      <w:r>
        <w:rPr>
          <w:rFonts w:ascii="Arial" w:cs="Arial" w:eastAsia="Arial" w:hAnsi="Arial"/>
          <w:i/>
          <w:iCs/>
          <w:color w:val="404040"/>
          <w:sz w:val="20"/>
          <w:szCs w:val="20"/>
        </w:rPr>
        <w:t xml:space="preserve">2023 y 2025: sin datos en el material. Las columnas «No disponible» no son ceros.</w:t>
      </w:r>
    </w:p>
    <w:p>
      <w:pPr>
        <w:spacing w:after="120" w:line="300"/>
        <w:jc w:val="both"/>
      </w:pPr>
      <w:r>
        <w:rPr>
          <w:rFonts w:ascii="Arial" w:cs="Arial" w:eastAsia="Arial" w:hAnsi="Arial"/>
          <w:b/>
          <w:bCs/>
          <w:sz w:val="22"/>
          <w:szCs w:val="22"/>
        </w:rPr>
        <w:t xml:space="preserve">Verificación aritmética.</w:t>
      </w:r>
      <w:r>
        <w:rPr>
          <w:rFonts w:ascii="Arial" w:cs="Arial" w:eastAsia="Arial" w:hAnsi="Arial"/>
          <w:sz w:val="22"/>
          <w:szCs w:val="22"/>
        </w:rPr>
        <w:t xml:space="preserve"> Dividiendo los casos con baja por los trabajadores cubiertos se obtienen 59,5 por mil en 2021 (67.134 / 1.128.258) y 61,7 por mil en 2022 (72.708 / 1.178.397), coincidentes con los índices informados. Esto sugiere que el índice se calcula sobre casos con baja, pero no confirma la definición oficial. El valor de 2024 (52,7) no puede verificarse por falta de sus componentes, ni interpretarse como tendencia respecto de 2022, porque falta 2023 y no se puede asegurar la homogeneidad metodológica (véase el cambio de criterio sobre COVID-19 en el apartado 5.1).</w:t>
      </w:r>
    </w:p>
    <w:p>
      <w:pPr>
        <w:pStyle w:val="Heading2"/>
        <w:spacing w:after="120" w:before="240"/>
      </w:pPr>
      <w:r>
        <w:rPr>
          <w:rFonts w:ascii="Arial" w:cs="Arial" w:eastAsia="Arial" w:hAnsi="Arial"/>
          <w:b/>
          <w:bCs/>
          <w:color w:val="2F5496"/>
          <w:sz w:val="25"/>
          <w:szCs w:val="25"/>
        </w:rPr>
        <w:t xml:space="preserve">7.1. Referencia adicional verificada: total del sistema</w:t>
      </w:r>
    </w:p>
    <w:p>
      <w:pPr>
        <w:spacing w:after="120" w:line="300"/>
        <w:jc w:val="both"/>
      </w:pPr>
      <w:r>
        <w:rPr>
          <w:rFonts w:ascii="Arial" w:cs="Arial" w:eastAsia="Arial" w:hAnsi="Arial"/>
          <w:sz w:val="22"/>
          <w:szCs w:val="22"/>
        </w:rPr>
        <w:t xml:space="preserve">Como contexto, el informe provisorio de la SRT para enero-diciembre de 2025 presenta totales </w:t>
      </w:r>
      <w:r>
        <w:rPr>
          <w:rFonts w:ascii="Arial" w:cs="Arial" w:eastAsia="Arial" w:hAnsi="Arial"/>
          <w:b/>
          <w:bCs/>
          <w:sz w:val="22"/>
          <w:szCs w:val="22"/>
        </w:rPr>
        <w:t xml:space="preserve">de todo el sistema</w:t>
      </w:r>
      <w:r>
        <w:rPr>
          <w:rFonts w:ascii="Arial" w:cs="Arial" w:eastAsia="Arial" w:hAnsi="Arial"/>
          <w:sz w:val="22"/>
          <w:szCs w:val="22"/>
        </w:rPr>
        <w:t xml:space="preserve"> (no de manufactura ni de Misiones), que se reproducen solo para ilustrar la diferencia de escala y de agregación [2]. El documento consultado es una copia alojada en un sitio de terceros; el original en el sitio de la SRT no fue localizado.</w:t>
      </w:r>
    </w:p>
    <w:p>
      <w:pPr>
        <w:keepNext/>
        <w:spacing w:after="80" w:before="160"/>
        <w:jc w:val="left"/>
      </w:pPr>
      <w:r>
        <w:rPr>
          <w:rFonts w:ascii="Arial" w:cs="Arial" w:eastAsia="Arial" w:hAnsi="Arial"/>
          <w:b/>
          <w:bCs/>
          <w:sz w:val="19"/>
          <w:szCs w:val="19"/>
        </w:rPr>
        <w:t xml:space="preserve">Tabla 4. Total del sistema, promedio anual de personas cubiertas y casos notificados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Período</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Personas trabajadoras cubiertas (promedio)</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Total de casos notificados</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Enero-diciembre 2023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10.323.529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599.376</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Enero-diciembre 2024</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10.181.599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532.808</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Enero-diciembre 2025 (provisorio)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10.094.312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536.140</w:t>
            </w:r>
          </w:p>
        </w:tc>
      </w:tr>
    </w:tbl>
    <w:p>
      <w:pPr>
        <w:spacing w:after="160" w:before="60"/>
        <w:jc w:val="left"/>
      </w:pPr>
      <w:r>
        <w:rPr>
          <w:rFonts w:ascii="Arial" w:cs="Arial" w:eastAsia="Arial" w:hAnsi="Arial"/>
          <w:i/>
          <w:iCs/>
          <w:color w:val="404040"/>
          <w:sz w:val="20"/>
          <w:szCs w:val="20"/>
        </w:rPr>
        <w:t xml:space="preserve">Incluye unidades productivas y casas particulares. Los datos de 2025 son provisorios según el propio informe.</w:t>
      </w:r>
    </w:p>
    <w:p>
      <w:pPr>
        <w:pStyle w:val="Heading1"/>
        <w:spacing w:after="160" w:before="360"/>
      </w:pPr>
      <w:r>
        <w:rPr>
          <w:rFonts w:ascii="Arial" w:cs="Arial" w:eastAsia="Arial" w:hAnsi="Arial"/>
          <w:b/>
          <w:bCs/>
          <w:color w:val="1F3864"/>
          <w:sz w:val="30"/>
          <w:szCs w:val="30"/>
        </w:rPr>
        <w:t xml:space="preserve">8. Riesgos laborales en papel y celulosa</w:t>
      </w:r>
    </w:p>
    <w:p>
      <w:pPr>
        <w:spacing w:after="120" w:line="300"/>
        <w:jc w:val="both"/>
      </w:pPr>
      <w:r>
        <w:rPr>
          <w:rFonts w:ascii="Arial" w:cs="Arial" w:eastAsia="Arial" w:hAnsi="Arial"/>
          <w:sz w:val="22"/>
          <w:szCs w:val="22"/>
        </w:rPr>
        <w:t xml:space="preserve">Esta sección describe </w:t>
      </w:r>
      <w:r>
        <w:rPr>
          <w:rFonts w:ascii="Arial" w:cs="Arial" w:eastAsia="Arial" w:hAnsi="Arial"/>
          <w:b/>
          <w:bCs/>
          <w:sz w:val="22"/>
          <w:szCs w:val="22"/>
        </w:rPr>
        <w:t xml:space="preserve">riesgos técnicos característicos de la actividad</w:t>
      </w:r>
      <w:r>
        <w:rPr>
          <w:rFonts w:ascii="Arial" w:cs="Arial" w:eastAsia="Arial" w:hAnsi="Arial"/>
          <w:sz w:val="22"/>
          <w:szCs w:val="22"/>
        </w:rPr>
        <w:t xml:space="preserve">, basados en conocimiento general de la especialidad y en la lista del material de partida. No constituyen estadísticas de accidentes ocurridos ni evidencia de medidas implementadas en una empresa determinada. Las medidas son orientativas y deben ajustarse a la evaluación de riesgos de cada establecimiento. La única norma específica verificada vinculada a estos riesgos es la Res. SRT 61/2023 (trabajo en altura) [8][10].</w:t>
      </w:r>
    </w:p>
    <w:p>
      <w:pPr>
        <w:keepNext/>
        <w:spacing w:after="80" w:before="160"/>
        <w:jc w:val="left"/>
      </w:pPr>
      <w:r>
        <w:rPr>
          <w:rFonts w:ascii="Arial" w:cs="Arial" w:eastAsia="Arial" w:hAnsi="Arial"/>
          <w:b/>
          <w:bCs/>
          <w:sz w:val="19"/>
          <w:szCs w:val="19"/>
        </w:rPr>
        <w:t xml:space="preserve">Tabla 5. Riesgos técnicos y medidas preventivas orientativas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Riesgo</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Consecuencias posibles</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Medidas preventivas orientativas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Maquinaria, rodillos, prensas y atrapamientos (mecánico)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Atrapamiento, aplastamiento, amputación.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Protecciones fijas y enclavadas, paradas de emergencia, bloqueo de energía, capacitación.</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Cuchillas, corte y bobinado (mecánico)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Cortes, amputaciones, golpes por bobinas.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Protecciones en cuchillas, procedimientos de cambio, manejo mecánico de bobinas.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Calderas, vapor, presión y altas temperaturas (físico)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Quemaduras, explosión, estrés térmico.</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Inspecciones y pruebas periódicas, válvulas de seguridad, aislación, control de exposición al calor.</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Productos químicos de pulpeado, blanqueo y tratamiento (químico)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Quemaduras químicas, intoxicación, irritación.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Hojas de seguridad, etiquetado, ventilación, duchas de emergencia, EPP.</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Polvo combustible (incendio y explosión)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Incendio, deflagración.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Orden y limpieza, control de ignición, detección y extinción, plan de emergencia.</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Ruido y vibraciones (físico)</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Hipoacusia, trastornos por vibración.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Medición, control en la fuente, protección auditiva, exámenes periódicos.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Manipulación de cargas y factores ergonómicos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Lesiones musculoesqueléticas.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Ayudas mecánicas, rediseño de tareas, capacitación, pausas y rotación.</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Autoelevadores y circulación interna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Atropellamiento, vuelco, choque.</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Habilitación de operadores, circulaciones separadas, señalización, mantenimiento.</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Trabajos en altura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Caídas.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Medidas de seguridad en altura (Res. SRT 61/2023) [10], permisos de trabajo, rescate.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Espacios confinados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Asfixia, intoxicación.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Medición de atmósfera, permiso de ingreso, vigía y plan de rescate.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Exposición biológica o química en efluentes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Infecciones, intoxicación.</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EPP, higiene, ventilación, monitoreo de gases.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Mantenimiento, limpieza y desatascos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Atrapamiento, cortes, energías inesperadas.</w:t>
            </w:r>
          </w:p>
        </w:tc>
        <w:tc>
          <w:tcPr>
            <w:tcW w:type="dxa" w:w="40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Detener, bloquear y verificar antes de intervenir; herramientas adecuadas; supervisión.</w:t>
            </w:r>
          </w:p>
        </w:tc>
      </w:tr>
    </w:tbl>
    <w:p>
      <w:pPr>
        <w:spacing w:after="160" w:before="60"/>
        <w:jc w:val="left"/>
      </w:pPr>
      <w:r>
        <w:rPr>
          <w:rFonts w:ascii="Arial" w:cs="Arial" w:eastAsia="Arial" w:hAnsi="Arial"/>
          <w:i/>
          <w:iCs/>
          <w:color w:val="404040"/>
          <w:sz w:val="20"/>
          <w:szCs w:val="20"/>
        </w:rPr>
        <w:t xml:space="preserve">Las normas específicas para cada riesgo distinto del trabajo en altura quedan pendientes de verificación; las resoluciones SRT consultadas citan la Ley 19.587 y el Decreto 351/1979 como marco general de higiene y seguridad [22].</w:t>
      </w:r>
    </w:p>
    <w:p>
      <w:pPr>
        <w:pStyle w:val="Heading1"/>
        <w:spacing w:after="160" w:before="360"/>
      </w:pPr>
      <w:r>
        <w:rPr>
          <w:rFonts w:ascii="Arial" w:cs="Arial" w:eastAsia="Arial" w:hAnsi="Arial"/>
          <w:b/>
          <w:bCs/>
          <w:color w:val="1F3864"/>
          <w:sz w:val="30"/>
          <w:szCs w:val="30"/>
        </w:rPr>
        <w:t xml:space="preserve">9. Sistema argentino de ART</w:t>
      </w:r>
    </w:p>
    <w:p>
      <w:pPr>
        <w:spacing w:after="120" w:line="300"/>
        <w:jc w:val="both"/>
      </w:pPr>
      <w:r>
        <w:rPr>
          <w:rFonts w:ascii="Arial" w:cs="Arial" w:eastAsia="Arial" w:hAnsi="Arial"/>
          <w:sz w:val="22"/>
          <w:szCs w:val="22"/>
        </w:rPr>
        <w:t xml:space="preserve">El sistema se estructura sobre la Ley 24.557 y sus normas complementarias. Se distingue lo confirmado en fuentes consultadas de lo proveniente del material de partida.</w:t>
      </w:r>
    </w:p>
    <w:p>
      <w:pPr>
        <w:pStyle w:val="Heading2"/>
        <w:spacing w:after="120" w:before="240"/>
      </w:pPr>
      <w:r>
        <w:rPr>
          <w:rFonts w:ascii="Arial" w:cs="Arial" w:eastAsia="Arial" w:hAnsi="Arial"/>
          <w:b/>
          <w:bCs/>
          <w:color w:val="2F5496"/>
          <w:sz w:val="25"/>
          <w:szCs w:val="25"/>
        </w:rPr>
        <w:t xml:space="preserve">9.1. Objetivos</w:t>
      </w:r>
    </w:p>
    <w:p>
      <w:pPr>
        <w:spacing w:after="120" w:line="300"/>
        <w:jc w:val="both"/>
      </w:pPr>
      <w:r>
        <w:rPr>
          <w:rFonts w:ascii="Arial" w:cs="Arial" w:eastAsia="Arial" w:hAnsi="Arial"/>
          <w:sz w:val="22"/>
          <w:szCs w:val="22"/>
        </w:rPr>
        <w:t xml:space="preserve">La ley persigue la reducción de la siniestralidad mediante la prevención (art. 1, ap. 2, inc. a) [12]. El material de partida agrega la reparación de los daños, la rehabilitación y la recalificación o reinserción laboral; los artículos que lo establecen no se verificaron en esta consulta.</w:t>
      </w:r>
    </w:p>
    <w:p>
      <w:pPr>
        <w:pStyle w:val="Heading2"/>
        <w:spacing w:after="120" w:before="240"/>
      </w:pPr>
      <w:r>
        <w:rPr>
          <w:rFonts w:ascii="Arial" w:cs="Arial" w:eastAsia="Arial" w:hAnsi="Arial"/>
          <w:b/>
          <w:bCs/>
          <w:color w:val="2F5496"/>
          <w:sz w:val="25"/>
          <w:szCs w:val="25"/>
        </w:rPr>
        <w:t xml:space="preserve">9.2. Cobertura y prestaciones</w:t>
      </w:r>
    </w:p>
    <w:p>
      <w:pPr>
        <w:spacing w:after="120" w:line="300"/>
        <w:jc w:val="both"/>
      </w:pPr>
      <w:r>
        <w:rPr>
          <w:rFonts w:ascii="Arial" w:cs="Arial" w:eastAsia="Arial" w:hAnsi="Arial"/>
          <w:sz w:val="22"/>
          <w:szCs w:val="22"/>
        </w:rPr>
        <w:t xml:space="preserve">Según el material de partida, la cobertura es obligatoria para empleadores con trabajadores en relación de dependencia, salvo los casos de autoaseguro legalmente habilitados (artículo no verificado). Existen resoluciones de la SRT que autorizan a empleadores a autoasegurarse (por ejemplo, la Res. SRT 58/2025 para la Provincia del Chubut, según el listado oficial), lo que confirma la existencia de la figura [7]. Las prestaciones incluyen asistencia médica y farmacéutica, rehabilitación, prótesis y ortopedia, recalificación, servicio funerario y prestaciones dinerarias (material de partida). Respecto de estas últimas, el art. 11 de la Ley 24.557 dispone que son irrenunciables y no pueden cederse ni enajenarse [23].</w:t>
      </w:r>
    </w:p>
    <w:p>
      <w:pPr>
        <w:pStyle w:val="Heading2"/>
        <w:spacing w:after="120" w:before="240"/>
      </w:pPr>
      <w:r>
        <w:rPr>
          <w:rFonts w:ascii="Arial" w:cs="Arial" w:eastAsia="Arial" w:hAnsi="Arial"/>
          <w:b/>
          <w:bCs/>
          <w:color w:val="2F5496"/>
          <w:sz w:val="25"/>
          <w:szCs w:val="25"/>
        </w:rPr>
        <w:t xml:space="preserve">9.3. Actores y obligaciones</w:t>
      </w:r>
    </w:p>
    <w:p>
      <w:pPr>
        <w:keepNext/>
        <w:spacing w:after="80" w:before="160"/>
        <w:jc w:val="left"/>
      </w:pPr>
      <w:r>
        <w:rPr>
          <w:rFonts w:ascii="Arial" w:cs="Arial" w:eastAsia="Arial" w:hAnsi="Arial"/>
          <w:b/>
          <w:bCs/>
          <w:sz w:val="19"/>
          <w:szCs w:val="19"/>
        </w:rPr>
        <w:t xml:space="preserve">Tabla 6. Actores y funciones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Actor</w:t>
            </w:r>
          </w:p>
        </w:tc>
        <w:tc>
          <w:tcPr>
            <w:tcW w:type="dxa" w:w="53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Funciones</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Respaldo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Empleador</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Cumplir las normas de higiene y seguridad y prevenir los riesgos (art. 4, ap. 1) [10]. Según el material, también debe declarar trabajadores, pagar la cuota y denunciar siniestros.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Parcial: solo la obligación preventiva está confirmada con artículo.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ART</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Gestionan prestaciones (art. 26, ap. 1) [20]. Denuncian incumplimientos ante la SRT, informan planes y programas de prevención y mantienen registro de siniestralidad por establecimiento (art. 31, ap. 1, incs. a, c y d) [3]. El Decreto 170/1996 las obliga a brindar asesoramiento y asistencia técnica [3].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Verificado en considerandos de resoluciones oficiales.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SRT</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Entidad autárquica creada por el art. 35; controla el cumplimiento de las normas de higiene y seguridad y supervisa a las ART (art. 36) [11].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Verificado en considerandos.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SSN</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Controla la actividad aseguradora. Las autorizaciones para operar como ART se dictan por resolución conjunta SRT-SSN, por ejemplo la RC 2/2022 [20].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Verificado para autorizaciones; otras funciones no analizadas.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Comisiones Médicas</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Creadas por el art. 51 de la Ley 24.241 [21].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Verificado en considerandos.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Trabajadores</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Participar activamente en las acciones preventivas y recibir capacitación e información [10].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Verificado en considerandos.</w:t>
            </w:r>
          </w:p>
        </w:tc>
      </w:tr>
    </w:tbl>
    <w:p>
      <w:pPr>
        <w:pStyle w:val="Heading2"/>
        <w:spacing w:after="120" w:before="240"/>
      </w:pPr>
      <w:r>
        <w:rPr>
          <w:rFonts w:ascii="Arial" w:cs="Arial" w:eastAsia="Arial" w:hAnsi="Arial"/>
          <w:b/>
          <w:bCs/>
          <w:color w:val="2F5496"/>
          <w:sz w:val="25"/>
          <w:szCs w:val="25"/>
        </w:rPr>
        <w:t xml:space="preserve">9.4. Denuncia y registro</w:t>
      </w:r>
    </w:p>
    <w:p>
      <w:pPr>
        <w:spacing w:after="120" w:line="300"/>
        <w:jc w:val="both"/>
      </w:pPr>
      <w:r>
        <w:rPr>
          <w:rFonts w:ascii="Arial" w:cs="Arial" w:eastAsia="Arial" w:hAnsi="Arial"/>
          <w:sz w:val="22"/>
          <w:szCs w:val="22"/>
        </w:rPr>
        <w:t xml:space="preserve">La ART mantiene un registro de siniestralidad por establecimiento (art. 31, ap. 1, inc. d) [3]. La obligación del empleador de denunciar accidentes y enfermedades profesionales figura en el material de partida, pero el procedimiento y el artículo específico están </w:t>
      </w:r>
      <w:r>
        <w:rPr>
          <w:rFonts w:ascii="Arial" w:cs="Arial" w:eastAsia="Arial" w:hAnsi="Arial"/>
          <w:b/>
          <w:bCs/>
          <w:sz w:val="22"/>
          <w:szCs w:val="22"/>
        </w:rPr>
        <w:t xml:space="preserve">pendientes de verificación</w:t>
      </w:r>
      <w:r>
        <w:rPr>
          <w:rFonts w:ascii="Arial" w:cs="Arial" w:eastAsia="Arial" w:hAnsi="Arial"/>
          <w:sz w:val="22"/>
          <w:szCs w:val="22"/>
        </w:rPr>
        <w:t xml:space="preserve">.</w:t>
      </w:r>
    </w:p>
    <w:p>
      <w:pPr>
        <w:pStyle w:val="Heading1"/>
        <w:spacing w:after="160" w:before="360"/>
      </w:pPr>
      <w:r>
        <w:rPr>
          <w:rFonts w:ascii="Arial" w:cs="Arial" w:eastAsia="Arial" w:hAnsi="Arial"/>
          <w:b/>
          <w:bCs/>
          <w:color w:val="1F3864"/>
          <w:sz w:val="30"/>
          <w:szCs w:val="30"/>
        </w:rPr>
        <w:t xml:space="preserve">10. Alícuotas y costos</w:t>
      </w:r>
    </w:p>
    <w:p>
      <w:pPr>
        <w:pStyle w:val="Heading2"/>
        <w:spacing w:after="120" w:before="240"/>
      </w:pPr>
      <w:r>
        <w:rPr>
          <w:rFonts w:ascii="Arial" w:cs="Arial" w:eastAsia="Arial" w:hAnsi="Arial"/>
          <w:b/>
          <w:bCs/>
          <w:color w:val="2F5496"/>
          <w:sz w:val="25"/>
          <w:szCs w:val="25"/>
        </w:rPr>
        <w:t xml:space="preserve">10.1. Composición de la cuota</w:t>
      </w:r>
    </w:p>
    <w:p>
      <w:pPr>
        <w:spacing w:after="120" w:line="300"/>
        <w:jc w:val="both"/>
      </w:pPr>
      <w:r>
        <w:rPr>
          <w:rFonts w:ascii="Arial" w:cs="Arial" w:eastAsia="Arial" w:hAnsi="Arial"/>
          <w:sz w:val="22"/>
          <w:szCs w:val="22"/>
        </w:rPr>
        <w:t xml:space="preserve">Según el material de partida, la cuota mensual se compone de un importe fijo por trabajador (cápita) y un porcentaje sobre la masa salarial:</w:t>
      </w:r>
    </w:p>
    <w:p>
      <w:pPr>
        <w:spacing w:after="120" w:before="80"/>
        <w:jc w:val="center"/>
      </w:pPr>
      <w:r>
        <w:rPr>
          <w:rFonts w:ascii="Arial" w:cs="Arial" w:eastAsia="Arial" w:hAnsi="Arial"/>
          <w:b/>
          <w:bCs/>
          <w:sz w:val="26"/>
          <w:szCs w:val="26"/>
        </w:rPr>
        <w:t xml:space="preserve">C = (N × c) + (M × a)</w:t>
      </w:r>
    </w:p>
    <w:p>
      <w:pPr>
        <w:spacing w:after="120" w:line="300"/>
        <w:jc w:val="both"/>
      </w:pPr>
      <w:r>
        <w:rPr>
          <w:rFonts w:ascii="Arial" w:cs="Arial" w:eastAsia="Arial" w:hAnsi="Arial"/>
          <w:sz w:val="22"/>
          <w:szCs w:val="22"/>
        </w:rPr>
        <w:t xml:space="preserve">Donde C es la cuota mensual, N la cantidad de trabajadores, c la cápita fija, M la masa salarial declarada y a la alícuota porcentual pactada. Esta fórmula es una formulación conceptual del material de partida; no se localizó el texto oficial que la establezca. Asimismo, el material indica que la cuota toma como referencia la población trabajadora y la masa salarial del mes anterior. Esto implica un desfase: los datos de un mes reflejan el anterior, y los siniestros se notifican con rezago, por lo que cuota y siniestralidad deben compararse alineando períodos.</w:t>
      </w:r>
    </w:p>
    <w:p>
      <w:pPr>
        <w:spacing w:after="120" w:line="300"/>
        <w:jc w:val="both"/>
      </w:pPr>
      <w:r>
        <w:rPr>
          <w:rFonts w:ascii="Arial" w:cs="Arial" w:eastAsia="Arial" w:hAnsi="Arial"/>
          <w:b/>
          <w:bCs/>
          <w:sz w:val="22"/>
          <w:szCs w:val="22"/>
        </w:rPr>
        <w:t xml:space="preserve">No se presentan valores de cápitas, alícuotas ni cuotas</w:t>
      </w:r>
      <w:r>
        <w:rPr>
          <w:rFonts w:ascii="Arial" w:cs="Arial" w:eastAsia="Arial" w:hAnsi="Arial"/>
          <w:sz w:val="22"/>
          <w:szCs w:val="22"/>
        </w:rPr>
        <w:t xml:space="preserve">, porque no se dispone de datos reales y verificables.</w:t>
      </w:r>
    </w:p>
    <w:p>
      <w:pPr>
        <w:pStyle w:val="Heading2"/>
        <w:spacing w:after="120" w:before="240"/>
      </w:pPr>
      <w:r>
        <w:rPr>
          <w:rFonts w:ascii="Arial" w:cs="Arial" w:eastAsia="Arial" w:hAnsi="Arial"/>
          <w:b/>
          <w:bCs/>
          <w:color w:val="2F5496"/>
          <w:sz w:val="25"/>
          <w:szCs w:val="25"/>
        </w:rPr>
        <w:t xml:space="preserve">10.2. Factores que pueden influir en la alícuota</w:t>
      </w:r>
    </w:p>
    <w:p>
      <w:pPr>
        <w:spacing w:after="120" w:line="300"/>
        <w:jc w:val="both"/>
      </w:pPr>
      <w:r>
        <w:rPr>
          <w:rFonts w:ascii="Arial" w:cs="Arial" w:eastAsia="Arial" w:hAnsi="Arial"/>
          <w:sz w:val="22"/>
          <w:szCs w:val="22"/>
        </w:rPr>
        <w:t xml:space="preserve">Los siguientes factores son </w:t>
      </w:r>
      <w:r>
        <w:rPr>
          <w:rFonts w:ascii="Arial" w:cs="Arial" w:eastAsia="Arial" w:hAnsi="Arial"/>
          <w:b/>
          <w:bCs/>
          <w:sz w:val="22"/>
          <w:szCs w:val="22"/>
        </w:rPr>
        <w:t xml:space="preserve">explicaciones conceptuales</w:t>
      </w:r>
      <w:r>
        <w:rPr>
          <w:rFonts w:ascii="Arial" w:cs="Arial" w:eastAsia="Arial" w:hAnsi="Arial"/>
          <w:sz w:val="22"/>
          <w:szCs w:val="22"/>
        </w:rPr>
        <w:t xml:space="preserve">; este informe no asigna pesos ni efectos cuantitativos:</w:t>
      </w:r>
    </w:p>
    <w:p>
      <w:pPr>
        <w:pStyle w:val="ListParagraph"/>
        <w:numPr>
          <w:ilvl w:val="0"/>
          <w:numId w:val="2"/>
        </w:numPr>
        <w:spacing w:after="80" w:line="290"/>
        <w:jc w:val="left"/>
      </w:pPr>
      <w:r>
        <w:rPr>
          <w:rFonts w:ascii="Arial" w:cs="Arial" w:eastAsia="Arial" w:hAnsi="Arial"/>
          <w:sz w:val="22"/>
          <w:szCs w:val="22"/>
        </w:rPr>
        <w:t xml:space="preserve">Actividad económica y código CIIU.</w:t>
      </w:r>
    </w:p>
    <w:p>
      <w:pPr>
        <w:pStyle w:val="ListParagraph"/>
        <w:numPr>
          <w:ilvl w:val="0"/>
          <w:numId w:val="2"/>
        </w:numPr>
        <w:spacing w:after="80" w:line="290"/>
        <w:jc w:val="left"/>
      </w:pPr>
      <w:r>
        <w:rPr>
          <w:rFonts w:ascii="Arial" w:cs="Arial" w:eastAsia="Arial" w:hAnsi="Arial"/>
          <w:sz w:val="22"/>
          <w:szCs w:val="22"/>
        </w:rPr>
        <w:t xml:space="preserve">Siniestralidad presunta de la actividad.</w:t>
      </w:r>
    </w:p>
    <w:p>
      <w:pPr>
        <w:pStyle w:val="ListParagraph"/>
        <w:numPr>
          <w:ilvl w:val="0"/>
          <w:numId w:val="2"/>
        </w:numPr>
        <w:spacing w:after="80" w:line="290"/>
        <w:jc w:val="left"/>
      </w:pPr>
      <w:r>
        <w:rPr>
          <w:rFonts w:ascii="Arial" w:cs="Arial" w:eastAsia="Arial" w:hAnsi="Arial"/>
          <w:sz w:val="22"/>
          <w:szCs w:val="22"/>
        </w:rPr>
        <w:t xml:space="preserve">Siniestralidad efectiva del empleador.</w:t>
      </w:r>
    </w:p>
    <w:p>
      <w:pPr>
        <w:pStyle w:val="ListParagraph"/>
        <w:numPr>
          <w:ilvl w:val="0"/>
          <w:numId w:val="2"/>
        </w:numPr>
        <w:spacing w:after="80" w:line="290"/>
        <w:jc w:val="left"/>
      </w:pPr>
      <w:r>
        <w:rPr>
          <w:rFonts w:ascii="Arial" w:cs="Arial" w:eastAsia="Arial" w:hAnsi="Arial"/>
          <w:sz w:val="22"/>
          <w:szCs w:val="22"/>
        </w:rPr>
        <w:t xml:space="preserve">Dotación de trabajadores y masa salarial.</w:t>
      </w:r>
    </w:p>
    <w:p>
      <w:pPr>
        <w:pStyle w:val="ListParagraph"/>
        <w:numPr>
          <w:ilvl w:val="0"/>
          <w:numId w:val="2"/>
        </w:numPr>
        <w:spacing w:after="80" w:line="290"/>
        <w:jc w:val="left"/>
      </w:pPr>
      <w:r>
        <w:rPr>
          <w:rFonts w:ascii="Arial" w:cs="Arial" w:eastAsia="Arial" w:hAnsi="Arial"/>
          <w:sz w:val="22"/>
          <w:szCs w:val="22"/>
        </w:rPr>
        <w:t xml:space="preserve">Características del establecimiento: la cuota se fija por establecimiento, de modo que dos plantas de una misma empresa podrían tener costos diferentes (afirmación conceptual; su base normativa no fue verificada).</w:t>
      </w:r>
    </w:p>
    <w:p>
      <w:pPr>
        <w:pStyle w:val="ListParagraph"/>
        <w:numPr>
          <w:ilvl w:val="0"/>
          <w:numId w:val="2"/>
        </w:numPr>
        <w:spacing w:after="80" w:line="290"/>
        <w:jc w:val="left"/>
      </w:pPr>
      <w:r>
        <w:rPr>
          <w:rFonts w:ascii="Arial" w:cs="Arial" w:eastAsia="Arial" w:hAnsi="Arial"/>
          <w:sz w:val="22"/>
          <w:szCs w:val="22"/>
        </w:rPr>
        <w:t xml:space="preserve">Continuidad con la misma ART.</w:t>
      </w:r>
    </w:p>
    <w:p>
      <w:pPr>
        <w:pStyle w:val="ListParagraph"/>
        <w:numPr>
          <w:ilvl w:val="0"/>
          <w:numId w:val="2"/>
        </w:numPr>
        <w:spacing w:after="80" w:line="290"/>
        <w:jc w:val="left"/>
      </w:pPr>
      <w:r>
        <w:rPr>
          <w:rFonts w:ascii="Arial" w:cs="Arial" w:eastAsia="Arial" w:hAnsi="Arial"/>
          <w:sz w:val="22"/>
          <w:szCs w:val="22"/>
        </w:rPr>
        <w:t xml:space="preserve">Condiciones contractuales permitidas por el régimen vigente.</w:t>
      </w:r>
    </w:p>
    <w:p>
      <w:pPr>
        <w:pStyle w:val="Heading2"/>
        <w:spacing w:after="120" w:before="240"/>
      </w:pPr>
      <w:r>
        <w:rPr>
          <w:rFonts w:ascii="Arial" w:cs="Arial" w:eastAsia="Arial" w:hAnsi="Arial"/>
          <w:b/>
          <w:bCs/>
          <w:color w:val="2F5496"/>
          <w:sz w:val="25"/>
          <w:szCs w:val="25"/>
        </w:rPr>
        <w:t xml:space="preserve">10.3. Alícuota, cuota y costo económico total</w:t>
      </w:r>
    </w:p>
    <w:p>
      <w:pPr>
        <w:spacing w:after="120" w:line="300"/>
        <w:jc w:val="both"/>
      </w:pPr>
      <w:r>
        <w:rPr>
          <w:rFonts w:ascii="Arial" w:cs="Arial" w:eastAsia="Arial" w:hAnsi="Arial"/>
          <w:sz w:val="22"/>
          <w:szCs w:val="22"/>
        </w:rPr>
        <w:t xml:space="preserve">Son tres conceptos distintos. La </w:t>
      </w:r>
      <w:r>
        <w:rPr>
          <w:rFonts w:ascii="Arial" w:cs="Arial" w:eastAsia="Arial" w:hAnsi="Arial"/>
          <w:b/>
          <w:bCs/>
          <w:sz w:val="22"/>
          <w:szCs w:val="22"/>
        </w:rPr>
        <w:t xml:space="preserve">alícuota</w:t>
      </w:r>
      <w:r>
        <w:rPr>
          <w:rFonts w:ascii="Arial" w:cs="Arial" w:eastAsia="Arial" w:hAnsi="Arial"/>
          <w:sz w:val="22"/>
          <w:szCs w:val="22"/>
        </w:rPr>
        <w:t xml:space="preserve"> es un porcentaje; la </w:t>
      </w:r>
      <w:r>
        <w:rPr>
          <w:rFonts w:ascii="Arial" w:cs="Arial" w:eastAsia="Arial" w:hAnsi="Arial"/>
          <w:b/>
          <w:bCs/>
          <w:sz w:val="22"/>
          <w:szCs w:val="22"/>
        </w:rPr>
        <w:t xml:space="preserve">cuota mensual</w:t>
      </w:r>
      <w:r>
        <w:rPr>
          <w:rFonts w:ascii="Arial" w:cs="Arial" w:eastAsia="Arial" w:hAnsi="Arial"/>
          <w:sz w:val="22"/>
          <w:szCs w:val="22"/>
        </w:rPr>
        <w:t xml:space="preserve"> es el importe en pesos que resulta de aplicar la fórmula; el </w:t>
      </w:r>
      <w:r>
        <w:rPr>
          <w:rFonts w:ascii="Arial" w:cs="Arial" w:eastAsia="Arial" w:hAnsi="Arial"/>
          <w:b/>
          <w:bCs/>
          <w:sz w:val="22"/>
          <w:szCs w:val="22"/>
        </w:rPr>
        <w:t xml:space="preserve">costo económico total</w:t>
      </w:r>
      <w:r>
        <w:rPr>
          <w:rFonts w:ascii="Arial" w:cs="Arial" w:eastAsia="Arial" w:hAnsi="Arial"/>
          <w:sz w:val="22"/>
          <w:szCs w:val="22"/>
        </w:rPr>
        <w:t xml:space="preserve"> de la accidentabilidad es más amplio e incluye, además de la cuota, posibles salarios durante ausencias, reemplazos, daños materiales, interrupciones de producción, investigación de accidentes, sanciones y eventuales litigios. No se asignan montos a estos conceptos.</w:t>
      </w:r>
    </w:p>
    <w:p>
      <w:pPr>
        <w:spacing w:after="120" w:line="300"/>
        <w:jc w:val="both"/>
      </w:pPr>
      <w:r>
        <w:rPr>
          <w:rFonts w:ascii="Arial" w:cs="Arial" w:eastAsia="Arial" w:hAnsi="Arial"/>
          <w:sz w:val="22"/>
          <w:szCs w:val="22"/>
        </w:rPr>
        <w:t xml:space="preserve">La relación entre siniestralidad y costo </w:t>
      </w:r>
      <w:r>
        <w:rPr>
          <w:rFonts w:ascii="Arial" w:cs="Arial" w:eastAsia="Arial" w:hAnsi="Arial"/>
          <w:b/>
          <w:bCs/>
          <w:sz w:val="22"/>
          <w:szCs w:val="22"/>
        </w:rPr>
        <w:t xml:space="preserve">no es automática</w:t>
      </w:r>
      <w:r>
        <w:rPr>
          <w:rFonts w:ascii="Arial" w:cs="Arial" w:eastAsia="Arial" w:hAnsi="Arial"/>
          <w:sz w:val="22"/>
          <w:szCs w:val="22"/>
        </w:rPr>
        <w:t xml:space="preserve">: más accidentes no implican un aumento inmediato de la alícuota, pues intervienen los demás factores, la inflación, las normas y las condiciones contractuales. No existen datos públicos suficientes para establecer el costo real de empresas específicas de papel y celulosa en Misiones.</w:t>
      </w:r>
    </w:p>
    <w:p>
      <w:pPr>
        <w:pStyle w:val="Heading2"/>
        <w:spacing w:after="120" w:before="240"/>
      </w:pPr>
      <w:r>
        <w:rPr>
          <w:rFonts w:ascii="Arial" w:cs="Arial" w:eastAsia="Arial" w:hAnsi="Arial"/>
          <w:b/>
          <w:bCs/>
          <w:color w:val="2F5496"/>
          <w:sz w:val="25"/>
          <w:szCs w:val="25"/>
        </w:rPr>
        <w:t xml:space="preserve">10.4. Las «alícuotas promedio» de la SRT</w:t>
      </w:r>
    </w:p>
    <w:p>
      <w:pPr>
        <w:spacing w:after="120" w:line="300"/>
        <w:jc w:val="both"/>
      </w:pPr>
      <w:r>
        <w:rPr>
          <w:rFonts w:ascii="Arial" w:cs="Arial" w:eastAsia="Arial" w:hAnsi="Arial"/>
          <w:sz w:val="22"/>
          <w:szCs w:val="22"/>
        </w:rPr>
        <w:t xml:space="preserve">La Res. SRT 34/2025 (30/07/2025) aprobó alícuotas promedio por actividad CIIU del año calendario 2024 para determinar la deuda por cuota omitida al Fondo de Garantía [15][16]. La Res. SRT 9/2023 (BO 24/02/2023) hizo lo propio con el año 2021 [14], y la Res. SRT 23/2026 con el año 2025 para su aplicación entre el 01/04/2026 y el 31/03/2027 [16]. Son parámetros para calcular deudas de empleadores sin cobertura: </w:t>
      </w:r>
      <w:r>
        <w:rPr>
          <w:rFonts w:ascii="Arial" w:cs="Arial" w:eastAsia="Arial" w:hAnsi="Arial"/>
          <w:b/>
          <w:bCs/>
          <w:sz w:val="22"/>
          <w:szCs w:val="22"/>
        </w:rPr>
        <w:t xml:space="preserve">no equivalen a la alícuota que cobra una ART ni a la de una empresa de Misiones</w:t>
      </w:r>
      <w:r>
        <w:rPr>
          <w:rFonts w:ascii="Arial" w:cs="Arial" w:eastAsia="Arial" w:hAnsi="Arial"/>
          <w:sz w:val="22"/>
          <w:szCs w:val="22"/>
        </w:rPr>
        <w:t xml:space="preserve">, y sus valores no se reproducen aquí.</w:t>
      </w:r>
    </w:p>
    <w:p>
      <w:pPr>
        <w:pStyle w:val="Heading1"/>
        <w:spacing w:after="160" w:before="360"/>
      </w:pPr>
      <w:r>
        <w:rPr>
          <w:rFonts w:ascii="Arial" w:cs="Arial" w:eastAsia="Arial" w:hAnsi="Arial"/>
          <w:b/>
          <w:bCs/>
          <w:color w:val="1F3864"/>
          <w:sz w:val="30"/>
          <w:szCs w:val="30"/>
        </w:rPr>
        <w:t xml:space="preserve">11. Marco normativo 2021-2025</w:t>
      </w:r>
    </w:p>
    <w:p>
      <w:pPr>
        <w:spacing w:after="120" w:line="300"/>
        <w:jc w:val="both"/>
      </w:pPr>
      <w:r>
        <w:rPr>
          <w:rFonts w:ascii="Arial" w:cs="Arial" w:eastAsia="Arial" w:hAnsi="Arial"/>
          <w:sz w:val="22"/>
          <w:szCs w:val="22"/>
        </w:rPr>
        <w:t xml:space="preserve">La Tabla 7 resume el estado de verificación de cada norma mencionada en el material. La vigencia se consigna solo cuando pudo confirmarse; el texto consolidado no fue revisado en ningún caso.</w:t>
      </w:r>
    </w:p>
    <w:p>
      <w:pPr>
        <w:keepNext/>
        <w:spacing w:after="80" w:before="160"/>
        <w:jc w:val="left"/>
      </w:pPr>
      <w:r>
        <w:rPr>
          <w:rFonts w:ascii="Arial" w:cs="Arial" w:eastAsia="Arial" w:hAnsi="Arial"/>
          <w:b/>
          <w:bCs/>
          <w:sz w:val="19"/>
          <w:szCs w:val="19"/>
        </w:rPr>
        <w:t xml:space="preserve">Tabla 7. Normas del período 2021-2025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726"/>
        <w:gridCol w:w="1400"/>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Norma</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Fecha</w:t>
            </w:r>
          </w:p>
        </w:tc>
        <w:tc>
          <w:tcPr>
            <w:tcW w:type="dxa" w:w="37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Contenido verificado</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Estado</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Disposición SRT 1/2021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Sin confirmar. Existen disposiciones con igual número emitidas por distintas gerencias, por lo que el número no la identifica.</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Conjunta SRT-SSN 2/2022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Firmada 30/11/2022; BO 02/12/2022</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Autoriza a una ART mutual (San Francisco) a operar y afiliar. No fija alícuotas ni cápitas [6][20].</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Verificada</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Conjunta SRT-SSN 1/2023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04/12/2023; BO 06/12/2023</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Existencia confirmada; los considerandos citan normas sobre entidades de seguros y ART mutuales. La parte resolutiva no fue leída [9].</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Parcial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61/2023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05/12/2023; BO 06/12/2023</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Aprueba las Medidas de Seguridad en Altura que los empleadores deben adoptar [8][10]. Una fuente secundaria la indica vigente [17].</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Verificada (vigencia a confirmar)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34/2024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Sin confirmar.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60/2024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Sin confirmar.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Conjunta SRT-SSN 1/2025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 disponible</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Sin confirmar. Existe una «Resolución Conjunta 1/2025» de otros organismos que no se asume equivalente.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34/2025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30/07/2025</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Alícuotas promedio 2024 por CIIU para deuda por cuota omitida [15][16]. Fuentes secundarias.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Parcial</w:t>
            </w:r>
          </w:p>
        </w:tc>
      </w:tr>
    </w:tbl>
    <w:p>
      <w:pPr>
        <w:spacing w:after="120"/>
      </w:pPr>
    </w:p>
    <w:p>
      <w:pPr>
        <w:keepNext/>
        <w:spacing w:after="80" w:before="160"/>
        <w:jc w:val="left"/>
      </w:pPr>
      <w:r>
        <w:rPr>
          <w:rFonts w:ascii="Arial" w:cs="Arial" w:eastAsia="Arial" w:hAnsi="Arial"/>
          <w:b/>
          <w:bCs/>
          <w:sz w:val="19"/>
          <w:szCs w:val="19"/>
        </w:rPr>
        <w:t xml:space="preserve">Tabla 8. Marco estructural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426"/>
        <w:gridCol w:w="12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Norma</w:t>
            </w:r>
          </w:p>
        </w:tc>
        <w:tc>
          <w:tcPr>
            <w:tcW w:type="dxa" w:w="54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Contenido verificado</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jc w:val="left"/>
            </w:pPr>
            <w:r>
              <w:rPr>
                <w:rFonts w:ascii="Arial" w:cs="Arial" w:eastAsia="Arial" w:hAnsi="Arial"/>
                <w:b/>
                <w:bCs/>
                <w:sz w:val="18"/>
                <w:szCs w:val="18"/>
              </w:rPr>
              <w:t xml:space="preserve">Estado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Ley 24.557</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Norma base. Se confirmaron por citas los arts. 1, 4, 11, 26, 31, 35 y 36 (ver apartado 9). Es complementada o modificada por otras normas [13].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Parcial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Ley 26.773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Citada como antecedente en resoluciones SRT; contenido no revisado.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Ley 27.348</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Complementaria de la Ley 24.557. El listado oficial registra que la Ley 27.802 (2026) la modifica [13].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Parcial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Decreto 717/1996</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Contenido no confirmado.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46/2018</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Sin confirmar. No debe confundirse con la Res. SRT 46/2022, que es otra norma [12].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Pendiente de verificación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363/2016 (PESE)</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09/09/2016. Programa para empleadores con nómina de 50 o más trabajadores y alta siniestralidad; las muestras duran dos años [4].</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Res. SRT 20/2018 (PESE-PyMES)</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09/03/2018; BO 13/03/2018. Programa para empleadores de 11 a 49 trabajadores que superen en 30% el índice de incidencia de su actividad [3][4][5].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jc w:val="left"/>
            </w:pPr>
            <w:r>
              <w:rPr>
                <w:rFonts w:ascii="Arial" w:cs="Arial" w:eastAsia="Arial" w:hAnsi="Arial"/>
                <w:b w:val="false"/>
                <w:bCs w:val="false"/>
                <w:sz w:val="18"/>
                <w:szCs w:val="18"/>
              </w:rPr>
              <w:t xml:space="preserve">Verificada</w:t>
            </w:r>
          </w:p>
        </w:tc>
      </w:tr>
    </w:tbl>
    <w:p>
      <w:pPr>
        <w:spacing w:after="120" w:line="300"/>
        <w:jc w:val="both"/>
      </w:pPr>
      <w:r>
        <w:rPr>
          <w:rFonts w:ascii="Arial" w:cs="Arial" w:eastAsia="Arial" w:hAnsi="Arial"/>
          <w:b/>
          <w:bCs/>
          <w:sz w:val="22"/>
          <w:szCs w:val="22"/>
        </w:rPr>
        <w:t xml:space="preserve">Normas posteriores relevantes.</w:t>
      </w:r>
      <w:r>
        <w:rPr>
          <w:rFonts w:ascii="Arial" w:cs="Arial" w:eastAsia="Arial" w:hAnsi="Arial"/>
          <w:sz w:val="22"/>
          <w:szCs w:val="22"/>
        </w:rPr>
        <w:t xml:space="preserve"> La Ley 27.802 de Modernización Laboral, con vigencia informada desde el 06/03/2026, incluye un título que modifica la Ley 27.348 [13][18]. Su contenido no fue analizado; quien cite el marco vigente debe revisarla. No se atribuye a ninguna norma efecto alguno sobre la accidentabilidad.</w:t>
      </w:r>
    </w:p>
    <w:p>
      <w:pPr>
        <w:pStyle w:val="Heading1"/>
        <w:spacing w:after="160" w:before="360"/>
      </w:pPr>
      <w:r>
        <w:rPr>
          <w:rFonts w:ascii="Arial" w:cs="Arial" w:eastAsia="Arial" w:hAnsi="Arial"/>
          <w:b/>
          <w:bCs/>
          <w:color w:val="1F3864"/>
          <w:sz w:val="30"/>
          <w:szCs w:val="30"/>
        </w:rPr>
        <w:t xml:space="preserve">12. Prevención y responsabilidades</w:t>
      </w:r>
    </w:p>
    <w:p>
      <w:pPr>
        <w:spacing w:after="120" w:line="300"/>
        <w:jc w:val="both"/>
      </w:pPr>
      <w:r>
        <w:rPr>
          <w:rFonts w:ascii="Arial" w:cs="Arial" w:eastAsia="Arial" w:hAnsi="Arial"/>
          <w:sz w:val="22"/>
          <w:szCs w:val="22"/>
        </w:rPr>
        <w:t xml:space="preserve">La prevención es el primer objetivo declarado del sistema [12]. Sus componentes habituales son los siguientes (conocimiento técnico general, salvo indicación):</w:t>
      </w:r>
    </w:p>
    <w:p>
      <w:pPr>
        <w:pStyle w:val="ListParagraph"/>
        <w:numPr>
          <w:ilvl w:val="0"/>
          <w:numId w:val="2"/>
        </w:numPr>
        <w:spacing w:after="80" w:line="290"/>
        <w:jc w:val="left"/>
      </w:pPr>
      <w:r>
        <w:rPr>
          <w:rFonts w:ascii="Arial" w:cs="Arial" w:eastAsia="Arial" w:hAnsi="Arial"/>
          <w:b/>
          <w:bCs/>
          <w:sz w:val="22"/>
          <w:szCs w:val="22"/>
        </w:rPr>
        <w:t xml:space="preserve">Identificación de peligros y evaluación de riesgos</w:t>
      </w:r>
      <w:r>
        <w:rPr>
          <w:rFonts w:ascii="Arial" w:cs="Arial" w:eastAsia="Arial" w:hAnsi="Arial"/>
          <w:sz w:val="22"/>
          <w:szCs w:val="22"/>
        </w:rPr>
        <w:t xml:space="preserve"> por puesto y establecimiento.</w:t>
      </w:r>
    </w:p>
    <w:p>
      <w:pPr>
        <w:pStyle w:val="ListParagraph"/>
        <w:numPr>
          <w:ilvl w:val="0"/>
          <w:numId w:val="2"/>
        </w:numPr>
        <w:spacing w:after="80" w:line="290"/>
        <w:jc w:val="left"/>
      </w:pPr>
      <w:r>
        <w:rPr>
          <w:rFonts w:ascii="Arial" w:cs="Arial" w:eastAsia="Arial" w:hAnsi="Arial"/>
          <w:b/>
          <w:bCs/>
          <w:sz w:val="22"/>
          <w:szCs w:val="22"/>
        </w:rPr>
        <w:t xml:space="preserve">Capacitación e información</w:t>
      </w:r>
      <w:r>
        <w:rPr>
          <w:rFonts w:ascii="Arial" w:cs="Arial" w:eastAsia="Arial" w:hAnsi="Arial"/>
          <w:sz w:val="22"/>
          <w:szCs w:val="22"/>
        </w:rPr>
        <w:t xml:space="preserve"> a los trabajadores: obligación del empleador según los considerandos de la Res. SRT 61/2023 [10].</w:t>
      </w:r>
    </w:p>
    <w:p>
      <w:pPr>
        <w:pStyle w:val="ListParagraph"/>
        <w:numPr>
          <w:ilvl w:val="0"/>
          <w:numId w:val="2"/>
        </w:numPr>
        <w:spacing w:after="80" w:line="290"/>
        <w:jc w:val="left"/>
      </w:pPr>
      <w:r>
        <w:rPr>
          <w:rFonts w:ascii="Arial" w:cs="Arial" w:eastAsia="Arial" w:hAnsi="Arial"/>
          <w:b/>
          <w:bCs/>
          <w:sz w:val="22"/>
          <w:szCs w:val="22"/>
        </w:rPr>
        <w:t xml:space="preserve">Elementos de protección personal (EPP)</w:t>
      </w:r>
      <w:r>
        <w:rPr>
          <w:rFonts w:ascii="Arial" w:cs="Arial" w:eastAsia="Arial" w:hAnsi="Arial"/>
          <w:sz w:val="22"/>
          <w:szCs w:val="22"/>
        </w:rPr>
        <w:t xml:space="preserve">, como última barrera después de los controles en la fuente.</w:t>
      </w:r>
    </w:p>
    <w:p>
      <w:pPr>
        <w:pStyle w:val="ListParagraph"/>
        <w:numPr>
          <w:ilvl w:val="0"/>
          <w:numId w:val="2"/>
        </w:numPr>
        <w:spacing w:after="80" w:line="290"/>
        <w:jc w:val="left"/>
      </w:pPr>
      <w:r>
        <w:rPr>
          <w:rFonts w:ascii="Arial" w:cs="Arial" w:eastAsia="Arial" w:hAnsi="Arial"/>
          <w:b/>
          <w:bCs/>
          <w:sz w:val="22"/>
          <w:szCs w:val="22"/>
        </w:rPr>
        <w:t xml:space="preserve">Inspecciones y mantenimiento preventivo</w:t>
      </w:r>
      <w:r>
        <w:rPr>
          <w:rFonts w:ascii="Arial" w:cs="Arial" w:eastAsia="Arial" w:hAnsi="Arial"/>
          <w:sz w:val="22"/>
          <w:szCs w:val="22"/>
        </w:rPr>
        <w:t xml:space="preserve"> de máquinas y protecciones.</w:t>
      </w:r>
    </w:p>
    <w:p>
      <w:pPr>
        <w:pStyle w:val="ListParagraph"/>
        <w:numPr>
          <w:ilvl w:val="0"/>
          <w:numId w:val="2"/>
        </w:numPr>
        <w:spacing w:after="80" w:line="290"/>
        <w:jc w:val="left"/>
      </w:pPr>
      <w:r>
        <w:rPr>
          <w:rFonts w:ascii="Arial" w:cs="Arial" w:eastAsia="Arial" w:hAnsi="Arial"/>
          <w:b/>
          <w:bCs/>
          <w:sz w:val="22"/>
          <w:szCs w:val="22"/>
        </w:rPr>
        <w:t xml:space="preserve">Investigación de accidentes e incidentes</w:t>
      </w:r>
      <w:r>
        <w:rPr>
          <w:rFonts w:ascii="Arial" w:cs="Arial" w:eastAsia="Arial" w:hAnsi="Arial"/>
          <w:sz w:val="22"/>
          <w:szCs w:val="22"/>
        </w:rPr>
        <w:t xml:space="preserve"> y seguimiento de acciones correctivas.</w:t>
      </w:r>
    </w:p>
    <w:p>
      <w:pPr>
        <w:pStyle w:val="Heading2"/>
        <w:spacing w:after="120" w:before="240"/>
      </w:pPr>
      <w:r>
        <w:rPr>
          <w:rFonts w:ascii="Arial" w:cs="Arial" w:eastAsia="Arial" w:hAnsi="Arial"/>
          <w:b/>
          <w:bCs/>
          <w:color w:val="2F5496"/>
          <w:sz w:val="25"/>
          <w:szCs w:val="25"/>
        </w:rPr>
        <w:t xml:space="preserve">12.1. Responsabilidades</w:t>
      </w:r>
    </w:p>
    <w:p>
      <w:pPr>
        <w:spacing w:after="120" w:line="300"/>
        <w:jc w:val="both"/>
      </w:pPr>
      <w:r>
        <w:rPr>
          <w:rFonts w:ascii="Arial" w:cs="Arial" w:eastAsia="Arial" w:hAnsi="Arial"/>
          <w:sz w:val="22"/>
          <w:szCs w:val="22"/>
        </w:rPr>
        <w:t xml:space="preserve">Empleadores, ART y trabajadores están obligados a adoptar las medidas de prevención previstas legalmente [10]. El empleador mantiene el deber de cumplir las normas de higiene y seguridad; la ART asesora, informa y denuncia incumplimientos [3]; y los trabajadores participan activamente en las acciones preventivas [10].</w:t>
      </w:r>
    </w:p>
    <w:p>
      <w:pPr>
        <w:pStyle w:val="Heading2"/>
        <w:spacing w:after="120" w:before="240"/>
      </w:pPr>
      <w:r>
        <w:rPr>
          <w:rFonts w:ascii="Arial" w:cs="Arial" w:eastAsia="Arial" w:hAnsi="Arial"/>
          <w:b/>
          <w:bCs/>
          <w:color w:val="2F5496"/>
          <w:sz w:val="25"/>
          <w:szCs w:val="25"/>
        </w:rPr>
        <w:t xml:space="preserve">12.2. Programas PESE y PESE-PyMES</w:t>
      </w:r>
    </w:p>
    <w:p>
      <w:pPr>
        <w:spacing w:after="120" w:line="300"/>
        <w:jc w:val="both"/>
      </w:pPr>
      <w:r>
        <w:rPr>
          <w:rFonts w:ascii="Arial" w:cs="Arial" w:eastAsia="Arial" w:hAnsi="Arial"/>
          <w:sz w:val="22"/>
          <w:szCs w:val="22"/>
        </w:rPr>
        <w:t xml:space="preserve">El </w:t>
      </w:r>
      <w:r>
        <w:rPr>
          <w:rFonts w:ascii="Arial" w:cs="Arial" w:eastAsia="Arial" w:hAnsi="Arial"/>
          <w:b/>
          <w:bCs/>
          <w:sz w:val="22"/>
          <w:szCs w:val="22"/>
        </w:rPr>
        <w:t xml:space="preserve">PESE</w:t>
      </w:r>
      <w:r>
        <w:rPr>
          <w:rFonts w:ascii="Arial" w:cs="Arial" w:eastAsia="Arial" w:hAnsi="Arial"/>
          <w:sz w:val="22"/>
          <w:szCs w:val="22"/>
        </w:rPr>
        <w:t xml:space="preserve"> (Res. SRT 363/2016) se dirige a empleadores con nómina de 50 o más trabajadores y altos niveles de siniestralidad; el empleador debe cumplir las obligaciones del programa durante dos años [4][19]. El </w:t>
      </w:r>
      <w:r>
        <w:rPr>
          <w:rFonts w:ascii="Arial" w:cs="Arial" w:eastAsia="Arial" w:hAnsi="Arial"/>
          <w:b/>
          <w:bCs/>
          <w:sz w:val="22"/>
          <w:szCs w:val="22"/>
        </w:rPr>
        <w:t xml:space="preserve">PESE-PyMES</w:t>
      </w:r>
      <w:r>
        <w:rPr>
          <w:rFonts w:ascii="Arial" w:cs="Arial" w:eastAsia="Arial" w:hAnsi="Arial"/>
          <w:sz w:val="22"/>
          <w:szCs w:val="22"/>
        </w:rPr>
        <w:t xml:space="preserve"> (Res. SRT 20/2018) abarca a empleadores de 11 a 49 trabajadores cuyo índice de incidencia supere en 30% el de su sector [3][4]. Sus componentes incluyen el Informe General del Empleador (IGE) y un plan de reducción de siniestralidad (PRS o PRS-PyME) [3][19]. Las páginas oficiales describen ambos programas sin fecha; no se revisó el texto consolidado. Este informe no dispone de datos sobre qué empleadores de Misiones integran estos programas.</w:t>
      </w:r>
    </w:p>
    <w:p>
      <w:pPr>
        <w:pStyle w:val="Heading1"/>
        <w:spacing w:after="160" w:before="360"/>
      </w:pPr>
      <w:r>
        <w:rPr>
          <w:rFonts w:ascii="Arial" w:cs="Arial" w:eastAsia="Arial" w:hAnsi="Arial"/>
          <w:b/>
          <w:bCs/>
          <w:color w:val="1F3864"/>
          <w:sz w:val="30"/>
          <w:szCs w:val="30"/>
        </w:rPr>
        <w:t xml:space="preserve">13. Análisis y discusión</w:t>
      </w:r>
    </w:p>
    <w:p>
      <w:pPr>
        <w:pStyle w:val="Heading2"/>
        <w:spacing w:after="120" w:before="240"/>
      </w:pPr>
      <w:r>
        <w:rPr>
          <w:rFonts w:ascii="Arial" w:cs="Arial" w:eastAsia="Arial" w:hAnsi="Arial"/>
          <w:b/>
          <w:bCs/>
          <w:color w:val="2F5496"/>
          <w:sz w:val="25"/>
          <w:szCs w:val="25"/>
        </w:rPr>
        <w:t xml:space="preserve">13.1. Hallazgos estadísticos</w:t>
      </w:r>
    </w:p>
    <w:p>
      <w:pPr>
        <w:spacing w:after="120" w:line="300"/>
        <w:jc w:val="both"/>
      </w:pPr>
      <w:r>
        <w:rPr>
          <w:rFonts w:ascii="Arial" w:cs="Arial" w:eastAsia="Arial" w:hAnsi="Arial"/>
          <w:sz w:val="22"/>
          <w:szCs w:val="22"/>
        </w:rPr>
        <w:t xml:space="preserve">Se dispone de cifras de referencia de Misiones, parciales y sin categoría verificada (Tabla 2), y de indicadores nacionales de la industria manufacturera para 2021, 2022 y 2024 (Tabla 3). Ambos conjuntos difieren en ámbito, agregación y forma de medición: los provinciales son cantidades absolutas y los nacionales incluyen un índice por mil trabajadores cubiertos. </w:t>
      </w:r>
      <w:r>
        <w:rPr>
          <w:rFonts w:ascii="Arial" w:cs="Arial" w:eastAsia="Arial" w:hAnsi="Arial"/>
          <w:b/>
          <w:bCs/>
          <w:sz w:val="22"/>
          <w:szCs w:val="22"/>
        </w:rPr>
        <w:t xml:space="preserve">No es posible compararlos</w:t>
      </w:r>
      <w:r>
        <w:rPr>
          <w:rFonts w:ascii="Arial" w:cs="Arial" w:eastAsia="Arial" w:hAnsi="Arial"/>
          <w:sz w:val="22"/>
          <w:szCs w:val="22"/>
        </w:rPr>
        <w:t xml:space="preserve">: no se conoce la población cubierta en Misiones ni el sector de las cifras provinciales.</w:t>
      </w:r>
    </w:p>
    <w:p>
      <w:pPr>
        <w:pStyle w:val="Heading2"/>
        <w:spacing w:after="120" w:before="240"/>
      </w:pPr>
      <w:r>
        <w:rPr>
          <w:rFonts w:ascii="Arial" w:cs="Arial" w:eastAsia="Arial" w:hAnsi="Arial"/>
          <w:b/>
          <w:bCs/>
          <w:color w:val="2F5496"/>
          <w:sz w:val="25"/>
          <w:szCs w:val="25"/>
        </w:rPr>
        <w:t xml:space="preserve">13.2. Explicaciones normativas</w:t>
      </w:r>
    </w:p>
    <w:p>
      <w:pPr>
        <w:spacing w:after="120" w:line="300"/>
        <w:jc w:val="both"/>
      </w:pPr>
      <w:r>
        <w:rPr>
          <w:rFonts w:ascii="Arial" w:cs="Arial" w:eastAsia="Arial" w:hAnsi="Arial"/>
          <w:sz w:val="22"/>
          <w:szCs w:val="22"/>
        </w:rPr>
        <w:t xml:space="preserve">El marco verificado muestra un sistema en el que la prevención es un objetivo legal y en el que existen programas focalizados para empleadores con alta siniestralidad (PESE y PESE-PyMES). Las alícuotas promedio de la SRT son instrumentos para calcular deudas. Estas normas describen el diseño del sistema; no se documentó que hayan modificado la accidentabilidad de Misiones.</w:t>
      </w:r>
    </w:p>
    <w:p>
      <w:pPr>
        <w:pStyle w:val="Heading2"/>
        <w:spacing w:after="120" w:before="240"/>
      </w:pPr>
      <w:r>
        <w:rPr>
          <w:rFonts w:ascii="Arial" w:cs="Arial" w:eastAsia="Arial" w:hAnsi="Arial"/>
          <w:b/>
          <w:bCs/>
          <w:color w:val="2F5496"/>
          <w:sz w:val="25"/>
          <w:szCs w:val="25"/>
        </w:rPr>
        <w:t xml:space="preserve">13.3. Riesgos técnicos de la actividad</w:t>
      </w:r>
    </w:p>
    <w:p>
      <w:pPr>
        <w:spacing w:after="120" w:line="300"/>
        <w:jc w:val="both"/>
      </w:pPr>
      <w:r>
        <w:rPr>
          <w:rFonts w:ascii="Arial" w:cs="Arial" w:eastAsia="Arial" w:hAnsi="Arial"/>
          <w:sz w:val="22"/>
          <w:szCs w:val="22"/>
        </w:rPr>
        <w:t xml:space="preserve">Los riesgos de papel y celulosa (Tabla 5) son peligros propios de los procesos y equipos. Son un insumo para la prevención, no una medida de cuántos accidentes ocurren.</w:t>
      </w:r>
    </w:p>
    <w:p>
      <w:pPr>
        <w:pStyle w:val="Heading2"/>
        <w:spacing w:after="120" w:before="240"/>
      </w:pPr>
      <w:r>
        <w:rPr>
          <w:rFonts w:ascii="Arial" w:cs="Arial" w:eastAsia="Arial" w:hAnsi="Arial"/>
          <w:b/>
          <w:bCs/>
          <w:color w:val="2F5496"/>
          <w:sz w:val="25"/>
          <w:szCs w:val="25"/>
        </w:rPr>
        <w:t xml:space="preserve">13.4. Limitaciones de información</w:t>
      </w:r>
    </w:p>
    <w:p>
      <w:pPr>
        <w:pStyle w:val="ListParagraph"/>
        <w:numPr>
          <w:ilvl w:val="0"/>
          <w:numId w:val="2"/>
        </w:numPr>
        <w:spacing w:after="80" w:line="290"/>
        <w:jc w:val="left"/>
      </w:pPr>
      <w:r>
        <w:rPr>
          <w:rFonts w:ascii="Arial" w:cs="Arial" w:eastAsia="Arial" w:hAnsi="Arial"/>
          <w:sz w:val="22"/>
          <w:szCs w:val="22"/>
        </w:rPr>
        <w:t xml:space="preserve">No hay serie anual homogénea de Misiones 2021-2025.</w:t>
      </w:r>
    </w:p>
    <w:p>
      <w:pPr>
        <w:pStyle w:val="ListParagraph"/>
        <w:numPr>
          <w:ilvl w:val="0"/>
          <w:numId w:val="2"/>
        </w:numPr>
        <w:spacing w:after="80" w:line="290"/>
        <w:jc w:val="left"/>
      </w:pPr>
      <w:r>
        <w:rPr>
          <w:rFonts w:ascii="Arial" w:cs="Arial" w:eastAsia="Arial" w:hAnsi="Arial"/>
          <w:sz w:val="22"/>
          <w:szCs w:val="22"/>
        </w:rPr>
        <w:t xml:space="preserve">No hay desagregación por sector en las cifras provinciales.</w:t>
      </w:r>
    </w:p>
    <w:p>
      <w:pPr>
        <w:pStyle w:val="ListParagraph"/>
        <w:numPr>
          <w:ilvl w:val="0"/>
          <w:numId w:val="2"/>
        </w:numPr>
        <w:spacing w:after="80" w:line="290"/>
        <w:jc w:val="left"/>
      </w:pPr>
      <w:r>
        <w:rPr>
          <w:rFonts w:ascii="Arial" w:cs="Arial" w:eastAsia="Arial" w:hAnsi="Arial"/>
          <w:sz w:val="22"/>
          <w:szCs w:val="22"/>
        </w:rPr>
        <w:t xml:space="preserve">No hay estadísticas de papel y celulosa.</w:t>
      </w:r>
    </w:p>
    <w:p>
      <w:pPr>
        <w:pStyle w:val="ListParagraph"/>
        <w:numPr>
          <w:ilvl w:val="0"/>
          <w:numId w:val="2"/>
        </w:numPr>
        <w:spacing w:after="80" w:line="290"/>
        <w:jc w:val="left"/>
      </w:pPr>
      <w:r>
        <w:rPr>
          <w:rFonts w:ascii="Arial" w:cs="Arial" w:eastAsia="Arial" w:hAnsi="Arial"/>
          <w:sz w:val="22"/>
          <w:szCs w:val="22"/>
        </w:rPr>
        <w:t xml:space="preserve">No se dispone de alícuotas, cápitas ni costos reales.</w:t>
      </w:r>
    </w:p>
    <w:p>
      <w:pPr>
        <w:pStyle w:val="ListParagraph"/>
        <w:numPr>
          <w:ilvl w:val="0"/>
          <w:numId w:val="2"/>
        </w:numPr>
        <w:spacing w:after="80" w:line="290"/>
        <w:jc w:val="left"/>
      </w:pPr>
      <w:r>
        <w:rPr>
          <w:rFonts w:ascii="Arial" w:cs="Arial" w:eastAsia="Arial" w:hAnsi="Arial"/>
          <w:sz w:val="22"/>
          <w:szCs w:val="22"/>
        </w:rPr>
        <w:t xml:space="preserve">Varias normas del material no pudieron verificarse.</w:t>
      </w:r>
    </w:p>
    <w:p>
      <w:pPr>
        <w:spacing w:after="120" w:line="300"/>
        <w:jc w:val="both"/>
      </w:pPr>
      <w:r>
        <w:rPr>
          <w:rFonts w:ascii="Arial" w:cs="Arial" w:eastAsia="Arial" w:hAnsi="Arial"/>
          <w:b/>
          <w:bCs/>
          <w:sz w:val="22"/>
          <w:szCs w:val="22"/>
        </w:rPr>
        <w:t xml:space="preserve">Sobre la causalidad.</w:t>
      </w:r>
      <w:r>
        <w:rPr>
          <w:rFonts w:ascii="Arial" w:cs="Arial" w:eastAsia="Arial" w:hAnsi="Arial"/>
          <w:sz w:val="22"/>
          <w:szCs w:val="22"/>
        </w:rPr>
        <w:t xml:space="preserve"> No existe evidencia en este trabajo para afirmar que las alícuotas influyan en los accidentes, ni que una norma, empresa o política haya producido cambios de accidentabilidad. Tales relaciones requerirían series homogéneas por establecimiento, que no están disponibles.</w:t>
      </w:r>
    </w:p>
    <w:p>
      <w:pPr>
        <w:pStyle w:val="Heading1"/>
        <w:spacing w:after="160" w:before="360"/>
      </w:pPr>
      <w:r>
        <w:rPr>
          <w:rFonts w:ascii="Arial" w:cs="Arial" w:eastAsia="Arial" w:hAnsi="Arial"/>
          <w:b/>
          <w:bCs/>
          <w:color w:val="1F3864"/>
          <w:sz w:val="30"/>
          <w:szCs w:val="30"/>
        </w:rPr>
        <w:t xml:space="preserve">14. Conclusiones</w:t>
      </w:r>
    </w:p>
    <w:p>
      <w:pPr>
        <w:pStyle w:val="ListParagraph"/>
        <w:numPr>
          <w:ilvl w:val="0"/>
          <w:numId w:val="2"/>
        </w:numPr>
        <w:spacing w:after="80" w:line="290"/>
        <w:jc w:val="left"/>
      </w:pPr>
      <w:r>
        <w:rPr>
          <w:rFonts w:ascii="Arial" w:cs="Arial" w:eastAsia="Arial" w:hAnsi="Arial"/>
          <w:b/>
          <w:bCs/>
          <w:sz w:val="22"/>
          <w:szCs w:val="22"/>
        </w:rPr>
        <w:t xml:space="preserve">Indicadores de Misiones.</w:t>
      </w:r>
      <w:r>
        <w:rPr>
          <w:rFonts w:ascii="Arial" w:cs="Arial" w:eastAsia="Arial" w:hAnsi="Arial"/>
          <w:sz w:val="22"/>
          <w:szCs w:val="22"/>
        </w:rPr>
        <w:t xml:space="preserve"> Solo se dispone de cifras parciales de referencia, sin fuente primaria ni categoría verificadas. No es posible describir una evolución 2021-2025; lo prudente es declarar que la serie es insuficiente.</w:t>
      </w:r>
    </w:p>
    <w:p>
      <w:pPr>
        <w:pStyle w:val="ListParagraph"/>
        <w:numPr>
          <w:ilvl w:val="0"/>
          <w:numId w:val="2"/>
        </w:numPr>
        <w:spacing w:after="80" w:line="290"/>
        <w:jc w:val="left"/>
      </w:pPr>
      <w:r>
        <w:rPr>
          <w:rFonts w:ascii="Arial" w:cs="Arial" w:eastAsia="Arial" w:hAnsi="Arial"/>
          <w:b/>
          <w:bCs/>
          <w:sz w:val="22"/>
          <w:szCs w:val="22"/>
        </w:rPr>
        <w:t xml:space="preserve">Comparación con la industria manufacturera nacional.</w:t>
      </w:r>
      <w:r>
        <w:rPr>
          <w:rFonts w:ascii="Arial" w:cs="Arial" w:eastAsia="Arial" w:hAnsi="Arial"/>
          <w:sz w:val="22"/>
          <w:szCs w:val="22"/>
        </w:rPr>
        <w:t xml:space="preserve"> Los indicadores nacionales (2021, 2022 y 2024) tienen otro ámbito y forma de medición; no se pudo realizar una comparación válida con Misiones.</w:t>
      </w:r>
    </w:p>
    <w:p>
      <w:pPr>
        <w:pStyle w:val="ListParagraph"/>
        <w:numPr>
          <w:ilvl w:val="0"/>
          <w:numId w:val="2"/>
        </w:numPr>
        <w:spacing w:after="80" w:line="290"/>
        <w:jc w:val="left"/>
      </w:pPr>
      <w:r>
        <w:rPr>
          <w:rFonts w:ascii="Arial" w:cs="Arial" w:eastAsia="Arial" w:hAnsi="Arial"/>
          <w:b/>
          <w:bCs/>
          <w:sz w:val="22"/>
          <w:szCs w:val="22"/>
        </w:rPr>
        <w:t xml:space="preserve">Sistema ART.</w:t>
      </w:r>
      <w:r>
        <w:rPr>
          <w:rFonts w:ascii="Arial" w:cs="Arial" w:eastAsia="Arial" w:hAnsi="Arial"/>
          <w:sz w:val="22"/>
          <w:szCs w:val="22"/>
        </w:rPr>
        <w:t xml:space="preserve"> La Ley 24.557 asigna obligaciones de prevención a empleadores, ART y trabajadores; las ART registran la siniestralidad por establecimiento y la SRT controla el sistema.</w:t>
      </w:r>
    </w:p>
    <w:p>
      <w:pPr>
        <w:pStyle w:val="ListParagraph"/>
        <w:numPr>
          <w:ilvl w:val="0"/>
          <w:numId w:val="2"/>
        </w:numPr>
        <w:spacing w:after="80" w:line="290"/>
        <w:jc w:val="left"/>
      </w:pPr>
      <w:r>
        <w:rPr>
          <w:rFonts w:ascii="Arial" w:cs="Arial" w:eastAsia="Arial" w:hAnsi="Arial"/>
          <w:b/>
          <w:bCs/>
          <w:sz w:val="22"/>
          <w:szCs w:val="22"/>
        </w:rPr>
        <w:t xml:space="preserve">Cuota y alícuotas.</w:t>
      </w:r>
      <w:r>
        <w:rPr>
          <w:rFonts w:ascii="Arial" w:cs="Arial" w:eastAsia="Arial" w:hAnsi="Arial"/>
          <w:sz w:val="22"/>
          <w:szCs w:val="22"/>
        </w:rPr>
        <w:t xml:space="preserve"> La cuota se entiende como un componente fijo por trabajador más un porcentaje sobre la masa salarial; la relación entre siniestralidad y costo no es automática. No se cuenta con datos para cuantificar costos de empresas de Misiones.</w:t>
      </w:r>
    </w:p>
    <w:p>
      <w:pPr>
        <w:pStyle w:val="ListParagraph"/>
        <w:numPr>
          <w:ilvl w:val="0"/>
          <w:numId w:val="2"/>
        </w:numPr>
        <w:spacing w:after="80" w:line="290"/>
        <w:jc w:val="left"/>
      </w:pPr>
      <w:r>
        <w:rPr>
          <w:rFonts w:ascii="Arial" w:cs="Arial" w:eastAsia="Arial" w:hAnsi="Arial"/>
          <w:b/>
          <w:bCs/>
          <w:sz w:val="22"/>
          <w:szCs w:val="22"/>
        </w:rPr>
        <w:t xml:space="preserve">Riesgos de papel y celulosa.</w:t>
      </w:r>
      <w:r>
        <w:rPr>
          <w:rFonts w:ascii="Arial" w:cs="Arial" w:eastAsia="Arial" w:hAnsi="Arial"/>
          <w:sz w:val="22"/>
          <w:szCs w:val="22"/>
        </w:rPr>
        <w:t xml:space="preserve"> Se identificaron riesgos técnicos relevantes (mecánicos, térmicos, químicos, de incendio y explosión, entre otros) sin poder medir su frecuencia.</w:t>
      </w:r>
    </w:p>
    <w:p>
      <w:pPr>
        <w:pStyle w:val="ListParagraph"/>
        <w:numPr>
          <w:ilvl w:val="0"/>
          <w:numId w:val="2"/>
        </w:numPr>
        <w:spacing w:after="80" w:line="290"/>
        <w:jc w:val="left"/>
      </w:pPr>
      <w:r>
        <w:rPr>
          <w:rFonts w:ascii="Arial" w:cs="Arial" w:eastAsia="Arial" w:hAnsi="Arial"/>
          <w:b/>
          <w:bCs/>
          <w:sz w:val="22"/>
          <w:szCs w:val="22"/>
        </w:rPr>
        <w:t xml:space="preserve">Normativa.</w:t>
      </w:r>
      <w:r>
        <w:rPr>
          <w:rFonts w:ascii="Arial" w:cs="Arial" w:eastAsia="Arial" w:hAnsi="Arial"/>
          <w:sz w:val="22"/>
          <w:szCs w:val="22"/>
        </w:rPr>
        <w:t xml:space="preserve"> De las normas 2021-2025 del material, dos se verificaron (RC 2/2022 y Res. 61/2023), dos parcialmente y cuatro quedaron pendientes; ninguna se vinculó con la accidentabilidad.</w:t>
      </w:r>
    </w:p>
    <w:p>
      <w:pPr>
        <w:pStyle w:val="ListParagraph"/>
        <w:numPr>
          <w:ilvl w:val="0"/>
          <w:numId w:val="2"/>
        </w:numPr>
        <w:spacing w:after="80" w:line="290"/>
        <w:jc w:val="left"/>
      </w:pPr>
      <w:r>
        <w:rPr>
          <w:rFonts w:ascii="Arial" w:cs="Arial" w:eastAsia="Arial" w:hAnsi="Arial"/>
          <w:b/>
          <w:bCs/>
          <w:sz w:val="22"/>
          <w:szCs w:val="22"/>
        </w:rPr>
        <w:t xml:space="preserve">Prevención.</w:t>
      </w:r>
      <w:r>
        <w:rPr>
          <w:rFonts w:ascii="Arial" w:cs="Arial" w:eastAsia="Arial" w:hAnsi="Arial"/>
          <w:sz w:val="22"/>
          <w:szCs w:val="22"/>
        </w:rPr>
        <w:t xml:space="preserve"> La prevención es el eje legal del sistema; evaluar su impacto en papel y celulosa en Misiones requiere estadísticas más desagregadas.</w:t>
      </w:r>
    </w:p>
    <w:p>
      <w:pPr>
        <w:pStyle w:val="Heading1"/>
        <w:spacing w:after="160" w:before="360"/>
      </w:pPr>
      <w:r>
        <w:rPr>
          <w:rFonts w:ascii="Arial" w:cs="Arial" w:eastAsia="Arial" w:hAnsi="Arial"/>
          <w:b/>
          <w:bCs/>
          <w:color w:val="1F3864"/>
          <w:sz w:val="30"/>
          <w:szCs w:val="30"/>
        </w:rPr>
        <w:t xml:space="preserve">15. Recomendaciones</w:t>
      </w:r>
    </w:p>
    <w:p>
      <w:pPr>
        <w:spacing w:after="160" w:before="60"/>
        <w:jc w:val="left"/>
      </w:pPr>
      <w:r>
        <w:rPr>
          <w:rFonts w:ascii="Arial" w:cs="Arial" w:eastAsia="Arial" w:hAnsi="Arial"/>
          <w:i/>
          <w:iCs/>
          <w:color w:val="404040"/>
          <w:sz w:val="20"/>
          <w:szCs w:val="20"/>
        </w:rPr>
        <w:t xml:space="preserve">Las siguientes son propuestas del informe, no hechos comprobados.</w:t>
      </w:r>
    </w:p>
    <w:p>
      <w:pPr>
        <w:pStyle w:val="ListParagraph"/>
        <w:numPr>
          <w:ilvl w:val="0"/>
          <w:numId w:val="2"/>
        </w:numPr>
        <w:spacing w:after="80" w:line="290"/>
        <w:jc w:val="left"/>
      </w:pPr>
      <w:r>
        <w:rPr>
          <w:rFonts w:ascii="Arial" w:cs="Arial" w:eastAsia="Arial" w:hAnsi="Arial"/>
          <w:sz w:val="22"/>
          <w:szCs w:val="22"/>
        </w:rPr>
        <w:t xml:space="preserve">Solicitar a la SRT, por los canales de acceso a la información pública, series anuales de Misiones por actividad (CIIU) con población cubierta e índices de incidencia.</w:t>
      </w:r>
    </w:p>
    <w:p>
      <w:pPr>
        <w:pStyle w:val="ListParagraph"/>
        <w:numPr>
          <w:ilvl w:val="0"/>
          <w:numId w:val="2"/>
        </w:numPr>
        <w:spacing w:after="80" w:line="290"/>
        <w:jc w:val="left"/>
      </w:pPr>
      <w:r>
        <w:rPr>
          <w:rFonts w:ascii="Arial" w:cs="Arial" w:eastAsia="Arial" w:hAnsi="Arial"/>
          <w:sz w:val="22"/>
          <w:szCs w:val="22"/>
        </w:rPr>
        <w:t xml:space="preserve">Identificar y documentar la fuente primaria y la categoría de cada cifra provincial antes de utilizarla.</w:t>
      </w:r>
    </w:p>
    <w:p>
      <w:pPr>
        <w:pStyle w:val="ListParagraph"/>
        <w:numPr>
          <w:ilvl w:val="0"/>
          <w:numId w:val="2"/>
        </w:numPr>
        <w:spacing w:after="80" w:line="290"/>
        <w:jc w:val="left"/>
      </w:pPr>
      <w:r>
        <w:rPr>
          <w:rFonts w:ascii="Arial" w:cs="Arial" w:eastAsia="Arial" w:hAnsi="Arial"/>
          <w:sz w:val="22"/>
          <w:szCs w:val="22"/>
        </w:rPr>
        <w:t xml:space="preserve">Verificar en el Boletín Oficial y en InfoLEG las normas marcadas como pendientes antes de citarlas.</w:t>
      </w:r>
    </w:p>
    <w:p>
      <w:pPr>
        <w:pStyle w:val="ListParagraph"/>
        <w:numPr>
          <w:ilvl w:val="0"/>
          <w:numId w:val="2"/>
        </w:numPr>
        <w:spacing w:after="80" w:line="290"/>
        <w:jc w:val="left"/>
      </w:pPr>
      <w:r>
        <w:rPr>
          <w:rFonts w:ascii="Arial" w:cs="Arial" w:eastAsia="Arial" w:hAnsi="Arial"/>
          <w:sz w:val="22"/>
          <w:szCs w:val="22"/>
        </w:rPr>
        <w:t xml:space="preserve">Revisar el efecto de la Ley 27.802 sobre el régimen de ART.</w:t>
      </w:r>
    </w:p>
    <w:p>
      <w:pPr>
        <w:pStyle w:val="ListParagraph"/>
        <w:numPr>
          <w:ilvl w:val="0"/>
          <w:numId w:val="2"/>
        </w:numPr>
        <w:spacing w:after="80" w:line="290"/>
        <w:jc w:val="left"/>
      </w:pPr>
      <w:r>
        <w:rPr>
          <w:rFonts w:ascii="Arial" w:cs="Arial" w:eastAsia="Arial" w:hAnsi="Arial"/>
          <w:sz w:val="22"/>
          <w:szCs w:val="22"/>
        </w:rPr>
        <w:t xml:space="preserve">Con la autorización de las empresas, relevar datos de nómina, masa salarial y siniestralidad propios para analizar costos.</w:t>
      </w:r>
    </w:p>
    <w:p>
      <w:pPr>
        <w:pStyle w:val="ListParagraph"/>
        <w:numPr>
          <w:ilvl w:val="0"/>
          <w:numId w:val="2"/>
        </w:numPr>
        <w:spacing w:after="80" w:line="290"/>
        <w:jc w:val="left"/>
      </w:pPr>
      <w:r>
        <w:rPr>
          <w:rFonts w:ascii="Arial" w:cs="Arial" w:eastAsia="Arial" w:hAnsi="Arial"/>
          <w:sz w:val="22"/>
          <w:szCs w:val="22"/>
        </w:rPr>
        <w:t xml:space="preserve">A nivel de establecimiento, priorizar evaluaciones de riesgo para atrapamientos, energías peligrosas, polvo combustible, altura y espacios confinados, y registrar los incidentes.</w:t>
      </w:r>
    </w:p>
    <w:p>
      <w:pPr>
        <w:pStyle w:val="ListParagraph"/>
        <w:numPr>
          <w:ilvl w:val="0"/>
          <w:numId w:val="2"/>
        </w:numPr>
        <w:spacing w:after="80" w:line="290"/>
        <w:jc w:val="left"/>
      </w:pPr>
      <w:r>
        <w:rPr>
          <w:rFonts w:ascii="Arial" w:cs="Arial" w:eastAsia="Arial" w:hAnsi="Arial"/>
          <w:sz w:val="22"/>
          <w:szCs w:val="22"/>
        </w:rPr>
        <w:t xml:space="preserve">Sostener la capacitación y la investigación sistemática de accidentes como base para la mejora continua.</w:t>
      </w:r>
    </w:p>
    <w:p>
      <w:pPr>
        <w:pStyle w:val="Heading1"/>
        <w:spacing w:after="160" w:before="360"/>
      </w:pPr>
      <w:r>
        <w:rPr>
          <w:rFonts w:ascii="Arial" w:cs="Arial" w:eastAsia="Arial" w:hAnsi="Arial"/>
          <w:b/>
          <w:bCs/>
          <w:color w:val="1F3864"/>
          <w:sz w:val="30"/>
          <w:szCs w:val="30"/>
        </w:rPr>
        <w:t xml:space="preserve">16. Bibliografía</w:t>
      </w:r>
    </w:p>
    <w:p>
      <w:pPr>
        <w:spacing w:after="160" w:before="60"/>
        <w:jc w:val="left"/>
      </w:pPr>
      <w:r>
        <w:rPr>
          <w:rFonts w:ascii="Arial" w:cs="Arial" w:eastAsia="Arial" w:hAnsi="Arial"/>
          <w:i/>
          <w:iCs/>
          <w:color w:val="404040"/>
          <w:sz w:val="20"/>
          <w:szCs w:val="20"/>
        </w:rPr>
        <w:t xml:space="preserve">Solo se incluyen fuentes efectivamente consultadas. No se consultaron documentos empresariales ni prensa local. Se indica la fecha de consulta: 30/09/2026.</w:t>
      </w:r>
    </w:p>
    <w:p>
      <w:pPr>
        <w:pStyle w:val="Heading2"/>
        <w:spacing w:after="120" w:before="240"/>
      </w:pPr>
      <w:r>
        <w:rPr>
          <w:rFonts w:ascii="Arial" w:cs="Arial" w:eastAsia="Arial" w:hAnsi="Arial"/>
          <w:b/>
          <w:bCs/>
          <w:color w:val="2F5496"/>
          <w:sz w:val="25"/>
          <w:szCs w:val="25"/>
        </w:rPr>
        <w:t xml:space="preserve">A. Fuentes oficiales</w:t>
      </w:r>
    </w:p>
    <w:p>
      <w:pPr>
        <w:spacing w:after="100"/>
        <w:jc w:val="left"/>
      </w:pPr>
      <w:r>
        <w:rPr>
          <w:rFonts w:ascii="Arial" w:cs="Arial" w:eastAsia="Arial" w:hAnsi="Arial"/>
          <w:sz w:val="19"/>
          <w:szCs w:val="19"/>
        </w:rPr>
        <w:t xml:space="preserve">[1] Superintendencia de Riesgos del Trabajo (SRT). Informe Anual de Accidentabilidad Laboral 2017 – Resumen ejecutivo. 2018. </w:t>
      </w:r>
      <w:hyperlink w:history="1" r:id="rIdncbtejgzjvyzjbxlnfzne">
        <w:r>
          <w:rPr>
            <w:rFonts w:ascii="Arial" w:cs="Arial" w:eastAsia="Arial" w:hAnsi="Arial"/>
            <w:color w:val="0563C1"/>
            <w:sz w:val="18"/>
            <w:szCs w:val="18"/>
            <w:u w:val="single"/>
          </w:rPr>
          <w:t xml:space="preserve">https://www.argentina.gob.ar/sites/default/files/informe_anual_de_accidentabilidad_laboral_-_resumen_ejecutivo_-_ano_2017.pdf</w:t>
        </w:r>
      </w:hyperlink>
    </w:p>
    <w:p>
      <w:pPr>
        <w:spacing w:after="100"/>
        <w:jc w:val="left"/>
      </w:pPr>
      <w:r>
        <w:rPr>
          <w:rFonts w:ascii="Arial" w:cs="Arial" w:eastAsia="Arial" w:hAnsi="Arial"/>
          <w:sz w:val="19"/>
          <w:szCs w:val="19"/>
        </w:rPr>
        <w:t xml:space="preserve">[2] SRT. Informe provisorio de accidentabilidad laboral, enero a diciembre de 2025. Marzo de 2026. (Copia alojada en sitio de terceros; original no localizado). </w:t>
      </w:r>
      <w:hyperlink w:history="1" r:id="rIdondg9sn9_-eq-u-yapfyz">
        <w:r>
          <w:rPr>
            <w:rFonts w:ascii="Arial" w:cs="Arial" w:eastAsia="Arial" w:hAnsi="Arial"/>
            <w:color w:val="0563C1"/>
            <w:sz w:val="18"/>
            <w:szCs w:val="18"/>
            <w:u w:val="single"/>
          </w:rPr>
          <w:t xml:space="preserve">https://www.elsol.com.ar/wp-content/uploads/2026/04/Informe-provisorio-de-accidentabilidad-laboral.pdf</w:t>
        </w:r>
      </w:hyperlink>
    </w:p>
    <w:p>
      <w:pPr>
        <w:spacing w:after="100"/>
        <w:jc w:val="left"/>
      </w:pPr>
      <w:r>
        <w:rPr>
          <w:rFonts w:ascii="Arial" w:cs="Arial" w:eastAsia="Arial" w:hAnsi="Arial"/>
          <w:sz w:val="19"/>
          <w:szCs w:val="19"/>
        </w:rPr>
        <w:t xml:space="preserve">[3] SRT. Resolución 20/2018 (texto). Argentina.gob.ar. </w:t>
      </w:r>
      <w:hyperlink w:history="1" r:id="rIdnunsc5clx0ufusmguqbyr">
        <w:r>
          <w:rPr>
            <w:rFonts w:ascii="Arial" w:cs="Arial" w:eastAsia="Arial" w:hAnsi="Arial"/>
            <w:color w:val="0563C1"/>
            <w:sz w:val="18"/>
            <w:szCs w:val="18"/>
            <w:u w:val="single"/>
          </w:rPr>
          <w:t xml:space="preserve">https://www.argentina.gob.ar/normativa/nacional/307746/texto</w:t>
        </w:r>
      </w:hyperlink>
    </w:p>
    <w:p>
      <w:pPr>
        <w:spacing w:after="100"/>
        <w:jc w:val="left"/>
      </w:pPr>
      <w:r>
        <w:rPr>
          <w:rFonts w:ascii="Arial" w:cs="Arial" w:eastAsia="Arial" w:hAnsi="Arial"/>
          <w:sz w:val="19"/>
          <w:szCs w:val="19"/>
        </w:rPr>
        <w:t xml:space="preserve">[4] Argentina.gob.ar. Programas de prevención (PESE). Sin fecha. </w:t>
      </w:r>
      <w:hyperlink w:history="1" r:id="rIdbrazyhobvnag22aghzfkv">
        <w:r>
          <w:rPr>
            <w:rFonts w:ascii="Arial" w:cs="Arial" w:eastAsia="Arial" w:hAnsi="Arial"/>
            <w:color w:val="0563C1"/>
            <w:sz w:val="18"/>
            <w:szCs w:val="18"/>
            <w:u w:val="single"/>
          </w:rPr>
          <w:t xml:space="preserve">https://www.argentina.gob.ar/node/128529</w:t>
        </w:r>
      </w:hyperlink>
    </w:p>
    <w:p>
      <w:pPr>
        <w:spacing w:after="100"/>
        <w:jc w:val="left"/>
      </w:pPr>
      <w:r>
        <w:rPr>
          <w:rFonts w:ascii="Arial" w:cs="Arial" w:eastAsia="Arial" w:hAnsi="Arial"/>
          <w:sz w:val="19"/>
          <w:szCs w:val="19"/>
        </w:rPr>
        <w:t xml:space="preserve">[5] Argentina.gob.ar. Programa PESE-PyMES. Sin fecha. </w:t>
      </w:r>
      <w:hyperlink w:history="1" r:id="rIdqf_pyijoak7rjdezkbmj0">
        <w:r>
          <w:rPr>
            <w:rFonts w:ascii="Arial" w:cs="Arial" w:eastAsia="Arial" w:hAnsi="Arial"/>
            <w:color w:val="0563C1"/>
            <w:sz w:val="18"/>
            <w:szCs w:val="18"/>
            <w:u w:val="single"/>
          </w:rPr>
          <w:t xml:space="preserve">https://www.argentina.gob.ar/node/127740</w:t>
        </w:r>
      </w:hyperlink>
    </w:p>
    <w:p>
      <w:pPr>
        <w:spacing w:after="100"/>
        <w:jc w:val="left"/>
      </w:pPr>
      <w:r>
        <w:rPr>
          <w:rFonts w:ascii="Arial" w:cs="Arial" w:eastAsia="Arial" w:hAnsi="Arial"/>
          <w:sz w:val="19"/>
          <w:szCs w:val="19"/>
        </w:rPr>
        <w:t xml:space="preserve">[6] SRT. Actualización normativa – segundo semestre 2022. Compilación. </w:t>
      </w:r>
      <w:hyperlink w:history="1" r:id="rIdnjvc-svr2o6etlot15jmr">
        <w:r>
          <w:rPr>
            <w:rFonts w:ascii="Arial" w:cs="Arial" w:eastAsia="Arial" w:hAnsi="Arial"/>
            <w:color w:val="0563C1"/>
            <w:sz w:val="18"/>
            <w:szCs w:val="18"/>
            <w:u w:val="single"/>
          </w:rPr>
          <w:t xml:space="preserve">https://www.argentina.gob.ar/sites/default/files/actualizacion_normativa_2022_-2.pdf</w:t>
        </w:r>
      </w:hyperlink>
    </w:p>
    <w:p>
      <w:pPr>
        <w:spacing w:after="100"/>
        <w:jc w:val="left"/>
      </w:pPr>
      <w:r>
        <w:rPr>
          <w:rFonts w:ascii="Arial" w:cs="Arial" w:eastAsia="Arial" w:hAnsi="Arial"/>
          <w:sz w:val="19"/>
          <w:szCs w:val="19"/>
        </w:rPr>
        <w:t xml:space="preserve">[7] Argentina.gob.ar. Listado de normas de la Ley 24.557 y SRT (incluye Res. SRT 58/2025, autoaseguro de la Provincia del Chubut; solo título consultado). </w:t>
      </w:r>
      <w:hyperlink w:history="1" r:id="rIdpcwwul4y8vhd7ntmxu_ou">
        <w:r>
          <w:rPr>
            <w:rFonts w:ascii="Arial" w:cs="Arial" w:eastAsia="Arial" w:hAnsi="Arial"/>
            <w:color w:val="0563C1"/>
            <w:sz w:val="18"/>
            <w:szCs w:val="18"/>
            <w:u w:val="single"/>
          </w:rPr>
          <w:t xml:space="preserve">https://www.argentina.gob.ar/normativa/nacional/norma-27971/normas-modifican</w:t>
        </w:r>
      </w:hyperlink>
    </w:p>
    <w:p>
      <w:pPr>
        <w:spacing w:after="100"/>
        <w:jc w:val="left"/>
      </w:pPr>
      <w:r>
        <w:rPr>
          <w:rFonts w:ascii="Arial" w:cs="Arial" w:eastAsia="Arial" w:hAnsi="Arial"/>
          <w:sz w:val="19"/>
          <w:szCs w:val="19"/>
        </w:rPr>
        <w:t xml:space="preserve">[8] SRT. Actualización normativa – segundo semestre 2023. Compilación. </w:t>
      </w:r>
      <w:hyperlink w:history="1" r:id="rIdpwvco1locaarjt75tdygk">
        <w:r>
          <w:rPr>
            <w:rFonts w:ascii="Arial" w:cs="Arial" w:eastAsia="Arial" w:hAnsi="Arial"/>
            <w:color w:val="0563C1"/>
            <w:sz w:val="18"/>
            <w:szCs w:val="18"/>
            <w:u w:val="single"/>
          </w:rPr>
          <w:t xml:space="preserve">https://www.argentina.gob.ar/sites/default/files/actualizacion_normativa_2023-2.pdf</w:t>
        </w:r>
      </w:hyperlink>
    </w:p>
    <w:p>
      <w:pPr>
        <w:spacing w:after="100"/>
        <w:jc w:val="left"/>
      </w:pPr>
      <w:r>
        <w:rPr>
          <w:rFonts w:ascii="Arial" w:cs="Arial" w:eastAsia="Arial" w:hAnsi="Arial"/>
          <w:sz w:val="19"/>
          <w:szCs w:val="19"/>
        </w:rPr>
        <w:t xml:space="preserve">[9] Boletín Oficial. Resolución Conjunta SRT-SSN 1/2023. 06/12/2023. </w:t>
      </w:r>
      <w:hyperlink w:history="1" r:id="rId-mmwbvlmoxtpkjawnpafm">
        <w:r>
          <w:rPr>
            <w:rFonts w:ascii="Arial" w:cs="Arial" w:eastAsia="Arial" w:hAnsi="Arial"/>
            <w:color w:val="0563C1"/>
            <w:sz w:val="18"/>
            <w:szCs w:val="18"/>
            <w:u w:val="single"/>
          </w:rPr>
          <w:t xml:space="preserve">https://www.boletinoficial.gob.ar/detalleAviso/primera/300095/20231206?anexos=1</w:t>
        </w:r>
      </w:hyperlink>
    </w:p>
    <w:p>
      <w:pPr>
        <w:spacing w:after="100"/>
        <w:jc w:val="left"/>
      </w:pPr>
      <w:r>
        <w:rPr>
          <w:rFonts w:ascii="Arial" w:cs="Arial" w:eastAsia="Arial" w:hAnsi="Arial"/>
          <w:sz w:val="19"/>
          <w:szCs w:val="19"/>
        </w:rPr>
        <w:t xml:space="preserve">[10] Boletín Oficial. Resolución SRT 61/2023. 06/12/2023. </w:t>
      </w:r>
      <w:hyperlink w:history="1" r:id="rIdzs7by4ccyjqceqkm8iged">
        <w:r>
          <w:rPr>
            <w:rFonts w:ascii="Arial" w:cs="Arial" w:eastAsia="Arial" w:hAnsi="Arial"/>
            <w:color w:val="0563C1"/>
            <w:sz w:val="18"/>
            <w:szCs w:val="18"/>
            <w:u w:val="single"/>
          </w:rPr>
          <w:t xml:space="preserve">https://www.boletinoficial.gob.ar/#!DetalleNorma/300086/20231206</w:t>
        </w:r>
      </w:hyperlink>
    </w:p>
    <w:p>
      <w:pPr>
        <w:spacing w:after="100"/>
        <w:jc w:val="left"/>
      </w:pPr>
      <w:r>
        <w:rPr>
          <w:rFonts w:ascii="Arial" w:cs="Arial" w:eastAsia="Arial" w:hAnsi="Arial"/>
          <w:sz w:val="19"/>
          <w:szCs w:val="19"/>
        </w:rPr>
        <w:t xml:space="preserve">[11] Boletín Oficial. Resolución SRT 90/2021. 23/12/2021. </w:t>
      </w:r>
      <w:hyperlink w:history="1" r:id="rIdstcm02u7zdrkzysdgris-">
        <w:r>
          <w:rPr>
            <w:rFonts w:ascii="Arial" w:cs="Arial" w:eastAsia="Arial" w:hAnsi="Arial"/>
            <w:color w:val="0563C1"/>
            <w:sz w:val="18"/>
            <w:szCs w:val="18"/>
            <w:u w:val="single"/>
          </w:rPr>
          <w:t xml:space="preserve">https://www.boletinoficial.gob.ar/#!DetalleNorma/254984/20211223</w:t>
        </w:r>
      </w:hyperlink>
    </w:p>
    <w:p>
      <w:pPr>
        <w:spacing w:after="100"/>
        <w:jc w:val="left"/>
      </w:pPr>
      <w:r>
        <w:rPr>
          <w:rFonts w:ascii="Arial" w:cs="Arial" w:eastAsia="Arial" w:hAnsi="Arial"/>
          <w:sz w:val="19"/>
          <w:szCs w:val="19"/>
        </w:rPr>
        <w:t xml:space="preserve">[12] Boletín Oficial. Resolución SRT 46/2022. 12/08/2022. </w:t>
      </w:r>
      <w:hyperlink w:history="1" r:id="rIdsfsmi31xjgfouc8ejpemc">
        <w:r>
          <w:rPr>
            <w:rFonts w:ascii="Arial" w:cs="Arial" w:eastAsia="Arial" w:hAnsi="Arial"/>
            <w:color w:val="0563C1"/>
            <w:sz w:val="18"/>
            <w:szCs w:val="18"/>
            <w:u w:val="single"/>
          </w:rPr>
          <w:t xml:space="preserve">https://www.boletinoficial.gob.ar/#!DetalleNorma/268500/20220812</w:t>
        </w:r>
      </w:hyperlink>
    </w:p>
    <w:p>
      <w:pPr>
        <w:spacing w:after="100"/>
        <w:jc w:val="left"/>
      </w:pPr>
      <w:r>
        <w:rPr>
          <w:rFonts w:ascii="Arial" w:cs="Arial" w:eastAsia="Arial" w:hAnsi="Arial"/>
          <w:sz w:val="19"/>
          <w:szCs w:val="19"/>
        </w:rPr>
        <w:t xml:space="preserve">[13] Argentina.gob.ar. Normas que modifican o complementan la Ley 27.348. </w:t>
      </w:r>
      <w:hyperlink w:history="1" r:id="rIdfueh2zp6t3tmzpsjobm8o">
        <w:r>
          <w:rPr>
            <w:rFonts w:ascii="Arial" w:cs="Arial" w:eastAsia="Arial" w:hAnsi="Arial"/>
            <w:color w:val="0563C1"/>
            <w:sz w:val="18"/>
            <w:szCs w:val="18"/>
            <w:u w:val="single"/>
          </w:rPr>
          <w:t xml:space="preserve">https://www.argentina.gob.ar/normativa/nacional/norma-272119/normas-modifican</w:t>
        </w:r>
      </w:hyperlink>
    </w:p>
    <w:p>
      <w:pPr>
        <w:spacing w:after="100"/>
        <w:jc w:val="left"/>
      </w:pPr>
      <w:r>
        <w:rPr>
          <w:rFonts w:ascii="Arial" w:cs="Arial" w:eastAsia="Arial" w:hAnsi="Arial"/>
          <w:sz w:val="19"/>
          <w:szCs w:val="19"/>
        </w:rPr>
        <w:t xml:space="preserve">[20] Copia del texto de la Resolución Conjunta SSN-SRT 2/2022 (30/11/2022), alojada en 100% Seguro. </w:t>
      </w:r>
      <w:hyperlink w:history="1" r:id="rIdrvfkbytas_mxwecfs2ykc">
        <w:r>
          <w:rPr>
            <w:rFonts w:ascii="Arial" w:cs="Arial" w:eastAsia="Arial" w:hAnsi="Arial"/>
            <w:color w:val="0563C1"/>
            <w:sz w:val="18"/>
            <w:szCs w:val="18"/>
            <w:u w:val="single"/>
          </w:rPr>
          <w:t xml:space="preserve">https://100seguro.com.ar/wp-content/uploads/2022/12/RES_CONJ_SSN_SRT_2_2022.pdf</w:t>
        </w:r>
      </w:hyperlink>
    </w:p>
    <w:p>
      <w:pPr>
        <w:spacing w:after="100"/>
        <w:jc w:val="left"/>
      </w:pPr>
      <w:r>
        <w:rPr>
          <w:rFonts w:ascii="Arial" w:cs="Arial" w:eastAsia="Arial" w:hAnsi="Arial"/>
          <w:sz w:val="19"/>
          <w:szCs w:val="19"/>
        </w:rPr>
        <w:t xml:space="preserve">[21] Boletín Oficial. Resolución SRT 35/2025. 14/08/2025. </w:t>
      </w:r>
      <w:hyperlink w:history="1" r:id="rIdthhstqqyilhujkqhwunak">
        <w:r>
          <w:rPr>
            <w:rFonts w:ascii="Arial" w:cs="Arial" w:eastAsia="Arial" w:hAnsi="Arial"/>
            <w:color w:val="0563C1"/>
            <w:sz w:val="18"/>
            <w:szCs w:val="18"/>
            <w:u w:val="single"/>
          </w:rPr>
          <w:t xml:space="preserve">https://www.boletinoficial.gob.ar/pdf/aviso/primera/329458/20250814</w:t>
        </w:r>
      </w:hyperlink>
    </w:p>
    <w:p>
      <w:pPr>
        <w:spacing w:after="100"/>
        <w:jc w:val="left"/>
      </w:pPr>
      <w:r>
        <w:rPr>
          <w:rFonts w:ascii="Arial" w:cs="Arial" w:eastAsia="Arial" w:hAnsi="Arial"/>
          <w:sz w:val="19"/>
          <w:szCs w:val="19"/>
        </w:rPr>
        <w:t xml:space="preserve">[22] Boletín Oficial. Resolución SRT 7/2024 (texto publicado). 24/01/2024. </w:t>
      </w:r>
      <w:hyperlink w:history="1" r:id="rIdyhn9dohlrprmvklg_noqh">
        <w:r>
          <w:rPr>
            <w:rFonts w:ascii="Arial" w:cs="Arial" w:eastAsia="Arial" w:hAnsi="Arial"/>
            <w:color w:val="0563C1"/>
            <w:sz w:val="18"/>
            <w:szCs w:val="18"/>
            <w:u w:val="single"/>
          </w:rPr>
          <w:t xml:space="preserve">https://www.boletinoficial.gob.ar/pdf/aviso/primera/302070/20250605</w:t>
        </w:r>
      </w:hyperlink>
    </w:p>
    <w:p>
      <w:pPr>
        <w:spacing w:after="100"/>
        <w:jc w:val="left"/>
      </w:pPr>
      <w:r>
        <w:rPr>
          <w:rFonts w:ascii="Arial" w:cs="Arial" w:eastAsia="Arial" w:hAnsi="Arial"/>
          <w:sz w:val="19"/>
          <w:szCs w:val="19"/>
        </w:rPr>
        <w:t xml:space="preserve">[23] Boletín Oficial. Resolución SRT 55/2024 (considerandos sobre el art. 11 de la Ley 24.557). 30/08/2024. </w:t>
      </w:r>
      <w:hyperlink w:history="1" r:id="rIdav-ylrcxq55cvi6iyjv83">
        <w:r>
          <w:rPr>
            <w:rFonts w:ascii="Arial" w:cs="Arial" w:eastAsia="Arial" w:hAnsi="Arial"/>
            <w:color w:val="0563C1"/>
            <w:sz w:val="18"/>
            <w:szCs w:val="18"/>
            <w:u w:val="single"/>
          </w:rPr>
          <w:t xml:space="preserve">https://www.boletinoficial.gob.ar/pdf/aviso/primera/313183/20250520</w:t>
        </w:r>
      </w:hyperlink>
    </w:p>
    <w:p>
      <w:pPr>
        <w:pStyle w:val="Heading2"/>
        <w:spacing w:after="120" w:before="240"/>
      </w:pPr>
      <w:r>
        <w:rPr>
          <w:rFonts w:ascii="Arial" w:cs="Arial" w:eastAsia="Arial" w:hAnsi="Arial"/>
          <w:b/>
          <w:bCs/>
          <w:color w:val="2F5496"/>
          <w:sz w:val="25"/>
          <w:szCs w:val="25"/>
        </w:rPr>
        <w:t xml:space="preserve">B. Fuentes técnicas y secundarias especializadas</w:t>
      </w:r>
    </w:p>
    <w:p>
      <w:pPr>
        <w:spacing w:after="100"/>
        <w:jc w:val="left"/>
      </w:pPr>
      <w:r>
        <w:rPr>
          <w:rFonts w:ascii="Arial" w:cs="Arial" w:eastAsia="Arial" w:hAnsi="Arial"/>
          <w:sz w:val="19"/>
          <w:szCs w:val="19"/>
        </w:rPr>
        <w:t xml:space="preserve">[14] SRT. Actualización normativa – primer semestre 2023. Compilación (Res. SRT 9/2023). </w:t>
      </w:r>
      <w:hyperlink w:history="1" r:id="rIds921dbkvhoj-qgg-1twjt">
        <w:r>
          <w:rPr>
            <w:rFonts w:ascii="Arial" w:cs="Arial" w:eastAsia="Arial" w:hAnsi="Arial"/>
            <w:color w:val="0563C1"/>
            <w:sz w:val="18"/>
            <w:szCs w:val="18"/>
            <w:u w:val="single"/>
          </w:rPr>
          <w:t xml:space="preserve">https://www.argentina.gob.ar/sites/default/files/actualizacion_normativa_2023-1.pdf</w:t>
        </w:r>
      </w:hyperlink>
    </w:p>
    <w:p>
      <w:pPr>
        <w:spacing w:after="100"/>
        <w:jc w:val="left"/>
      </w:pPr>
      <w:r>
        <w:rPr>
          <w:rFonts w:ascii="Arial" w:cs="Arial" w:eastAsia="Arial" w:hAnsi="Arial"/>
          <w:sz w:val="19"/>
          <w:szCs w:val="19"/>
        </w:rPr>
        <w:t xml:space="preserve">[15] Blog del Contador. Resolución (SRT) 34/2025. 01/08/2025. </w:t>
      </w:r>
      <w:hyperlink w:history="1" r:id="rIdefjvy5jm42icp_ucce7rc">
        <w:r>
          <w:rPr>
            <w:rFonts w:ascii="Arial" w:cs="Arial" w:eastAsia="Arial" w:hAnsi="Arial"/>
            <w:color w:val="0563C1"/>
            <w:sz w:val="18"/>
            <w:szCs w:val="18"/>
            <w:u w:val="single"/>
          </w:rPr>
          <w:t xml:space="preserve">https://siap.blogdelcontador.com.ar/?p=72800</w:t>
        </w:r>
      </w:hyperlink>
    </w:p>
    <w:p>
      <w:pPr>
        <w:spacing w:after="100"/>
        <w:jc w:val="left"/>
      </w:pPr>
      <w:r>
        <w:rPr>
          <w:rFonts w:ascii="Arial" w:cs="Arial" w:eastAsia="Arial" w:hAnsi="Arial"/>
          <w:sz w:val="19"/>
          <w:szCs w:val="19"/>
        </w:rPr>
        <w:t xml:space="preserve">[16] Microjuris – Al Día Argentina. Resolución SRT 23/2026. 19/05/2026. </w:t>
      </w:r>
      <w:hyperlink w:history="1" r:id="rIdt9rujcocwcsfumn3sp-gs">
        <w:r>
          <w:rPr>
            <w:rFonts w:ascii="Arial" w:cs="Arial" w:eastAsia="Arial" w:hAnsi="Arial"/>
            <w:color w:val="0563C1"/>
            <w:sz w:val="18"/>
            <w:szCs w:val="18"/>
            <w:u w:val="single"/>
          </w:rPr>
          <w:t xml:space="preserve">https://aldiaargentina.microjuris.com/2026/05/19/legislacion-riesgos-del-trabajo-nuevos-parametros-de-referencia-para-el-calculo-de-deudas-por-falta-de-afiliacion-al-sistema/</w:t>
        </w:r>
      </w:hyperlink>
    </w:p>
    <w:p>
      <w:pPr>
        <w:spacing w:after="100"/>
        <w:jc w:val="left"/>
      </w:pPr>
      <w:r>
        <w:rPr>
          <w:rFonts w:ascii="Arial" w:cs="Arial" w:eastAsia="Arial" w:hAnsi="Arial"/>
          <w:sz w:val="19"/>
          <w:szCs w:val="19"/>
        </w:rPr>
        <w:t xml:space="preserve">[17] Blog del Contador. Resolución (SRT) 61/2023. 06/12/2023. </w:t>
      </w:r>
      <w:hyperlink w:history="1" r:id="rIdcdsi84m1ktj0rqx0te11a">
        <w:r>
          <w:rPr>
            <w:rFonts w:ascii="Arial" w:cs="Arial" w:eastAsia="Arial" w:hAnsi="Arial"/>
            <w:color w:val="0563C1"/>
            <w:sz w:val="18"/>
            <w:szCs w:val="18"/>
            <w:u w:val="single"/>
          </w:rPr>
          <w:t xml:space="preserve">https://siap.blogdelcontador.com.ar/?p=46287</w:t>
        </w:r>
      </w:hyperlink>
    </w:p>
    <w:p>
      <w:pPr>
        <w:spacing w:after="100"/>
        <w:jc w:val="left"/>
      </w:pPr>
      <w:r>
        <w:rPr>
          <w:rFonts w:ascii="Arial" w:cs="Arial" w:eastAsia="Arial" w:hAnsi="Arial"/>
          <w:sz w:val="19"/>
          <w:szCs w:val="19"/>
        </w:rPr>
        <w:t xml:space="preserve">[18] CPCE CABA. La Ley 27.802 de Modernización Laboral y su reglamentación. Junio de 2026. </w:t>
      </w:r>
      <w:hyperlink w:history="1" r:id="rIdrxn_ounn2ymf5lsyckjpo">
        <w:r>
          <w:rPr>
            <w:rFonts w:ascii="Arial" w:cs="Arial" w:eastAsia="Arial" w:hAnsi="Arial"/>
            <w:color w:val="0563C1"/>
            <w:sz w:val="18"/>
            <w:szCs w:val="18"/>
            <w:u w:val="single"/>
          </w:rPr>
          <w:t xml:space="preserve">https://tributum.news/wp-content/uploads/2026/07/PPT-1-Reforma-Laboral-CPCE-CABA-26-Junio-2026.pdf</w:t>
        </w:r>
      </w:hyperlink>
    </w:p>
    <w:p>
      <w:pPr>
        <w:spacing w:after="100"/>
        <w:jc w:val="left"/>
      </w:pPr>
      <w:r>
        <w:rPr>
          <w:rFonts w:ascii="Arial" w:cs="Arial" w:eastAsia="Arial" w:hAnsi="Arial"/>
          <w:sz w:val="19"/>
          <w:szCs w:val="19"/>
        </w:rPr>
        <w:t xml:space="preserve">[19] Consejo Profesional de Salta. Extracto de la Res. S.Emp. 148 (cita las Res. SRT 363/2016 y 20/2018). </w:t>
      </w:r>
      <w:hyperlink w:history="1" r:id="rId9azecc9dt3gu4z_eybrw6">
        <w:r>
          <w:rPr>
            <w:rFonts w:ascii="Arial" w:cs="Arial" w:eastAsia="Arial" w:hAnsi="Arial"/>
            <w:color w:val="0563C1"/>
            <w:sz w:val="18"/>
            <w:szCs w:val="18"/>
            <w:u w:val="single"/>
          </w:rPr>
          <w:t xml:space="preserve">https://www.consejosalta.org.ar/wp-content/uploads/SE-148.pdf</w:t>
        </w:r>
      </w:hyperlink>
    </w:p>
    <w:p>
      <w:pPr>
        <w:pStyle w:val="Heading2"/>
        <w:spacing w:after="120" w:before="240"/>
      </w:pPr>
      <w:r>
        <w:rPr>
          <w:rFonts w:ascii="Arial" w:cs="Arial" w:eastAsia="Arial" w:hAnsi="Arial"/>
          <w:b/>
          <w:bCs/>
          <w:color w:val="2F5496"/>
          <w:sz w:val="25"/>
          <w:szCs w:val="25"/>
        </w:rPr>
        <w:t xml:space="preserve">C. Fuentes empresariales y periodísticas</w:t>
      </w:r>
    </w:p>
    <w:p>
      <w:pPr>
        <w:spacing w:after="120" w:line="300"/>
        <w:jc w:val="left"/>
      </w:pPr>
      <w:r>
        <w:rPr>
          <w:rFonts w:ascii="Arial" w:cs="Arial" w:eastAsia="Arial" w:hAnsi="Arial"/>
          <w:sz w:val="22"/>
          <w:szCs w:val="22"/>
        </w:rPr>
        <w:t xml:space="preserve">No se consultaron documentos empresariales ni prensa local. Las cifras de Misiones del material de partida [M] no tienen fuente primaria identificada.</w:t>
      </w:r>
    </w:p>
    <w:p>
      <w:pPr>
        <w:pStyle w:val="Heading2"/>
        <w:spacing w:after="120" w:before="240"/>
      </w:pPr>
      <w:r>
        <w:rPr>
          <w:rFonts w:ascii="Arial" w:cs="Arial" w:eastAsia="Arial" w:hAnsi="Arial"/>
          <w:b/>
          <w:bCs/>
          <w:color w:val="2F5496"/>
          <w:sz w:val="25"/>
          <w:szCs w:val="25"/>
        </w:rPr>
        <w:t xml:space="preserve">D. Material de partida</w:t>
      </w:r>
    </w:p>
    <w:p>
      <w:pPr>
        <w:spacing w:after="100"/>
        <w:jc w:val="left"/>
      </w:pPr>
      <w:r>
        <w:rPr>
          <w:rFonts w:ascii="Arial" w:cs="Arial" w:eastAsia="Arial" w:hAnsi="Arial"/>
          <w:sz w:val="19"/>
          <w:szCs w:val="19"/>
        </w:rPr>
        <w:t xml:space="preserve">[M] Investigación documental previa, transcripta parcialmente en la consigna del trabajo (cifras de Misiones, cifras de la industria manufacturera nacional y lista de normas). Documento completo no disponible. </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Accidentabilidad en Misiones y sistema de ART (2021-2025)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cbtejgzjvyzjbxlnfzne" Type="http://schemas.openxmlformats.org/officeDocument/2006/relationships/hyperlink" Target="https://www.argentina.gob.ar/sites/default/files/informe_anual_de_accidentabilidad_laboral_-_resumen_ejecutivo_-_ano_2017.pdf" TargetMode="External"/><Relationship Id="rIdondg9sn9_-eq-u-yapfyz" Type="http://schemas.openxmlformats.org/officeDocument/2006/relationships/hyperlink" Target="https://www.elsol.com.ar/wp-content/uploads/2026/04/Informe-provisorio-de-accidentabilidad-laboral.pdf" TargetMode="External"/><Relationship Id="rIdnunsc5clx0ufusmguqbyr" Type="http://schemas.openxmlformats.org/officeDocument/2006/relationships/hyperlink" Target="https://www.argentina.gob.ar/normativa/nacional/307746/texto" TargetMode="External"/><Relationship Id="rIdbrazyhobvnag22aghzfkv" Type="http://schemas.openxmlformats.org/officeDocument/2006/relationships/hyperlink" Target="https://www.argentina.gob.ar/node/128529" TargetMode="External"/><Relationship Id="rIdqf_pyijoak7rjdezkbmj0" Type="http://schemas.openxmlformats.org/officeDocument/2006/relationships/hyperlink" Target="https://www.argentina.gob.ar/node/127740" TargetMode="External"/><Relationship Id="rIdnjvc-svr2o6etlot15jmr" Type="http://schemas.openxmlformats.org/officeDocument/2006/relationships/hyperlink" Target="https://www.argentina.gob.ar/sites/default/files/actualizacion_normativa_2022_-2.pdf" TargetMode="External"/><Relationship Id="rIdpcwwul4y8vhd7ntmxu_ou" Type="http://schemas.openxmlformats.org/officeDocument/2006/relationships/hyperlink" Target="https://www.argentina.gob.ar/normativa/nacional/norma-27971/normas-modifican" TargetMode="External"/><Relationship Id="rIdpwvco1locaarjt75tdygk" Type="http://schemas.openxmlformats.org/officeDocument/2006/relationships/hyperlink" Target="https://www.argentina.gob.ar/sites/default/files/actualizacion_normativa_2023-2.pdf" TargetMode="External"/><Relationship Id="rId-mmwbvlmoxtpkjawnpafm" Type="http://schemas.openxmlformats.org/officeDocument/2006/relationships/hyperlink" Target="https://www.boletinoficial.gob.ar/detalleAviso/primera/300095/20231206?anexos=1" TargetMode="External"/><Relationship Id="rIdzs7by4ccyjqceqkm8iged" Type="http://schemas.openxmlformats.org/officeDocument/2006/relationships/hyperlink" Target="https://www.boletinoficial.gob.ar/#!DetalleNorma/300086/20231206" TargetMode="External"/><Relationship Id="rIdstcm02u7zdrkzysdgris-" Type="http://schemas.openxmlformats.org/officeDocument/2006/relationships/hyperlink" Target="https://www.boletinoficial.gob.ar/#!DetalleNorma/254984/20211223" TargetMode="External"/><Relationship Id="rIdsfsmi31xjgfouc8ejpemc" Type="http://schemas.openxmlformats.org/officeDocument/2006/relationships/hyperlink" Target="https://www.boletinoficial.gob.ar/#!DetalleNorma/268500/20220812" TargetMode="External"/><Relationship Id="rIdfueh2zp6t3tmzpsjobm8o" Type="http://schemas.openxmlformats.org/officeDocument/2006/relationships/hyperlink" Target="https://www.argentina.gob.ar/normativa/nacional/norma-272119/normas-modifican" TargetMode="External"/><Relationship Id="rIdrvfkbytas_mxwecfs2ykc" Type="http://schemas.openxmlformats.org/officeDocument/2006/relationships/hyperlink" Target="https://100seguro.com.ar/wp-content/uploads/2022/12/RES_CONJ_SSN_SRT_2_2022.pdf" TargetMode="External"/><Relationship Id="rIdthhstqqyilhujkqhwunak" Type="http://schemas.openxmlformats.org/officeDocument/2006/relationships/hyperlink" Target="https://www.boletinoficial.gob.ar/pdf/aviso/primera/329458/20250814" TargetMode="External"/><Relationship Id="rIdyhn9dohlrprmvklg_noqh" Type="http://schemas.openxmlformats.org/officeDocument/2006/relationships/hyperlink" Target="https://www.boletinoficial.gob.ar/pdf/aviso/primera/302070/20250605" TargetMode="External"/><Relationship Id="rIdav-ylrcxq55cvi6iyjv83" Type="http://schemas.openxmlformats.org/officeDocument/2006/relationships/hyperlink" Target="https://www.boletinoficial.gob.ar/pdf/aviso/primera/313183/20250520" TargetMode="External"/><Relationship Id="rIds921dbkvhoj-qgg-1twjt" Type="http://schemas.openxmlformats.org/officeDocument/2006/relationships/hyperlink" Target="https://www.argentina.gob.ar/sites/default/files/actualizacion_normativa_2023-1.pdf" TargetMode="External"/><Relationship Id="rIdefjvy5jm42icp_ucce7rc" Type="http://schemas.openxmlformats.org/officeDocument/2006/relationships/hyperlink" Target="https://siap.blogdelcontador.com.ar/?p=72800" TargetMode="External"/><Relationship Id="rIdt9rujcocwcsfumn3sp-gs" Type="http://schemas.openxmlformats.org/officeDocument/2006/relationships/hyperlink" Target="https://aldiaargentina.microjuris.com/2026/05/19/legislacion-riesgos-del-trabajo-nuevos-parametros-de-referencia-para-el-calculo-de-deudas-por-falta-de-afiliacion-al-sistema/" TargetMode="External"/><Relationship Id="rIdcdsi84m1ktj0rqx0te11a" Type="http://schemas.openxmlformats.org/officeDocument/2006/relationships/hyperlink" Target="https://siap.blogdelcontador.com.ar/?p=46287" TargetMode="External"/><Relationship Id="rIdrxn_ounn2ymf5lsyckjpo" Type="http://schemas.openxmlformats.org/officeDocument/2006/relationships/hyperlink" Target="https://tributum.news/wp-content/uploads/2026/07/PPT-1-Reforma-Laboral-CPCE-CABA-26-Junio-2026.pdf" TargetMode="External"/><Relationship Id="rId9azecc9dt3gu4z_eybrw6" Type="http://schemas.openxmlformats.org/officeDocument/2006/relationships/hyperlink" Target="https://www.consejosalta.org.ar/wp-content/uploads/SE-148.pdf"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Accidentabilidad en la industria de Misiones y sistema de ART (2021-2025)</dc:title>
  <dc:creator>Informe académico</dc:creator>
  <cp:lastModifiedBy>Un-named</cp:lastModifiedBy>
  <cp:revision>1</cp:revision>
  <dcterms:created xsi:type="dcterms:W3CDTF">2026-09-30T20:08:31.318Z</dcterms:created>
  <dcterms:modified xsi:type="dcterms:W3CDTF">2026-09-30T20:08:31.318Z</dcterms:modified>
</cp:coreProperties>
</file>

<file path=docProps/custom.xml><?xml version="1.0" encoding="utf-8"?>
<Properties xmlns="http://schemas.openxmlformats.org/officeDocument/2006/custom-properties" xmlns:vt="http://schemas.openxmlformats.org/officeDocument/2006/docPropsVTypes"/>
</file>