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spacing w:before="400" w:after="160"/>
        <w:jc w:val="left"/>
      </w:pPr>
      <w:r>
        <w:rPr>
          <w:rFonts w:ascii="PT Sans Narrow" w:hAnsi="PT Sans Narrow"/>
          <w:b/>
          <w:color w:val="015198"/>
          <w:sz w:val="32"/>
        </w:rPr>
        <w:t>Сопроводительное письмо к коммерческому предложению № 53709</w:t>
      </w:r>
    </w:p>
    <w:p>
      <w:r>
        <w:rPr>
          <w:rFonts w:ascii="PT Sans" w:hAnsi="PT Sans"/>
          <w:b/>
          <w:color w:val="1A1A1A"/>
          <w:sz w:val="24"/>
        </w:rPr>
        <w:t>Кому:</w:t>
      </w:r>
      <w:r>
        <w:rPr>
          <w:rFonts w:ascii="PT Sans" w:hAnsi="PT Sans"/>
          <w:color w:val="1A1A1A"/>
          <w:sz w:val="24"/>
        </w:rPr>
        <w:t xml:space="preserve"> ООО «Разрез Черемховуголь»</w:t>
      </w:r>
      <w:r>
        <w:br/>
      </w:r>
      <w:r>
        <w:rPr>
          <w:rFonts w:ascii="PT Sans" w:hAnsi="PT Sans"/>
          <w:b/>
          <w:color w:val="1A1A1A"/>
          <w:sz w:val="24"/>
        </w:rPr>
        <w:t>От кого:</w:t>
      </w:r>
      <w:r>
        <w:rPr>
          <w:rFonts w:ascii="PT Sans" w:hAnsi="PT Sans"/>
          <w:color w:val="1A1A1A"/>
          <w:sz w:val="24"/>
        </w:rPr>
        <w:t xml:space="preserve"> ООО «ТПК «Тензосила»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Направляем коммерческое предложение на поставку автомобильных весов ВЕСТА-П-80-16 с шефдемонтажом старого и шефмонтажом нового оборудования. Ниже — наш анализ конструктива текущих весов, механики износа и обоснование, почему предлагаемая конфигурация соответствует режиму эксплуатации вашего объекта.</w:t>
      </w:r>
    </w:p>
    <w:p>
      <w:pPr>
        <w:spacing w:before="400" w:after="160"/>
        <w:jc w:val="left"/>
        <w:keepNext/>
      </w:pPr>
      <w:r>
        <w:rPr>
          <w:rFonts w:ascii="PT Sans Narrow" w:hAnsi="PT Sans Narrow"/>
          <w:b/>
          <w:color w:val="1A1A1A"/>
          <w:sz w:val="26"/>
        </w:rPr>
        <w:t>Что видно на фото текущих весов</w:t>
      </w:r>
    </w:p>
    <w:p>
      <w:r>
        <w:rPr>
          <w:rFonts w:ascii="PT Sans" w:hAnsi="PT Sans"/>
          <w:color w:val="1A1A1A"/>
          <w:sz w:val="24"/>
        </w:rPr>
        <w:t>На присланных фотографиях читается характерная картина усталостного износа, развивавшегося не один год: продавленная колея в зонах контакта колёс, многократные сварные заплатки на несущих балках, локальные усиления настила. Каждая заплатка — это точка, где металл уже вышел за предел текучести и деформировался необратимо. Сварка восстанавливает геометрию, но не восстанавливает усталостный ресурс: околошовная зона становится концентратором напряжений, и следующая трещина появляется рядом. Судя по количеству заплаток, этот цикл «трещина → сварка → новая трещина» повторялся неоднократно.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Это не результат неправильной эксплуатации. Это предсказуемое следствие конструкции, не рассчитанной на осевые нагрузки карьерной техники.</w:t>
      </w:r>
    </w:p>
    <w:p>
      <w:pPr>
        <w:spacing w:before="400" w:after="160"/>
        <w:jc w:val="left"/>
        <w:keepNext/>
      </w:pPr>
      <w:r>
        <w:rPr>
          <w:rFonts w:ascii="PT Sans Narrow" w:hAnsi="PT Sans Narrow"/>
          <w:b/>
          <w:color w:val="1A1A1A"/>
          <w:sz w:val="26"/>
        </w:rPr>
        <w:t>Почему это произошло: грузоподъёмность и осевая нагрузка — разные параметры</w:t>
      </w:r>
    </w:p>
    <w:p>
      <w:r>
        <w:rPr>
          <w:rFonts w:ascii="PT Sans" w:hAnsi="PT Sans"/>
          <w:color w:val="1A1A1A"/>
          <w:sz w:val="24"/>
        </w:rPr>
        <w:t>Когда говорят «весы на 80 тонн», имеют в виду максимальную общую массу транспортного средства. Но срок службы весов определяет другой параметр — допустимая осевая нагрузка: максимальная сила, которую колёса одной оси передают на платформу в узкой зоне контакта. Автомобиль — не монолит: масса распределена по нескольким осям, и каждая ось давит на платформу в небольшой области. Именно эта концентрированная нагрузка создаёт критические напряжения в металлоконструкции.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 xml:space="preserve">Для самосвалов Shacman 8×4 нагрузка на заднюю ось рассчитывается по формуле: </w:t>
      </w:r>
      <w:r>
        <w:rPr>
          <w:rFonts w:ascii="PT Sans" w:hAnsi="PT Sans"/>
          <w:b/>
          <w:color w:val="1A1A1A"/>
          <w:sz w:val="24"/>
        </w:rPr>
        <w:t>0,39 × полная масса автомобиля</w:t>
      </w:r>
      <w:r>
        <w:rPr>
          <w:rFonts w:ascii="PT Sans" w:hAnsi="PT Sans"/>
          <w:color w:val="1A1A1A"/>
          <w:sz w:val="24"/>
        </w:rPr>
        <w:t xml:space="preserve">. При типичной рабочей массе на вашем объекте 55–65 тонн это даёт </w:t>
      </w:r>
      <w:r>
        <w:rPr>
          <w:rFonts w:ascii="PT Sans" w:hAnsi="PT Sans"/>
          <w:b/>
          <w:color w:val="1A1A1A"/>
          <w:sz w:val="24"/>
        </w:rPr>
        <w:t>21–25 т/ось</w:t>
      </w:r>
      <w:r>
        <w:rPr>
          <w:rFonts w:ascii="PT Sans" w:hAnsi="PT Sans"/>
          <w:color w:val="1A1A1A"/>
          <w:sz w:val="24"/>
        </w:rPr>
        <w:t xml:space="preserve"> — при каждом проезде, систематически, на протяжении всей смены.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Конструктив текущих весов — две несущие балки на колею с поперечинами и настилом. Две балки принимают всю концентрированную нагрузку. Поперечины и настил работают на изгиб между ними, металл накапливает усталость. Нижнего подшива нет — при двух балках на колею расстояние между ними слишком велико, подшить физически затруднительно. Без подшива конструкция не гасит вибрации при динамическом заезде, а накапливает их, постепенно расшатывая болтовые соединения и ускоряя деформацию.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Разрушение при таком режиме развивается по предсказуемому сценарию. Сначала — едва заметные вмятины на настиле в точках контакта колёс. Затем — прогиб несущих балок и развитие микротрещин, невидимых при визуальном осмотре, но накапливающихся с каждым взвешиванием. Далее — потеря точности, нестабильность показаний, периодические сбои. В конечном счёте — необратимая деформация, при которой ремонт экономически нецелесообразен.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На ваших фото мы видим конструкцию, которая прошла через все стадии этого цикла и исчерпала ресурс. Это не поломка — это закономерный финал конструкции, эксплуатировавшейся за пределами расчётных параметров.</w:t>
      </w:r>
    </w:p>
    <w:p>
      <w:pPr>
        <w:spacing w:before="400" w:after="160"/>
        <w:jc w:val="left"/>
        <w:keepNext/>
      </w:pPr>
      <w:r>
        <w:rPr>
          <w:rFonts w:ascii="PT Sans Narrow" w:hAnsi="PT Sans Narrow"/>
          <w:b/>
          <w:color w:val="1A1A1A"/>
          <w:sz w:val="26"/>
        </w:rPr>
        <w:t>Почему ВЕСТА-П-80-16 работает иначе</w:t>
      </w:r>
    </w:p>
    <w:p>
      <w:r>
        <w:rPr>
          <w:rFonts w:ascii="PT Sans" w:hAnsi="PT Sans"/>
          <w:color w:val="1A1A1A"/>
          <w:sz w:val="24"/>
        </w:rPr>
        <w:t>Конфигурация ВЕСТА-П-80-16 подобрана под реальный режим вашего объекта: Shacman 8×4, осевая нагрузка 21–25 т/ось, карьерная интенсивность.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 xml:space="preserve">Принципиальное конструктивное отличие — </w:t>
      </w:r>
      <w:r>
        <w:rPr>
          <w:rFonts w:ascii="PT Sans" w:hAnsi="PT Sans"/>
          <w:b/>
          <w:color w:val="1A1A1A"/>
          <w:sz w:val="24"/>
        </w:rPr>
        <w:t>четыре двутавра 30Б2 на каждую колею</w:t>
      </w:r>
      <w:r>
        <w:rPr>
          <w:rFonts w:ascii="PT Sans" w:hAnsi="PT Sans"/>
          <w:color w:val="1A1A1A"/>
          <w:sz w:val="24"/>
        </w:rPr>
        <w:t xml:space="preserve"> вместо двух. Нагрузка от колеса распределяется на вдвое большее количество несущих профилей — напряжение в каждом из них пропорционально ниже. Каждый профиль выполнен из стали С345/355 с пределом текучести 345 МПа против 240 МПа у обычной ст3 — разница в полтора раза. Практически это означает: при одинаковой ударной нагрузке от колеса Shacman сталь С345 остаётся в упругой зоне и возвращается в исходное положение, тогда как ст3 уже начинает накапливать остаточную деформацию. При десятках циклов в смену эта разница определяет срок службы конструкции.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Над датчиками расположены мощные поперечные балки, через которые платформа работает как единая жёсткая конструкция — это принципиально меняет характер восприятия нагрузки. Нижний подшив 5 мм фиксирует взаимное положение четырёх двутавров, гасит вибрации при динамическом заезде и предотвращает расшатывание болтовых соединений — тот самый механизм, который на текущих весах привёл к накоплению повреждений. Настил 10 мм рифлёный — против тонкого настила текущей конструкции. Разница в ресурсе в точках контакта колёс при карьерном грузопотоке принципиальная.</w:t>
      </w:r>
    </w:p>
    <w:p>
      <w:pPr>
        <w:spacing w:before="240" w:after="120"/>
        <w:jc w:val="left"/>
        <w:keepNext/>
      </w:pPr>
      <w:r>
        <w:rPr>
          <w:rFonts w:ascii="PT Sans" w:hAnsi="PT Sans"/>
          <w:b/>
          <w:color w:val="1A1A1A"/>
          <w:sz w:val="22"/>
        </w:rPr>
        <w:t>Сравнение конструкций</w:t>
      </w:r>
    </w:p>
    <w:tbl>
      <w:tblPr>
        <w:tblLayout w:type="fixed"/>
        <w:tblLook w:firstColumn="1" w:firstRow="1" w:lastColumn="0" w:lastRow="0" w:noHBand="0" w:noVBand="1" w:val="04A0"/>
        <w:tblW w:w="9922" w:type="dxa"/>
      </w:tblPr>
      <w:tblGrid>
        <w:gridCol w:w="5"/>
        <w:gridCol w:w="5"/>
        <w:gridCol w:w="5"/>
      </w:tblGrid>
      <w:tr>
        <w:trPr>
          <w:trHeight w:val="520" w:hRule="atLeast"/>
        </w:trPr>
        <w:tc>
          <w:tcPr>
            <w:tcW w:type="dxa" w:w="3307"/>
            <w:shd w:fill="015198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>
              <w:rPr>
                <w:rFonts w:ascii="PT Sans Narrow" w:hAnsi="PT Sans Narrow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3307"/>
            <w:shd w:fill="015198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>
              <w:rPr>
                <w:rFonts w:ascii="PT Sans Narrow" w:hAnsi="PT Sans Narrow"/>
                <w:b/>
                <w:color w:val="FFFFFF"/>
                <w:sz w:val="22"/>
              </w:rPr>
              <w:t>Текущие весы</w:t>
            </w:r>
          </w:p>
        </w:tc>
        <w:tc>
          <w:tcPr>
            <w:tcW w:type="dxa" w:w="3307"/>
            <w:shd w:fill="015198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>
              <w:rPr>
                <w:rFonts w:ascii="PT Sans Narrow" w:hAnsi="PT Sans Narrow"/>
                <w:b/>
                <w:color w:val="FFFFFF"/>
                <w:sz w:val="22"/>
              </w:rPr>
              <w:t>ВЕСТА-П-80-16</w:t>
            </w:r>
          </w:p>
        </w:tc>
      </w:tr>
      <w:tr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Несущие балки на колею</w:t>
            </w:r>
          </w:p>
        </w:tc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2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4× двутавр 30Б2, сталь С345</w:t>
            </w:r>
          </w:p>
        </w:tc>
      </w:tr>
      <w:tr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Нижний подшив</w:t>
            </w:r>
          </w:p>
        </w:tc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b/>
                <w:color w:val="C0392B"/>
                <w:sz w:val="20"/>
              </w:rPr>
              <w:t xml:space="preserve">✗ </w:t>
            </w:r>
            <w:r>
              <w:rPr>
                <w:rFonts w:ascii="PT Sans" w:hAnsi="PT Sans"/>
                <w:color w:val="1A1A1A"/>
                <w:sz w:val="20"/>
              </w:rPr>
              <w:t>Отсутствует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5 мм</w:t>
            </w:r>
          </w:p>
        </w:tc>
      </w:tr>
      <w:tr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Настил</w:t>
            </w:r>
          </w:p>
        </w:tc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Тонкий, с многократными усилениями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10 мм рифлёный</w:t>
            </w:r>
          </w:p>
        </w:tc>
      </w:tr>
      <w:tr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Марка стали</w:t>
            </w:r>
          </w:p>
        </w:tc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ст3 или аналог (σт ≤ 240 МПа)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С345/355 (σт = 345 МПа, +44%)</w:t>
            </w:r>
          </w:p>
        </w:tc>
      </w:tr>
      <w:tr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Допустимая осевая нагрузка</w:t>
            </w:r>
          </w:p>
        </w:tc>
        <w:tc>
          <w:tcPr>
            <w:tcW w:type="dxa" w:w="5"/>
            <w:shd w:fill="FFFFFF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Ниже фактической (результат на фото)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25 т/ось</w:t>
            </w:r>
          </w:p>
        </w:tc>
      </w:tr>
      <w:tr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color w:val="1A1A1A"/>
                <w:sz w:val="20"/>
              </w:rPr>
              <w:t>Соответствие нагрузкам Shacman 55–65 т</w:t>
            </w:r>
          </w:p>
        </w:tc>
        <w:tc>
          <w:tcPr>
            <w:tcW w:type="dxa" w:w="5"/>
            <w:shd w:fill="F0F5FA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b/>
                <w:color w:val="C0392B"/>
                <w:sz w:val="20"/>
              </w:rPr>
              <w:t xml:space="preserve">✗ </w:t>
            </w:r>
            <w:r>
              <w:rPr>
                <w:rFonts w:ascii="PT Sans" w:hAnsi="PT Sans"/>
                <w:color w:val="1A1A1A"/>
                <w:sz w:val="20"/>
              </w:rPr>
              <w:t>— систематический перегруз</w:t>
            </w:r>
          </w:p>
        </w:tc>
        <w:tc>
          <w:tcPr>
            <w:tcW w:type="dxa" w:w="5"/>
            <w:shd w:fill="EBF3FB" w:val="clear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PT Sans" w:hAnsi="PT Sans"/>
                <w:b/>
                <w:color w:val="1E7A34"/>
                <w:sz w:val="20"/>
              </w:rPr>
              <w:t xml:space="preserve">✓ </w:t>
            </w:r>
            <w:r>
              <w:rPr>
                <w:rFonts w:ascii="PT Sans" w:hAnsi="PT Sans"/>
                <w:color w:val="1A1A1A"/>
                <w:sz w:val="20"/>
              </w:rPr>
              <w:t>— в проектном диапазоне</w:t>
            </w:r>
          </w:p>
        </w:tc>
      </w:tr>
    </w:tbl>
    <w:p>
      <w:pPr>
        <w:spacing w:before="0" w:after="120" w:line="120" w:lineRule="exact"/>
      </w:pPr>
    </w:p>
    <w:p>
      <w:pPr>
        <w:ind w:firstLine="425"/>
      </w:pPr>
      <w:r>
        <w:rPr>
          <w:rFonts w:ascii="PT Sans" w:hAnsi="PT Sans"/>
          <w:color w:val="1A1A1A"/>
          <w:sz w:val="24"/>
        </w:rPr>
        <w:t>Расчётная допустимая осевая нагрузка ВЕСТА-П-80-16 — 25 т/ось. Ваши самосвалы при рабочей массе 55–65 тонн создают 21–25 т/ось — они попадают в проектный диапазон, а не работают за его пределами.</w:t>
      </w:r>
    </w:p>
    <w:p>
      <w:pPr>
        <w:spacing w:before="400" w:after="160"/>
        <w:jc w:val="left"/>
        <w:keepNext/>
      </w:pPr>
      <w:r>
        <w:rPr>
          <w:rFonts w:ascii="PT Sans Narrow" w:hAnsi="PT Sans Narrow"/>
          <w:b/>
          <w:color w:val="1A1A1A"/>
          <w:sz w:val="26"/>
        </w:rPr>
        <w:t>Как будет выглядеть работа</w:t>
      </w:r>
    </w:p>
    <w:p>
      <w:r>
        <w:rPr>
          <w:rFonts w:ascii="PT Sans" w:hAnsi="PT Sans"/>
          <w:color w:val="1A1A1A"/>
          <w:sz w:val="24"/>
        </w:rPr>
        <w:t>Мы предлагаем полный цикл в формате шефдемонтажа и шефмонтажа. Наш специалист руководит всеми работами на объекте: обеспечивает правильную последовательность, качество соединений и соответствие техническим требованиям. Ответственность за результат — на нас.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Со стороны заказчика потребуются два подсобных рабочих на период проведения работ и автокран для демонтажа старых и монтажа новых секций платформы.</w:t>
      </w:r>
    </w:p>
    <w:p>
      <w:pPr>
        <w:ind w:firstLine="425"/>
      </w:pPr>
      <w:r>
        <w:rPr>
          <w:rFonts w:ascii="PT Sans" w:hAnsi="PT Sans"/>
          <w:color w:val="1A1A1A"/>
          <w:sz w:val="24"/>
        </w:rPr>
        <w:t>В ходе шефдемонтажа специалист одновременно снимает размеры с фундамента и оценивает состояние закладных. Если потребуется ремонт — вы получите чёткое заключение до начала монтажа новых весов, без неожиданностей в процессе. После монтажа — ввод в эксплуатацию и первичная поверка.</w:t>
      </w:r>
    </w:p>
    <w:p>
      <w:pPr>
        <w:spacing w:before="400" w:after="160"/>
        <w:jc w:val="left"/>
        <w:keepNext/>
      </w:pPr>
      <w:r>
        <w:rPr>
          <w:rFonts w:ascii="PT Sans Narrow" w:hAnsi="PT Sans Narrow"/>
          <w:b/>
          <w:color w:val="1A1A1A"/>
          <w:sz w:val="26"/>
        </w:rPr>
        <w:t>Следующий шаг</w:t>
      </w:r>
    </w:p>
    <w:p>
      <w:r>
        <w:rPr>
          <w:rFonts w:ascii="PT Sans" w:hAnsi="PT Sans"/>
          <w:color w:val="1A1A1A"/>
          <w:sz w:val="24"/>
        </w:rPr>
        <w:t>Предлагаю созвониться в удобное время — обсудим сроки демонтажа и поставки под ваш производственный график, согласуем состав работ и зафиксируем условия. На звонок потребуется 15–20 минут.</w:t>
      </w:r>
    </w:p>
    <w:p>
      <w:pPr>
        <w:ind w:firstLine="425"/>
      </w:pPr>
      <w:r>
        <w:rPr>
          <w:rFonts w:ascii="PT Sans" w:hAnsi="PT Sans"/>
          <w:i/>
          <w:color w:val="1A1A1A"/>
          <w:sz w:val="24"/>
        </w:rPr>
        <w:t>С уважением,</w:t>
      </w:r>
      <w:r>
        <w:br/>
      </w:r>
      <w:r>
        <w:rPr>
          <w:rFonts w:ascii="PT Sans" w:hAnsi="PT Sans"/>
          <w:b/>
          <w:color w:val="1A1A1A"/>
          <w:sz w:val="24"/>
        </w:rPr>
        <w:t>Макаров Антон</w:t>
      </w:r>
      <w:r>
        <w:br/>
      </w:r>
      <w:r>
        <w:rPr>
          <w:rFonts w:ascii="PT Sans" w:hAnsi="PT Sans"/>
          <w:color w:val="1A1A1A"/>
          <w:sz w:val="24"/>
        </w:rPr>
        <w:t>Менеджер ООО «ТПК «Тензосила»</w:t>
      </w:r>
      <w:r>
        <w:br/>
      </w:r>
      <w:r>
        <w:rPr>
          <w:rFonts w:ascii="PT Sans" w:hAnsi="PT Sans"/>
          <w:color w:val="1A1A1A"/>
          <w:sz w:val="24"/>
        </w:rPr>
        <w:t>+7 903 651-85-77 | a.makarov@tenzosila.ru</w:t>
      </w:r>
    </w:p>
    <w:sectPr w:rsidR="00C153E4" w:rsidSect="00C153E4">
      <w:headerReference w:type="default" r:id="rId8"/>
      <w:footerReference w:type="default" r:id="rId9"/>
      <w:pgSz w:w="11906" w:h="16838"/>
      <w:pgMar w:top="1560" w:right="850" w:bottom="1134" w:left="1134" w:header="708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9E6B" w14:textId="77777777" w:rsidR="00716EB3" w:rsidRDefault="00716EB3" w:rsidP="00C90CB4">
      <w:r>
        <w:separator/>
      </w:r>
    </w:p>
  </w:endnote>
  <w:endnote w:type="continuationSeparator" w:id="0">
    <w:p w14:paraId="5F6CAA69" w14:textId="77777777" w:rsidR="00716EB3" w:rsidRDefault="00716EB3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901200">
    <w:pPr>
      <w:pStyle w:val="a7"/>
      <w:pBdr>
        <w:top w:val="single" w:sz="12" w:space="10" w:color="D04514"/>
      </w:pBdr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</w:p>
  <w:tbl>
    <w:tblPr>
      <w:tblStyle w:val="ab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901200">
      <w:trPr>
        <w:trHeight w:val="422"/>
      </w:trPr>
      <w:tc>
        <w:tcPr>
          <w:tcW w:w="4253" w:type="dxa"/>
          <w:vAlign w:val="center"/>
        </w:tcPr>
        <w:p w14:paraId="707E7987" w14:textId="3D6829E4" w:rsidR="007878D8" w:rsidRPr="00C70012" w:rsidRDefault="007878D8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5D9E1D4B" w14:textId="5E45DFF8" w:rsidR="007878D8" w:rsidRPr="004D261F" w:rsidRDefault="007878D8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CF2C" w14:textId="77777777" w:rsidR="00716EB3" w:rsidRDefault="00716EB3" w:rsidP="00C90CB4">
      <w:r>
        <w:separator/>
      </w:r>
    </w:p>
  </w:footnote>
  <w:footnote w:type="continuationSeparator" w:id="0">
    <w:p w14:paraId="7BFC4CDB" w14:textId="77777777" w:rsidR="00716EB3" w:rsidRDefault="00716EB3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1AC6527C" w:rsidR="007878D8" w:rsidRPr="00C90CB4" w:rsidRDefault="00901200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>
      <w:rPr>
        <w:b/>
        <w:noProof/>
      </w:rPr>
      <w:drawing>
        <wp:anchor distT="0" distB="0" distL="114300" distR="114300" simplePos="0" relativeHeight="251668480" behindDoc="1" locked="0" layoutInCell="1" allowOverlap="1" wp14:anchorId="45572900" wp14:editId="1F716CFE">
          <wp:simplePos x="0" y="0"/>
          <wp:positionH relativeFrom="margin">
            <wp:align>right</wp:align>
          </wp:positionH>
          <wp:positionV relativeFrom="paragraph">
            <wp:posOffset>-415921</wp:posOffset>
          </wp:positionV>
          <wp:extent cx="1755775" cy="786130"/>
          <wp:effectExtent l="0" t="0" r="0" b="0"/>
          <wp:wrapTight wrapText="bothSides">
            <wp:wrapPolygon edited="0">
              <wp:start x="0" y="0"/>
              <wp:lineTo x="0" y="20937"/>
              <wp:lineTo x="21327" y="20937"/>
              <wp:lineTo x="21327" y="0"/>
              <wp:lineTo x="0" y="0"/>
            </wp:wrapPolygon>
          </wp:wrapTight>
          <wp:docPr id="9378205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7820550" name="Рисунок 937820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775" cy="786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78D8"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</w:t>
                          </w:r>
                          <w:proofErr w:type="spellStart"/>
                          <w:r w:rsidRPr="00A407A5">
                            <w:rPr>
                              <w:sz w:val="20"/>
                              <w:lang w:val="ru-RU"/>
                            </w:rPr>
                            <w:t>Тензосила</w:t>
                          </w:r>
                          <w:proofErr w:type="spellEnd"/>
                          <w:r w:rsidRPr="00A407A5">
                            <w:rPr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878D8"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">
                        <a14:useLocalDpi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8D8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1E63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2D1E"/>
    <w:rsid w:val="0016794A"/>
    <w:rsid w:val="00173AA5"/>
    <w:rsid w:val="0018313F"/>
    <w:rsid w:val="00195267"/>
    <w:rsid w:val="001A2BC6"/>
    <w:rsid w:val="001A433E"/>
    <w:rsid w:val="001C004C"/>
    <w:rsid w:val="001C041F"/>
    <w:rsid w:val="001D041C"/>
    <w:rsid w:val="001D2AE8"/>
    <w:rsid w:val="001D57F8"/>
    <w:rsid w:val="001E6FD9"/>
    <w:rsid w:val="001F5815"/>
    <w:rsid w:val="001F6CB3"/>
    <w:rsid w:val="0020252C"/>
    <w:rsid w:val="00206D90"/>
    <w:rsid w:val="00217539"/>
    <w:rsid w:val="00220670"/>
    <w:rsid w:val="002244F1"/>
    <w:rsid w:val="00231BAE"/>
    <w:rsid w:val="00236166"/>
    <w:rsid w:val="002371F6"/>
    <w:rsid w:val="0024145F"/>
    <w:rsid w:val="002449C2"/>
    <w:rsid w:val="00244D20"/>
    <w:rsid w:val="002611A9"/>
    <w:rsid w:val="00271BC1"/>
    <w:rsid w:val="00280201"/>
    <w:rsid w:val="00290A90"/>
    <w:rsid w:val="0029396A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0AB1"/>
    <w:rsid w:val="002E4C33"/>
    <w:rsid w:val="002E509C"/>
    <w:rsid w:val="002E556D"/>
    <w:rsid w:val="002F0C57"/>
    <w:rsid w:val="00304062"/>
    <w:rsid w:val="00311704"/>
    <w:rsid w:val="00322512"/>
    <w:rsid w:val="00325531"/>
    <w:rsid w:val="00326084"/>
    <w:rsid w:val="003312DD"/>
    <w:rsid w:val="00340044"/>
    <w:rsid w:val="003559DB"/>
    <w:rsid w:val="00365A3E"/>
    <w:rsid w:val="00367DE4"/>
    <w:rsid w:val="00374D53"/>
    <w:rsid w:val="003A70D5"/>
    <w:rsid w:val="003B4E5D"/>
    <w:rsid w:val="003B51FD"/>
    <w:rsid w:val="003C2F8C"/>
    <w:rsid w:val="003C7904"/>
    <w:rsid w:val="003D4BFF"/>
    <w:rsid w:val="003D52DE"/>
    <w:rsid w:val="003D63CB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50361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27B3"/>
    <w:rsid w:val="004F6942"/>
    <w:rsid w:val="00500C87"/>
    <w:rsid w:val="00503B5E"/>
    <w:rsid w:val="0050758B"/>
    <w:rsid w:val="005147DA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774"/>
    <w:rsid w:val="00593839"/>
    <w:rsid w:val="005A5990"/>
    <w:rsid w:val="005C20A3"/>
    <w:rsid w:val="005C2AAB"/>
    <w:rsid w:val="005E3657"/>
    <w:rsid w:val="005E6F59"/>
    <w:rsid w:val="005F024C"/>
    <w:rsid w:val="005F0EA6"/>
    <w:rsid w:val="005F12B3"/>
    <w:rsid w:val="005F7779"/>
    <w:rsid w:val="00600870"/>
    <w:rsid w:val="00614516"/>
    <w:rsid w:val="00623B1F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C7878"/>
    <w:rsid w:val="006D75ED"/>
    <w:rsid w:val="006E3FD7"/>
    <w:rsid w:val="006E58D5"/>
    <w:rsid w:val="006E6C52"/>
    <w:rsid w:val="006F1288"/>
    <w:rsid w:val="006F741D"/>
    <w:rsid w:val="00704453"/>
    <w:rsid w:val="00716EB3"/>
    <w:rsid w:val="00722BFC"/>
    <w:rsid w:val="00723B76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7FAF"/>
    <w:rsid w:val="007E130C"/>
    <w:rsid w:val="007E5E18"/>
    <w:rsid w:val="007F14A1"/>
    <w:rsid w:val="007F631E"/>
    <w:rsid w:val="007F67EC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1200"/>
    <w:rsid w:val="009024E7"/>
    <w:rsid w:val="00913D2E"/>
    <w:rsid w:val="009155AF"/>
    <w:rsid w:val="00925CE1"/>
    <w:rsid w:val="00935C90"/>
    <w:rsid w:val="00944C92"/>
    <w:rsid w:val="009559A6"/>
    <w:rsid w:val="00963418"/>
    <w:rsid w:val="0096502A"/>
    <w:rsid w:val="009674F1"/>
    <w:rsid w:val="0097245B"/>
    <w:rsid w:val="009735EC"/>
    <w:rsid w:val="00973F21"/>
    <w:rsid w:val="009741CA"/>
    <w:rsid w:val="00974A6D"/>
    <w:rsid w:val="00981612"/>
    <w:rsid w:val="00987D17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45B4"/>
    <w:rsid w:val="00A16814"/>
    <w:rsid w:val="00A16E4C"/>
    <w:rsid w:val="00A22AD9"/>
    <w:rsid w:val="00A335FA"/>
    <w:rsid w:val="00A33C47"/>
    <w:rsid w:val="00A407A5"/>
    <w:rsid w:val="00A43222"/>
    <w:rsid w:val="00A44859"/>
    <w:rsid w:val="00A50C3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741E"/>
    <w:rsid w:val="00B744FB"/>
    <w:rsid w:val="00B767E2"/>
    <w:rsid w:val="00B776DB"/>
    <w:rsid w:val="00B80CF8"/>
    <w:rsid w:val="00B80F6C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C006A2"/>
    <w:rsid w:val="00C044F3"/>
    <w:rsid w:val="00C10AC0"/>
    <w:rsid w:val="00C153E4"/>
    <w:rsid w:val="00C23713"/>
    <w:rsid w:val="00C325F9"/>
    <w:rsid w:val="00C32C3C"/>
    <w:rsid w:val="00C4169F"/>
    <w:rsid w:val="00C47F66"/>
    <w:rsid w:val="00C5107A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D4D92"/>
    <w:rsid w:val="00CE4D97"/>
    <w:rsid w:val="00CE7C4D"/>
    <w:rsid w:val="00CE7F02"/>
    <w:rsid w:val="00CF0B9E"/>
    <w:rsid w:val="00CF4C27"/>
    <w:rsid w:val="00D011FF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A6E04"/>
    <w:rsid w:val="00DB5B5F"/>
    <w:rsid w:val="00DB6ED0"/>
    <w:rsid w:val="00DC3174"/>
    <w:rsid w:val="00DC5724"/>
    <w:rsid w:val="00DD0D97"/>
    <w:rsid w:val="00DD23D6"/>
    <w:rsid w:val="00DD2DF2"/>
    <w:rsid w:val="00DD758B"/>
    <w:rsid w:val="00DE0C9B"/>
    <w:rsid w:val="00DE314B"/>
    <w:rsid w:val="00DF5428"/>
    <w:rsid w:val="00E03621"/>
    <w:rsid w:val="00E11BD7"/>
    <w:rsid w:val="00E11CCF"/>
    <w:rsid w:val="00E17A4D"/>
    <w:rsid w:val="00E27F70"/>
    <w:rsid w:val="00E30694"/>
    <w:rsid w:val="00E3223C"/>
    <w:rsid w:val="00E357A1"/>
    <w:rsid w:val="00E513A7"/>
    <w:rsid w:val="00E645EC"/>
    <w:rsid w:val="00E7447F"/>
    <w:rsid w:val="00E776E5"/>
    <w:rsid w:val="00E817C0"/>
    <w:rsid w:val="00E836F8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B44AA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A0EBAB1C-9492-4151-906F-4EA11FAF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160" w:line="312" w:lineRule="auto"/>
      <w:jc w:val="both"/>
    </w:pPr>
    <w:rPr>
      <w:rFonts w:ascii="PT Sans" w:eastAsia="Times New Roman" w:hAnsi="PT Sans" w:cs="Times New Roman"/>
      <w:color w:val="1A1A1A"/>
      <w:sz w:val="24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  <w:style w:type="table" w:customStyle="1" w:styleId="210">
    <w:name w:val="Таблица простая 21"/>
    <w:basedOn w:val="a1"/>
    <w:next w:val="21"/>
    <w:uiPriority w:val="42"/>
    <w:rsid w:val="00723B76"/>
    <w:pPr>
      <w:widowControl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2026-02-19T13:23:00Z</cp:lastPrinted>
  <dcterms:created xsi:type="dcterms:W3CDTF">2026-03-03T08:42:00Z</dcterms:created>
  <dcterms:modified xsi:type="dcterms:W3CDTF">2026-03-03T10:04:00Z</dcterms:modified>
</cp:coreProperties>
</file>