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G09/2026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пусконаладка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7.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8.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9. В случае, если в ходе выполнения Работ возникнут обстоятельства, нарушающие условия п.п. 6-8 настоящей Спецификации, по ним применяются п.п. 3.2-3.4 Договора.</ns0:t>
      </ns0:r>
    </ns0:p>
    <ns0:p>
      <ns0:pPr>
        <ns0:jc ns0:val="both"/>
      </ns0:pPr>
      <ns0:r>
        <ns0:t xml:space="preserve">10.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11.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12.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G09/2026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